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color w:val="auto"/>
        </w:rPr>
      </w:pPr>
      <w:bookmarkStart w:id="0" w:name="_Hlk535092535"/>
      <w:bookmarkEnd w:id="0"/>
      <w:r>
        <w:rPr>
          <w:color w:val="auto"/>
        </w:rPr>
        <mc:AlternateContent>
          <mc:Choice Requires="wps">
            <w:drawing>
              <wp:anchor distT="0" distB="0" distL="114300" distR="114300" simplePos="0" relativeHeight="251588608" behindDoc="0" locked="0" layoutInCell="1" allowOverlap="1">
                <wp:simplePos x="0" y="0"/>
                <wp:positionH relativeFrom="column">
                  <wp:posOffset>-3053715</wp:posOffset>
                </wp:positionH>
                <wp:positionV relativeFrom="paragraph">
                  <wp:posOffset>-1007745</wp:posOffset>
                </wp:positionV>
                <wp:extent cx="635" cy="635"/>
                <wp:effectExtent l="51435" t="48895" r="62230" b="64770"/>
                <wp:wrapNone/>
                <wp:docPr id="1407" name="直线 266"/>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1"/>
                          </a:solidFill>
                          <a:round/>
                          <a:tailEnd type="arrow" w="med" len="med"/>
                        </a:ln>
                      </wps:spPr>
                      <wps:bodyPr/>
                    </wps:wsp>
                  </a:graphicData>
                </a:graphic>
              </wp:anchor>
            </w:drawing>
          </mc:Choice>
          <mc:Fallback>
            <w:pict>
              <v:line id="直线 266" o:spid="_x0000_s1026" o:spt="20" style="position:absolute;left:0pt;margin-left:-240.45pt;margin-top:-79.35pt;height:0.05pt;width:0.05pt;z-index:251588608;mso-width-relative:page;mso-height-relative:page;" filled="f" stroked="t" coordsize="21600,21600" o:gfxdata="UEsDBAoAAAAAAIdO4kAAAAAAAAAAAAAAAAAEAAAAZHJzL1BLAwQUAAAACACHTuJAj1vWYtgAAAAP&#10;AQAADwAAAGRycy9kb3ducmV2LnhtbE2PzU7DMBCE75V4B2uRuFStnQpKCHEqgdQbFwoP4MRLYoh/&#10;ZDtNeHu24gC33dnR7Df1YbEjO2NMxjsJxVYAQ9d5bVwv4f3tuCmBpaycVqN3KOEbExyaq1WtKu1n&#10;94rnU+4ZhbhUKQlDzqHiPHUDWpW2PqCj24ePVmVaY891VDOF25HvhNhzq4yjD4MK+Dxg93WarIR1&#10;u0tz+FxMl+KRT8aX4Um/SHlzXYhHYBmX/GeGCz6hQ0NMrZ+cTmyUsLktxQN5aSruyntg5Llo1Kf9&#10;1fbAm5r/79H8AFBLAwQUAAAACACHTuJA8cexl9UBAACBAwAADgAAAGRycy9lMm9Eb2MueG1srVNN&#10;khMhFN5b5R0o9qaTaKJ2pTOLjONm1FTNeIAXoNOUwKOApDtn8Rqu3HicuYYPOhNH3VmyoHh/H+/7&#10;HqyuBmvYUYWo0TV8NplyppxAqd2+4Z/vb1684SwmcBIMOtXwk4r8av382ar3tZpjh0aqwAjExbr3&#10;De9S8nVVRdEpC3GCXjkKthgsJDLDvpIBekK3pppPp8uqxyB9QKFiJO/1GOTrgt+2SqRPbRtVYqbh&#10;1Fsqeyj7Lu/VegX1PoDvtDi3Af/QhQXt6NIL1DUkYIeg/4KyWgSM2KaJQFth22qhCgdiM5v+weau&#10;A68KFxIn+otM8f/Bio/HbWBa0uxeTV9z5sDSlB6+fnv4/oPNl8ssUO9jTXkbtw2Zohjcnb9F8SUy&#10;h5sO3F6VRu9PnkpnuaL6rSQb0dM1u/4DSsqBQ8Ki1tAGmyFJBzaUoZwuQ1FDYoKcy5cLzgT58yFj&#10;Q/1Y5kNM7xValg8NN9pltaCG421MY+pjSnY7vNHGkB9q41jf8LeL+aIURDRa5mCOxbDfbUxgR8hv&#10;Jq+RE0WepgU8OFnAEmjzzkmWigAQAvY8w1slOTOK/kU+jf0Yd1YnCzJKu0N52oYczkLRnAvH85vM&#10;D+mpXbJ+/Zz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9b1mLYAAAADwEAAA8AAAAAAAAAAQAg&#10;AAAAIgAAAGRycy9kb3ducmV2LnhtbFBLAQIUABQAAAAIAIdO4kDxx7GX1QEAAIEDAAAOAAAAAAAA&#10;AAEAIAAAACcBAABkcnMvZTJvRG9jLnhtbFBLBQYAAAAABgAGAFkBAABuBQAAAAA=&#10;">
                <v:fill on="f" focussize="0,0"/>
                <v:stroke color="#000001" joinstyle="round" endarrow="open"/>
                <v:imagedata o:title=""/>
                <o:lock v:ext="edit" aspectratio="f"/>
              </v:line>
            </w:pict>
          </mc:Fallback>
        </mc:AlternateContent>
      </w:r>
    </w:p>
    <w:p>
      <w:pPr>
        <w:rPr>
          <w:color w:val="auto"/>
        </w:rPr>
      </w:pPr>
    </w:p>
    <w:p>
      <w:pPr>
        <w:rPr>
          <w:color w:val="auto"/>
        </w:rPr>
      </w:pPr>
    </w:p>
    <w:p>
      <w:pPr>
        <w:tabs>
          <w:tab w:val="left" w:pos="5717"/>
        </w:tabs>
        <w:rPr>
          <w:color w:val="auto"/>
        </w:rPr>
      </w:pPr>
      <w:r>
        <w:rPr>
          <w:color w:val="auto"/>
        </w:rPr>
        <w:tab/>
      </w:r>
    </w:p>
    <w:p>
      <w:pPr>
        <w:rPr>
          <w:color w:val="auto"/>
        </w:rPr>
      </w:pPr>
    </w:p>
    <w:p>
      <w:pPr>
        <w:rPr>
          <w:color w:val="auto"/>
        </w:rPr>
      </w:pPr>
    </w:p>
    <w:p>
      <w:pPr>
        <w:rPr>
          <w:color w:val="auto"/>
        </w:rPr>
      </w:pPr>
    </w:p>
    <w:p>
      <w:pPr>
        <w:rPr>
          <w:color w:val="auto"/>
        </w:rPr>
      </w:pPr>
    </w:p>
    <w:p>
      <w:pPr>
        <w:pStyle w:val="91"/>
        <w:adjustRightInd/>
        <w:rPr>
          <w:b/>
          <w:color w:val="auto"/>
          <w:kern w:val="2"/>
        </w:rPr>
      </w:pPr>
      <w:r>
        <w:rPr>
          <w:b/>
          <w:color w:val="auto"/>
          <w:kern w:val="2"/>
        </w:rPr>
        <w:t>建设项目环境影响报告表</w:t>
      </w:r>
    </w:p>
    <w:p>
      <w:pPr>
        <w:pStyle w:val="91"/>
        <w:adjustRightInd/>
        <w:rPr>
          <w:b/>
          <w:color w:val="auto"/>
          <w:kern w:val="2"/>
        </w:rPr>
      </w:pPr>
    </w:p>
    <w:p>
      <w:pPr>
        <w:pStyle w:val="91"/>
        <w:adjustRightInd/>
        <w:rPr>
          <w:b/>
          <w:color w:val="auto"/>
          <w:kern w:val="2"/>
        </w:rPr>
      </w:pPr>
    </w:p>
    <w:p>
      <w:pPr>
        <w:pStyle w:val="91"/>
        <w:adjustRightInd/>
        <w:rPr>
          <w:b/>
          <w:color w:val="auto"/>
          <w:kern w:val="2"/>
        </w:rPr>
      </w:pPr>
    </w:p>
    <w:p>
      <w:pPr>
        <w:pStyle w:val="91"/>
        <w:adjustRightInd/>
        <w:spacing w:line="600" w:lineRule="auto"/>
        <w:jc w:val="both"/>
        <w:rPr>
          <w:b/>
          <w:color w:val="auto"/>
          <w:sz w:val="32"/>
          <w:szCs w:val="32"/>
        </w:rPr>
      </w:pPr>
    </w:p>
    <w:p>
      <w:pPr>
        <w:pStyle w:val="91"/>
        <w:adjustRightInd/>
        <w:spacing w:line="600" w:lineRule="auto"/>
        <w:ind w:left="1050" w:leftChars="500"/>
        <w:jc w:val="left"/>
        <w:rPr>
          <w:b/>
          <w:color w:val="auto"/>
          <w:sz w:val="32"/>
          <w:szCs w:val="32"/>
          <w:u w:val="single"/>
        </w:rPr>
      </w:pPr>
      <w:r>
        <w:rPr>
          <w:b/>
          <w:color w:val="auto"/>
          <w:sz w:val="32"/>
          <w:szCs w:val="32"/>
        </w:rPr>
        <w:t>项目名称：</w:t>
      </w:r>
      <w:r>
        <w:rPr>
          <w:rFonts w:hint="eastAsia"/>
          <w:b/>
          <w:color w:val="auto"/>
          <w:sz w:val="32"/>
          <w:szCs w:val="32"/>
          <w:u w:val="single"/>
        </w:rPr>
        <w:t>年产2</w:t>
      </w:r>
      <w:r>
        <w:rPr>
          <w:rFonts w:hint="eastAsia"/>
          <w:b/>
          <w:color w:val="auto"/>
          <w:sz w:val="32"/>
          <w:szCs w:val="32"/>
          <w:u w:val="single"/>
          <w:lang w:val="en-US" w:eastAsia="zh-CN"/>
        </w:rPr>
        <w:t>00</w:t>
      </w:r>
      <w:r>
        <w:rPr>
          <w:rFonts w:hint="eastAsia"/>
          <w:b/>
          <w:color w:val="auto"/>
          <w:sz w:val="32"/>
          <w:szCs w:val="32"/>
          <w:u w:val="single"/>
        </w:rPr>
        <w:t>吨</w:t>
      </w:r>
      <w:r>
        <w:rPr>
          <w:rFonts w:hint="eastAsia"/>
          <w:b/>
          <w:color w:val="auto"/>
          <w:sz w:val="32"/>
          <w:szCs w:val="32"/>
          <w:u w:val="single"/>
          <w:lang w:eastAsia="zh-CN"/>
        </w:rPr>
        <w:t>再生棉</w:t>
      </w:r>
      <w:r>
        <w:rPr>
          <w:rFonts w:hint="eastAsia"/>
          <w:b/>
          <w:color w:val="auto"/>
          <w:sz w:val="32"/>
          <w:szCs w:val="32"/>
          <w:u w:val="single"/>
        </w:rPr>
        <w:t>项目</w:t>
      </w:r>
      <w:r>
        <w:rPr>
          <w:b/>
          <w:color w:val="auto"/>
          <w:sz w:val="32"/>
          <w:szCs w:val="32"/>
          <w:u w:val="single"/>
        </w:rPr>
        <w:t xml:space="preserve">  </w:t>
      </w:r>
    </w:p>
    <w:p>
      <w:pPr>
        <w:pStyle w:val="91"/>
        <w:adjustRightInd/>
        <w:spacing w:line="600" w:lineRule="auto"/>
        <w:ind w:left="1050" w:leftChars="500"/>
        <w:jc w:val="left"/>
        <w:rPr>
          <w:b/>
          <w:color w:val="auto"/>
          <w:sz w:val="32"/>
          <w:szCs w:val="32"/>
        </w:rPr>
      </w:pPr>
      <w:r>
        <w:rPr>
          <w:b/>
          <w:color w:val="auto"/>
          <w:sz w:val="32"/>
          <w:szCs w:val="32"/>
        </w:rPr>
        <w:t>建设单位：</w:t>
      </w:r>
      <w:r>
        <w:rPr>
          <w:rFonts w:hint="eastAsia" w:ascii="Times New Roman" w:hAnsi="Times New Roman" w:cs="Times New Roman"/>
          <w:b/>
          <w:color w:val="auto"/>
          <w:sz w:val="32"/>
          <w:szCs w:val="32"/>
          <w:u w:val="single"/>
          <w:lang w:eastAsia="zh-CN"/>
        </w:rPr>
        <w:t>普宁市梅塘强彬纺织厂</w:t>
      </w:r>
      <w:r>
        <w:rPr>
          <w:b/>
          <w:color w:val="auto"/>
          <w:sz w:val="32"/>
          <w:szCs w:val="32"/>
        </w:rPr>
        <w:t>（盖章）</w:t>
      </w:r>
    </w:p>
    <w:p>
      <w:pPr>
        <w:pStyle w:val="91"/>
        <w:adjustRightInd/>
        <w:rPr>
          <w:b/>
          <w:color w:val="auto"/>
          <w:kern w:val="2"/>
          <w:sz w:val="28"/>
        </w:rPr>
      </w:pPr>
    </w:p>
    <w:p>
      <w:pPr>
        <w:pStyle w:val="91"/>
        <w:adjustRightInd/>
        <w:rPr>
          <w:b/>
          <w:color w:val="auto"/>
          <w:kern w:val="2"/>
          <w:sz w:val="28"/>
        </w:rPr>
      </w:pPr>
    </w:p>
    <w:p>
      <w:pPr>
        <w:pStyle w:val="91"/>
        <w:adjustRightInd/>
        <w:rPr>
          <w:b/>
          <w:color w:val="auto"/>
          <w:kern w:val="2"/>
          <w:sz w:val="28"/>
        </w:rPr>
      </w:pPr>
    </w:p>
    <w:p>
      <w:pPr>
        <w:pStyle w:val="91"/>
        <w:adjustRightInd/>
        <w:rPr>
          <w:b/>
          <w:color w:val="auto"/>
          <w:kern w:val="2"/>
          <w:sz w:val="28"/>
        </w:rPr>
      </w:pPr>
    </w:p>
    <w:p>
      <w:pPr>
        <w:pStyle w:val="91"/>
        <w:adjustRightInd/>
        <w:rPr>
          <w:b/>
          <w:color w:val="auto"/>
          <w:kern w:val="2"/>
          <w:sz w:val="28"/>
        </w:rPr>
      </w:pPr>
    </w:p>
    <w:p>
      <w:pPr>
        <w:pStyle w:val="91"/>
        <w:adjustRightInd/>
        <w:ind w:left="-619" w:leftChars="-295"/>
        <w:rPr>
          <w:b/>
          <w:color w:val="auto"/>
          <w:kern w:val="2"/>
          <w:sz w:val="28"/>
        </w:rPr>
      </w:pPr>
      <w:r>
        <w:rPr>
          <w:b/>
          <w:color w:val="auto"/>
          <w:kern w:val="2"/>
          <w:sz w:val="28"/>
        </w:rPr>
        <w:t>编制日期：二〇一</w:t>
      </w:r>
      <w:r>
        <w:rPr>
          <w:rFonts w:hint="eastAsia"/>
          <w:b/>
          <w:color w:val="auto"/>
          <w:kern w:val="2"/>
          <w:sz w:val="28"/>
          <w:lang w:eastAsia="zh-CN"/>
        </w:rPr>
        <w:t>九</w:t>
      </w:r>
      <w:r>
        <w:rPr>
          <w:b/>
          <w:color w:val="auto"/>
          <w:kern w:val="2"/>
          <w:sz w:val="28"/>
        </w:rPr>
        <w:t>年</w:t>
      </w:r>
      <w:r>
        <w:rPr>
          <w:rFonts w:hint="eastAsia"/>
          <w:b/>
          <w:color w:val="auto"/>
          <w:kern w:val="2"/>
          <w:sz w:val="28"/>
          <w:lang w:eastAsia="zh-CN"/>
        </w:rPr>
        <w:t>七</w:t>
      </w:r>
      <w:r>
        <w:rPr>
          <w:b/>
          <w:color w:val="auto"/>
          <w:kern w:val="2"/>
          <w:sz w:val="28"/>
        </w:rPr>
        <w:t>月</w:t>
      </w:r>
    </w:p>
    <w:p>
      <w:pPr>
        <w:pStyle w:val="91"/>
        <w:adjustRightInd/>
        <w:ind w:left="-619" w:leftChars="-295"/>
        <w:rPr>
          <w:color w:val="auto"/>
        </w:rPr>
      </w:pPr>
      <w:r>
        <w:rPr>
          <w:b/>
          <w:color w:val="auto"/>
          <w:kern w:val="2"/>
          <w:sz w:val="28"/>
        </w:rPr>
        <w:t>国家</w:t>
      </w:r>
      <w:r>
        <w:rPr>
          <w:rFonts w:hint="eastAsia"/>
          <w:b/>
          <w:color w:val="auto"/>
          <w:kern w:val="2"/>
          <w:sz w:val="28"/>
          <w:lang w:eastAsia="zh-CN"/>
        </w:rPr>
        <w:t>生态环境</w:t>
      </w:r>
      <w:r>
        <w:rPr>
          <w:b/>
          <w:color w:val="auto"/>
          <w:kern w:val="2"/>
          <w:sz w:val="28"/>
        </w:rPr>
        <w:t>部制</w:t>
      </w:r>
    </w:p>
    <w:p>
      <w:pPr>
        <w:jc w:val="center"/>
        <w:rPr>
          <w:color w:val="auto"/>
          <w:sz w:val="30"/>
          <w:szCs w:val="30"/>
          <w:lang w:val="en-GB"/>
        </w:rPr>
      </w:pPr>
    </w:p>
    <w:p>
      <w:pPr>
        <w:widowControl/>
        <w:jc w:val="left"/>
        <w:rPr>
          <w:color w:val="auto"/>
        </w:rPr>
      </w:pPr>
      <w:r>
        <w:rPr>
          <w:color w:val="auto"/>
          <w:sz w:val="30"/>
          <w:szCs w:val="30"/>
          <w:lang w:val="en-GB"/>
        </w:rPr>
        <w:br w:type="page"/>
      </w:r>
    </w:p>
    <w:p>
      <w:pPr>
        <w:pStyle w:val="112"/>
        <w:jc w:val="center"/>
        <w:rPr>
          <w:color w:val="auto"/>
        </w:rPr>
      </w:pPr>
    </w:p>
    <w:p>
      <w:pPr>
        <w:pStyle w:val="112"/>
        <w:jc w:val="center"/>
        <w:rPr>
          <w:color w:val="auto"/>
        </w:rPr>
      </w:pPr>
    </w:p>
    <w:p>
      <w:pPr>
        <w:pStyle w:val="112"/>
        <w:jc w:val="center"/>
        <w:rPr>
          <w:color w:val="auto"/>
        </w:rPr>
      </w:pPr>
      <w:r>
        <w:rPr>
          <w:color w:val="auto"/>
        </w:rPr>
        <w:t>《建设项目环境影响报告表》编制说明</w:t>
      </w:r>
    </w:p>
    <w:p>
      <w:pPr>
        <w:pStyle w:val="112"/>
        <w:jc w:val="center"/>
        <w:rPr>
          <w:color w:val="auto"/>
        </w:rPr>
      </w:pPr>
    </w:p>
    <w:p>
      <w:pPr>
        <w:ind w:firstLine="480"/>
        <w:rPr>
          <w:color w:val="auto"/>
        </w:rPr>
      </w:pPr>
      <w:r>
        <w:rPr>
          <w:color w:val="auto"/>
        </w:rPr>
        <w:t xml:space="preserve"> </w:t>
      </w:r>
    </w:p>
    <w:p>
      <w:pPr>
        <w:ind w:firstLine="480"/>
        <w:rPr>
          <w:color w:val="auto"/>
        </w:rPr>
      </w:pPr>
    </w:p>
    <w:p>
      <w:pPr>
        <w:pStyle w:val="113"/>
        <w:ind w:firstLine="560"/>
        <w:rPr>
          <w:color w:val="auto"/>
        </w:rPr>
      </w:pPr>
      <w:r>
        <w:rPr>
          <w:color w:val="auto"/>
        </w:rPr>
        <w:t>《建设项目环境影响报告表》由具有从事环境影响评价工作资质的单位编制。</w:t>
      </w:r>
    </w:p>
    <w:p>
      <w:pPr>
        <w:pStyle w:val="113"/>
        <w:ind w:firstLine="560"/>
        <w:rPr>
          <w:color w:val="auto"/>
        </w:rPr>
      </w:pPr>
      <w:r>
        <w:rPr>
          <w:color w:val="auto"/>
        </w:rPr>
        <w:t>1.项目名称——指项目立项批复时的名称，应不超过30个字（两个英文字段作一个汉字）。</w:t>
      </w:r>
    </w:p>
    <w:p>
      <w:pPr>
        <w:pStyle w:val="113"/>
        <w:ind w:firstLine="560"/>
        <w:rPr>
          <w:color w:val="auto"/>
        </w:rPr>
      </w:pPr>
      <w:r>
        <w:rPr>
          <w:color w:val="auto"/>
        </w:rPr>
        <w:t xml:space="preserve">2.建设地点——指项目所在地详细地址，公路、铁路应填写起止地点。    </w:t>
      </w:r>
    </w:p>
    <w:p>
      <w:pPr>
        <w:pStyle w:val="113"/>
        <w:ind w:firstLine="560"/>
        <w:rPr>
          <w:color w:val="auto"/>
        </w:rPr>
      </w:pPr>
      <w:r>
        <w:rPr>
          <w:color w:val="auto"/>
        </w:rPr>
        <w:t>3.行业类别——按国标填写。</w:t>
      </w:r>
    </w:p>
    <w:p>
      <w:pPr>
        <w:pStyle w:val="113"/>
        <w:ind w:firstLine="560"/>
        <w:rPr>
          <w:color w:val="auto"/>
        </w:rPr>
      </w:pPr>
      <w:r>
        <w:rPr>
          <w:color w:val="auto"/>
        </w:rPr>
        <w:t>4.总投资——指项目投资总额。</w:t>
      </w:r>
    </w:p>
    <w:p>
      <w:pPr>
        <w:pStyle w:val="113"/>
        <w:ind w:firstLine="560"/>
        <w:rPr>
          <w:color w:val="auto"/>
        </w:rPr>
      </w:pPr>
      <w:r>
        <w:rPr>
          <w:color w:val="auto"/>
        </w:rPr>
        <w:t>5.主要环境保护目标——指项目区周围一定范围内集中居民住宅区、学校医院、保护文物、风景名胜区、水源地和生态敏感点等，应尽可能给出保护目标、性质、规模和距厂界距离等。</w:t>
      </w:r>
    </w:p>
    <w:p>
      <w:pPr>
        <w:pStyle w:val="113"/>
        <w:ind w:firstLine="560"/>
        <w:rPr>
          <w:color w:val="auto"/>
        </w:rPr>
      </w:pPr>
      <w:r>
        <w:rPr>
          <w:color w:val="auto"/>
        </w:rPr>
        <w:t>6.结论与建议——给出本项目清洁生产、达标排放和总量控制的分析结论，确定污染防治措施的有效性，说明本项目对环境造成的影响，给出建设项目环境可行性的明确结论。同时提出减少环境影响的其他建议。</w:t>
      </w:r>
    </w:p>
    <w:p>
      <w:pPr>
        <w:pStyle w:val="113"/>
        <w:ind w:firstLine="560"/>
        <w:rPr>
          <w:color w:val="auto"/>
        </w:rPr>
      </w:pPr>
      <w:r>
        <w:rPr>
          <w:color w:val="auto"/>
        </w:rPr>
        <w:t xml:space="preserve">7.预审意见——由行业主管部门填写答复意见，无主管部门项目，可不填。 </w:t>
      </w:r>
    </w:p>
    <w:p>
      <w:pPr>
        <w:pStyle w:val="113"/>
        <w:ind w:firstLine="560"/>
        <w:rPr>
          <w:color w:val="auto"/>
        </w:rPr>
      </w:pPr>
      <w:r>
        <w:rPr>
          <w:color w:val="auto"/>
        </w:rPr>
        <w:t>8.审批意见——由负责审批该项目的环境保护行政主管部门批复。</w:t>
      </w:r>
    </w:p>
    <w:p>
      <w:pPr>
        <w:pStyle w:val="113"/>
        <w:ind w:firstLine="560"/>
        <w:rPr>
          <w:color w:val="auto"/>
        </w:rPr>
      </w:pPr>
    </w:p>
    <w:p>
      <w:pPr>
        <w:pStyle w:val="113"/>
        <w:ind w:firstLine="560"/>
        <w:rPr>
          <w:color w:val="auto"/>
        </w:rPr>
      </w:pPr>
    </w:p>
    <w:p>
      <w:pPr>
        <w:pStyle w:val="113"/>
        <w:ind w:firstLine="0" w:firstLineChars="0"/>
        <w:jc w:val="center"/>
        <w:rPr>
          <w:color w:val="auto"/>
        </w:rPr>
      </w:pPr>
    </w:p>
    <w:p>
      <w:pPr>
        <w:widowControl/>
        <w:jc w:val="left"/>
        <w:rPr>
          <w:color w:val="auto"/>
          <w:sz w:val="30"/>
          <w:szCs w:val="30"/>
          <w:lang w:val="en-GB"/>
        </w:rPr>
        <w:sectPr>
          <w:headerReference r:id="rId3" w:type="default"/>
          <w:footerReference r:id="rId4" w:type="even"/>
          <w:pgSz w:w="11906" w:h="16838"/>
          <w:pgMar w:top="1440" w:right="1800" w:bottom="1440" w:left="1800" w:header="851" w:footer="851" w:gutter="0"/>
          <w:pgBorders>
            <w:top w:val="none" w:sz="0" w:space="0"/>
            <w:left w:val="none" w:sz="0" w:space="0"/>
            <w:bottom w:val="none" w:sz="0" w:space="0"/>
            <w:right w:val="none" w:sz="0" w:space="0"/>
          </w:pgBorders>
          <w:pgNumType w:fmt="numberInDash" w:start="1"/>
          <w:cols w:space="720" w:num="1"/>
          <w:docGrid w:type="lines" w:linePitch="312" w:charSpace="0"/>
        </w:sectPr>
      </w:pPr>
      <w:r>
        <w:rPr>
          <w:color w:val="auto"/>
          <w:sz w:val="30"/>
          <w:szCs w:val="30"/>
          <w:lang w:val="en-GB"/>
        </w:rPr>
        <w:br w:type="page"/>
      </w:r>
    </w:p>
    <w:p>
      <w:pPr>
        <w:pStyle w:val="3"/>
        <w:jc w:val="left"/>
        <w:rPr>
          <w:b/>
          <w:bCs/>
          <w:color w:val="auto"/>
          <w:szCs w:val="28"/>
        </w:rPr>
      </w:pPr>
      <w:r>
        <w:rPr>
          <w:b/>
          <w:bCs/>
          <w:color w:val="auto"/>
          <w:szCs w:val="28"/>
        </w:rPr>
        <w:t>建设项目基本情况</w:t>
      </w:r>
    </w:p>
    <w:tbl>
      <w:tblPr>
        <w:tblStyle w:val="31"/>
        <w:tblW w:w="948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77"/>
        <w:gridCol w:w="424"/>
        <w:gridCol w:w="1010"/>
        <w:gridCol w:w="423"/>
        <w:gridCol w:w="1417"/>
        <w:gridCol w:w="254"/>
        <w:gridCol w:w="1051"/>
        <w:gridCol w:w="399"/>
        <w:gridCol w:w="1490"/>
        <w:gridCol w:w="133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项目名称</w:t>
            </w:r>
          </w:p>
        </w:tc>
        <w:tc>
          <w:tcPr>
            <w:tcW w:w="7807" w:type="dxa"/>
            <w:gridSpan w:val="9"/>
            <w:vAlign w:val="center"/>
          </w:tcPr>
          <w:p>
            <w:pPr>
              <w:pStyle w:val="60"/>
              <w:autoSpaceDE/>
              <w:autoSpaceDN/>
              <w:adjustRightInd/>
              <w:textAlignment w:val="auto"/>
              <w:rPr>
                <w:rFonts w:hint="default" w:ascii="Times New Roman" w:hAnsi="Times New Roman" w:cs="Times New Roman"/>
                <w:bCs/>
                <w:color w:val="auto"/>
                <w:kern w:val="2"/>
              </w:rPr>
            </w:pPr>
            <w:r>
              <w:rPr>
                <w:rFonts w:hint="default" w:ascii="Times New Roman" w:hAnsi="Times New Roman" w:cs="Times New Roman"/>
                <w:bCs/>
                <w:color w:val="auto"/>
                <w:kern w:val="2"/>
              </w:rPr>
              <w:t>年产</w:t>
            </w:r>
            <w:r>
              <w:rPr>
                <w:rFonts w:hint="default" w:ascii="Times New Roman" w:hAnsi="Times New Roman" w:cs="Times New Roman"/>
                <w:bCs/>
                <w:color w:val="auto"/>
                <w:kern w:val="2"/>
                <w:lang w:val="en-US" w:eastAsia="zh-CN"/>
              </w:rPr>
              <w:t>200</w:t>
            </w:r>
            <w:r>
              <w:rPr>
                <w:rFonts w:hint="default" w:ascii="Times New Roman" w:hAnsi="Times New Roman" w:cs="Times New Roman"/>
                <w:bCs/>
                <w:color w:val="auto"/>
                <w:kern w:val="2"/>
              </w:rPr>
              <w:t>吨</w:t>
            </w:r>
            <w:r>
              <w:rPr>
                <w:rFonts w:hint="default" w:ascii="Times New Roman" w:hAnsi="Times New Roman" w:cs="Times New Roman"/>
                <w:bCs/>
                <w:color w:val="auto"/>
                <w:kern w:val="2"/>
                <w:lang w:eastAsia="zh-CN"/>
              </w:rPr>
              <w:t>再生棉</w:t>
            </w:r>
            <w:r>
              <w:rPr>
                <w:rFonts w:hint="default" w:ascii="Times New Roman" w:hAnsi="Times New Roman" w:cs="Times New Roman"/>
                <w:bCs/>
                <w:color w:val="auto"/>
                <w:kern w:val="2"/>
              </w:rPr>
              <w:t>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w:t>
            </w:r>
          </w:p>
        </w:tc>
        <w:tc>
          <w:tcPr>
            <w:tcW w:w="7807" w:type="dxa"/>
            <w:gridSpan w:val="9"/>
            <w:vAlign w:val="center"/>
          </w:tcPr>
          <w:p>
            <w:pPr>
              <w:pStyle w:val="65"/>
              <w:topLinePunct w:val="0"/>
              <w:autoSpaceDE/>
              <w:autoSpaceDN/>
              <w:adjustRightInd/>
              <w:textAlignment w:val="auto"/>
              <w:rPr>
                <w:rFonts w:hint="default" w:ascii="Times New Roman" w:hAnsi="Times New Roman" w:eastAsia="宋体" w:cs="Times New Roman"/>
                <w:bCs/>
                <w:color w:val="auto"/>
                <w:kern w:val="2"/>
                <w:sz w:val="24"/>
                <w:szCs w:val="24"/>
                <w:lang w:eastAsia="zh-CN"/>
              </w:rPr>
            </w:pPr>
            <w:r>
              <w:rPr>
                <w:rFonts w:hint="default" w:ascii="Times New Roman" w:hAnsi="Times New Roman" w:cs="Times New Roman"/>
                <w:color w:val="auto"/>
                <w:sz w:val="24"/>
                <w:lang w:eastAsia="zh-CN"/>
              </w:rPr>
              <w:t>普宁市梅塘强彬纺织厂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法人代表</w:t>
            </w:r>
          </w:p>
        </w:tc>
        <w:tc>
          <w:tcPr>
            <w:tcW w:w="3528" w:type="dxa"/>
            <w:gridSpan w:val="5"/>
            <w:vAlign w:val="center"/>
          </w:tcPr>
          <w:p>
            <w:pPr>
              <w:jc w:val="center"/>
              <w:rPr>
                <w:rFonts w:hint="default" w:ascii="Times New Roman" w:hAnsi="Times New Roman" w:eastAsia="宋体" w:cs="Times New Roman"/>
                <w:color w:val="auto"/>
                <w:lang w:eastAsia="zh-CN"/>
              </w:rPr>
            </w:pPr>
            <w:r>
              <w:rPr>
                <w:rFonts w:hint="default" w:ascii="Times New Roman" w:hAnsi="Times New Roman" w:cs="Times New Roman"/>
                <w:color w:val="auto"/>
                <w:sz w:val="24"/>
                <w:lang w:eastAsia="zh-CN"/>
              </w:rPr>
              <w:t>李崇彬</w:t>
            </w:r>
          </w:p>
        </w:tc>
        <w:tc>
          <w:tcPr>
            <w:tcW w:w="1450" w:type="dxa"/>
            <w:gridSpan w:val="2"/>
            <w:vAlign w:val="center"/>
          </w:tcPr>
          <w:p>
            <w:pPr>
              <w:jc w:val="center"/>
              <w:rPr>
                <w:rFonts w:hint="default" w:ascii="Times New Roman" w:hAnsi="Times New Roman" w:cs="Times New Roman"/>
                <w:bCs/>
                <w:color w:val="auto"/>
                <w:sz w:val="24"/>
              </w:rPr>
            </w:pPr>
            <w:r>
              <w:rPr>
                <w:rFonts w:hint="default" w:ascii="Times New Roman" w:hAnsi="Times New Roman" w:cs="Times New Roman"/>
                <w:bCs/>
                <w:color w:val="auto"/>
                <w:sz w:val="24"/>
              </w:rPr>
              <w:t>联 系 人</w:t>
            </w:r>
          </w:p>
        </w:tc>
        <w:tc>
          <w:tcPr>
            <w:tcW w:w="2829" w:type="dxa"/>
            <w:gridSpan w:val="2"/>
            <w:vAlign w:val="center"/>
          </w:tcPr>
          <w:p>
            <w:pPr>
              <w:jc w:val="center"/>
              <w:rPr>
                <w:rFonts w:hint="default" w:ascii="Times New Roman" w:hAnsi="Times New Roman" w:eastAsia="宋体" w:cs="Times New Roman"/>
                <w:color w:val="auto"/>
                <w:lang w:eastAsia="zh-CN"/>
              </w:rPr>
            </w:pPr>
            <w:r>
              <w:rPr>
                <w:rFonts w:hint="default" w:ascii="Times New Roman" w:hAnsi="Times New Roman" w:cs="Times New Roman"/>
                <w:color w:val="auto"/>
                <w:sz w:val="24"/>
                <w:lang w:eastAsia="zh-CN"/>
              </w:rPr>
              <w:t>周建强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通讯地址</w:t>
            </w:r>
          </w:p>
        </w:tc>
        <w:tc>
          <w:tcPr>
            <w:tcW w:w="7807" w:type="dxa"/>
            <w:gridSpan w:val="9"/>
            <w:vAlign w:val="center"/>
          </w:tcPr>
          <w:p>
            <w:pPr>
              <w:ind w:firstLine="25"/>
              <w:jc w:val="center"/>
              <w:rPr>
                <w:rFonts w:hint="default" w:ascii="Times New Roman" w:hAnsi="Times New Roman" w:cs="Times New Roman"/>
                <w:color w:val="auto"/>
                <w:sz w:val="24"/>
              </w:rPr>
            </w:pPr>
            <w:r>
              <w:rPr>
                <w:rFonts w:hint="default" w:ascii="Times New Roman" w:hAnsi="Times New Roman" w:cs="Times New Roman"/>
                <w:color w:val="auto"/>
                <w:sz w:val="24"/>
              </w:rPr>
              <w:t>普宁市</w:t>
            </w:r>
            <w:r>
              <w:rPr>
                <w:rFonts w:hint="default" w:ascii="Times New Roman" w:hAnsi="Times New Roman" w:cs="Times New Roman"/>
                <w:color w:val="auto"/>
                <w:sz w:val="24"/>
                <w:lang w:eastAsia="zh-CN"/>
              </w:rPr>
              <w:t>梅塘</w:t>
            </w:r>
            <w:r>
              <w:rPr>
                <w:rFonts w:hint="default" w:ascii="Times New Roman" w:hAnsi="Times New Roman" w:cs="Times New Roman"/>
                <w:color w:val="auto"/>
                <w:sz w:val="24"/>
              </w:rPr>
              <w:t>镇</w:t>
            </w:r>
            <w:r>
              <w:rPr>
                <w:rFonts w:hint="default" w:ascii="Times New Roman" w:hAnsi="Times New Roman" w:cs="Times New Roman"/>
                <w:color w:val="auto"/>
                <w:sz w:val="24"/>
                <w:lang w:eastAsia="zh-CN"/>
              </w:rPr>
              <w:t>新光</w:t>
            </w:r>
            <w:r>
              <w:rPr>
                <w:rFonts w:hint="default" w:ascii="Times New Roman" w:hAnsi="Times New Roman" w:cs="Times New Roman"/>
                <w:color w:val="auto"/>
                <w:sz w:val="24"/>
              </w:rPr>
              <w:t>村</w:t>
            </w:r>
            <w:r>
              <w:rPr>
                <w:rFonts w:hint="default" w:ascii="Times New Roman" w:hAnsi="Times New Roman" w:cs="Times New Roman"/>
                <w:color w:val="auto"/>
                <w:sz w:val="24"/>
                <w:lang w:eastAsia="zh-CN"/>
              </w:rPr>
              <w:t>镇政府西侧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联系电话</w:t>
            </w:r>
          </w:p>
        </w:tc>
        <w:tc>
          <w:tcPr>
            <w:tcW w:w="1857" w:type="dxa"/>
            <w:gridSpan w:val="3"/>
            <w:vAlign w:val="center"/>
          </w:tcPr>
          <w:p>
            <w:pPr>
              <w:pStyle w:val="60"/>
              <w:autoSpaceDE/>
              <w:autoSpaceDN/>
              <w:adjustRightInd/>
              <w:textAlignment w:val="auto"/>
              <w:rPr>
                <w:rFonts w:hint="default" w:ascii="Times New Roman" w:hAnsi="Times New Roman" w:cs="Times New Roman"/>
                <w:color w:val="auto"/>
                <w:kern w:val="2"/>
              </w:rPr>
            </w:pPr>
            <w:bookmarkStart w:id="1" w:name="_Hlk534541645"/>
            <w:r>
              <w:rPr>
                <w:rFonts w:hint="default" w:ascii="Times New Roman" w:hAnsi="Times New Roman" w:cs="Times New Roman"/>
                <w:color w:val="auto"/>
                <w:kern w:val="2"/>
              </w:rPr>
              <w:t>15819612777</w:t>
            </w:r>
            <w:bookmarkEnd w:id="1"/>
          </w:p>
        </w:tc>
        <w:tc>
          <w:tcPr>
            <w:tcW w:w="1671" w:type="dxa"/>
            <w:gridSpan w:val="2"/>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传真</w:t>
            </w:r>
          </w:p>
        </w:tc>
        <w:tc>
          <w:tcPr>
            <w:tcW w:w="1450" w:type="dxa"/>
            <w:gridSpan w:val="2"/>
            <w:vAlign w:val="center"/>
          </w:tcPr>
          <w:p>
            <w:pPr>
              <w:pStyle w:val="66"/>
              <w:topLinePunct w:val="0"/>
              <w:autoSpaceDE/>
              <w:autoSpaceDN/>
              <w:adjustRightInd/>
              <w:textAlignment w:val="auto"/>
              <w:rPr>
                <w:rFonts w:hint="default" w:ascii="Times New Roman" w:hAnsi="Times New Roman" w:cs="Times New Roman"/>
                <w:color w:val="auto"/>
                <w:kern w:val="2"/>
                <w:position w:val="0"/>
                <w:sz w:val="24"/>
              </w:rPr>
            </w:pPr>
            <w:r>
              <w:rPr>
                <w:rFonts w:hint="default" w:ascii="Times New Roman" w:hAnsi="Times New Roman" w:cs="Times New Roman"/>
                <w:color w:val="auto"/>
                <w:kern w:val="2"/>
                <w:position w:val="0"/>
                <w:sz w:val="24"/>
              </w:rPr>
              <w:t>——</w:t>
            </w:r>
          </w:p>
        </w:tc>
        <w:tc>
          <w:tcPr>
            <w:tcW w:w="1490"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邮政编码</w:t>
            </w:r>
          </w:p>
        </w:tc>
        <w:tc>
          <w:tcPr>
            <w:tcW w:w="1339" w:type="dxa"/>
            <w:vAlign w:val="center"/>
          </w:tcPr>
          <w:p>
            <w:pPr>
              <w:pStyle w:val="66"/>
              <w:topLinePunct w:val="0"/>
              <w:autoSpaceDE/>
              <w:autoSpaceDN/>
              <w:adjustRightInd/>
              <w:textAlignment w:val="auto"/>
              <w:rPr>
                <w:rFonts w:hint="default" w:ascii="Times New Roman" w:hAnsi="Times New Roman" w:cs="Times New Roman"/>
                <w:color w:val="auto"/>
                <w:kern w:val="2"/>
                <w:position w:val="0"/>
                <w:sz w:val="24"/>
              </w:rPr>
            </w:pPr>
            <w:r>
              <w:rPr>
                <w:rFonts w:hint="default" w:ascii="Times New Roman" w:hAnsi="Times New Roman" w:cs="Times New Roman"/>
                <w:color w:val="auto"/>
                <w:sz w:val="24"/>
              </w:rPr>
              <w:t>522000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807" w:type="dxa"/>
            <w:gridSpan w:val="9"/>
            <w:vAlign w:val="center"/>
          </w:tcPr>
          <w:p>
            <w:pPr>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普宁市梅塘镇新光村镇政府西侧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2101" w:type="dxa"/>
            <w:gridSpan w:val="2"/>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立项审批部门</w:t>
            </w:r>
          </w:p>
        </w:tc>
        <w:tc>
          <w:tcPr>
            <w:tcW w:w="2850" w:type="dxa"/>
            <w:gridSpan w:val="3"/>
            <w:vAlign w:val="center"/>
          </w:tcPr>
          <w:p>
            <w:pPr>
              <w:pStyle w:val="60"/>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w:t>
            </w:r>
          </w:p>
        </w:tc>
        <w:tc>
          <w:tcPr>
            <w:tcW w:w="1305" w:type="dxa"/>
            <w:gridSpan w:val="2"/>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批准文号</w:t>
            </w:r>
          </w:p>
        </w:tc>
        <w:tc>
          <w:tcPr>
            <w:tcW w:w="3228" w:type="dxa"/>
            <w:gridSpan w:val="3"/>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3274" w:type="dxa"/>
            <w:gridSpan w:val="4"/>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新建</w:t>
            </w:r>
          </w:p>
        </w:tc>
        <w:tc>
          <w:tcPr>
            <w:tcW w:w="1305" w:type="dxa"/>
            <w:gridSpan w:val="2"/>
            <w:vAlign w:val="center"/>
          </w:tcPr>
          <w:p>
            <w:pPr>
              <w:pStyle w:val="60"/>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行业类别</w:t>
            </w:r>
          </w:p>
          <w:p>
            <w:pPr>
              <w:pStyle w:val="60"/>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及代码</w:t>
            </w:r>
          </w:p>
        </w:tc>
        <w:tc>
          <w:tcPr>
            <w:tcW w:w="3228" w:type="dxa"/>
            <w:gridSpan w:val="3"/>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C</w:t>
            </w:r>
            <w:r>
              <w:rPr>
                <w:rFonts w:hint="default" w:ascii="Times New Roman" w:hAnsi="Times New Roman" w:cs="Times New Roman"/>
                <w:color w:val="auto"/>
                <w:sz w:val="24"/>
                <w:lang w:val="en-US" w:eastAsia="zh-CN"/>
              </w:rPr>
              <w:t>4420</w:t>
            </w:r>
            <w:r>
              <w:rPr>
                <w:rFonts w:hint="default" w:ascii="Times New Roman" w:hAnsi="Times New Roman" w:cs="Times New Roman"/>
                <w:color w:val="auto"/>
                <w:sz w:val="24"/>
              </w:rPr>
              <w:t xml:space="preserve"> 非金属废料和碎屑加工处理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占地面积</w:t>
            </w:r>
          </w:p>
          <w:p>
            <w:pPr>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(平方米)</w:t>
            </w:r>
          </w:p>
        </w:tc>
        <w:tc>
          <w:tcPr>
            <w:tcW w:w="3274" w:type="dxa"/>
            <w:gridSpan w:val="4"/>
            <w:vAlign w:val="center"/>
          </w:tcPr>
          <w:p>
            <w:pPr>
              <w:pStyle w:val="60"/>
              <w:autoSpaceDE/>
              <w:autoSpaceDN/>
              <w:adjustRightInd/>
              <w:textAlignment w:val="auto"/>
              <w:rPr>
                <w:rFonts w:hint="default" w:ascii="Times New Roman" w:hAnsi="Times New Roman" w:eastAsia="宋体" w:cs="Times New Roman"/>
                <w:color w:val="auto"/>
                <w:kern w:val="2"/>
                <w:highlight w:val="none"/>
                <w:lang w:val="en-US" w:eastAsia="zh-CN"/>
              </w:rPr>
            </w:pPr>
            <w:r>
              <w:rPr>
                <w:rFonts w:hint="default" w:ascii="Times New Roman" w:hAnsi="Times New Roman" w:cs="Times New Roman"/>
                <w:color w:val="auto"/>
                <w:kern w:val="2"/>
                <w:highlight w:val="none"/>
                <w:lang w:val="en-US" w:eastAsia="zh-CN"/>
              </w:rPr>
              <w:t>5000</w:t>
            </w:r>
          </w:p>
        </w:tc>
        <w:tc>
          <w:tcPr>
            <w:tcW w:w="1305" w:type="dxa"/>
            <w:gridSpan w:val="2"/>
            <w:vAlign w:val="center"/>
          </w:tcPr>
          <w:p>
            <w:pPr>
              <w:jc w:val="center"/>
              <w:rPr>
                <w:rFonts w:hint="default" w:ascii="Times New Roman" w:hAnsi="Times New Roman" w:cs="Times New Roman"/>
                <w:color w:val="00B050"/>
                <w:sz w:val="24"/>
                <w:highlight w:val="none"/>
              </w:rPr>
            </w:pPr>
            <w:r>
              <w:rPr>
                <w:rFonts w:hint="default" w:ascii="Times New Roman" w:hAnsi="Times New Roman" w:cs="Times New Roman"/>
                <w:color w:val="00B050"/>
                <w:sz w:val="24"/>
                <w:highlight w:val="none"/>
              </w:rPr>
              <w:t>绿化面积</w:t>
            </w:r>
          </w:p>
          <w:p>
            <w:pPr>
              <w:jc w:val="center"/>
              <w:rPr>
                <w:rFonts w:hint="default" w:ascii="Times New Roman" w:hAnsi="Times New Roman" w:cs="Times New Roman"/>
                <w:color w:val="00B050"/>
                <w:sz w:val="24"/>
                <w:highlight w:val="yellow"/>
              </w:rPr>
            </w:pPr>
            <w:r>
              <w:rPr>
                <w:rFonts w:hint="default" w:ascii="Times New Roman" w:hAnsi="Times New Roman" w:cs="Times New Roman"/>
                <w:color w:val="00B050"/>
                <w:sz w:val="24"/>
                <w:highlight w:val="none"/>
              </w:rPr>
              <w:t>(平方米)</w:t>
            </w:r>
          </w:p>
        </w:tc>
        <w:tc>
          <w:tcPr>
            <w:tcW w:w="3228" w:type="dxa"/>
            <w:gridSpan w:val="3"/>
            <w:vAlign w:val="center"/>
          </w:tcPr>
          <w:p>
            <w:pPr>
              <w:pStyle w:val="60"/>
              <w:autoSpaceDE/>
              <w:autoSpaceDN/>
              <w:adjustRightInd/>
              <w:textAlignment w:val="auto"/>
              <w:rPr>
                <w:rFonts w:hint="eastAsia" w:ascii="Times New Roman" w:hAnsi="Times New Roman" w:eastAsia="宋体" w:cs="Times New Roman"/>
                <w:color w:val="00B050"/>
                <w:kern w:val="2"/>
                <w:lang w:val="en-US" w:eastAsia="zh-CN"/>
              </w:rPr>
            </w:pPr>
            <w:r>
              <w:rPr>
                <w:rFonts w:hint="eastAsia" w:ascii="Times New Roman" w:hAnsi="Times New Roman" w:cs="Times New Roman"/>
                <w:color w:val="00B050"/>
                <w:kern w:val="2"/>
                <w:lang w:val="en-US" w:eastAsia="zh-CN"/>
              </w:rP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w:t>
            </w:r>
          </w:p>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（万元）</w:t>
            </w:r>
          </w:p>
        </w:tc>
        <w:tc>
          <w:tcPr>
            <w:tcW w:w="1434" w:type="dxa"/>
            <w:gridSpan w:val="2"/>
            <w:vAlign w:val="center"/>
          </w:tcPr>
          <w:p>
            <w:pPr>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2</w:t>
            </w:r>
            <w:r>
              <w:rPr>
                <w:rFonts w:hint="default" w:ascii="Times New Roman" w:hAnsi="Times New Roman" w:cs="Times New Roman"/>
                <w:color w:val="auto"/>
                <w:sz w:val="24"/>
                <w:lang w:val="en-US" w:eastAsia="zh-CN"/>
              </w:rPr>
              <w:t>00</w:t>
            </w:r>
          </w:p>
        </w:tc>
        <w:tc>
          <w:tcPr>
            <w:tcW w:w="1840" w:type="dxa"/>
            <w:gridSpan w:val="2"/>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其中：环保投资（万元）</w:t>
            </w:r>
          </w:p>
        </w:tc>
        <w:tc>
          <w:tcPr>
            <w:tcW w:w="1305" w:type="dxa"/>
            <w:gridSpan w:val="2"/>
            <w:vAlign w:val="center"/>
          </w:tcPr>
          <w:p>
            <w:pPr>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2</w:t>
            </w:r>
            <w:r>
              <w:rPr>
                <w:rFonts w:hint="default" w:ascii="Times New Roman" w:hAnsi="Times New Roman" w:cs="Times New Roman"/>
                <w:color w:val="auto"/>
                <w:sz w:val="24"/>
                <w:lang w:val="en-US" w:eastAsia="zh-CN"/>
              </w:rPr>
              <w:t>0</w:t>
            </w:r>
          </w:p>
        </w:tc>
        <w:tc>
          <w:tcPr>
            <w:tcW w:w="1889" w:type="dxa"/>
            <w:gridSpan w:val="2"/>
            <w:vAlign w:val="center"/>
          </w:tcPr>
          <w:p>
            <w:pPr>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环保投资占总投资比例</w:t>
            </w:r>
          </w:p>
        </w:tc>
        <w:tc>
          <w:tcPr>
            <w:tcW w:w="1339" w:type="dxa"/>
            <w:vAlign w:val="center"/>
          </w:tcPr>
          <w:p>
            <w:pPr>
              <w:pStyle w:val="65"/>
              <w:topLinePunct w:val="0"/>
              <w:autoSpaceDE/>
              <w:autoSpaceDN/>
              <w:adjustRightInd/>
              <w:snapToGrid w:val="0"/>
              <w:textAlignment w:val="auto"/>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评价经费</w:t>
            </w:r>
          </w:p>
        </w:tc>
        <w:tc>
          <w:tcPr>
            <w:tcW w:w="1434" w:type="dxa"/>
            <w:gridSpan w:val="2"/>
            <w:tcBorders>
              <w:bottom w:val="single" w:color="auto" w:sz="4" w:space="0"/>
            </w:tcBorders>
            <w:vAlign w:val="center"/>
          </w:tcPr>
          <w:p>
            <w:pPr>
              <w:pStyle w:val="60"/>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w:t>
            </w:r>
          </w:p>
        </w:tc>
        <w:tc>
          <w:tcPr>
            <w:tcW w:w="1840" w:type="dxa"/>
            <w:gridSpan w:val="2"/>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预计投产日期</w:t>
            </w:r>
          </w:p>
        </w:tc>
        <w:tc>
          <w:tcPr>
            <w:tcW w:w="4533" w:type="dxa"/>
            <w:gridSpan w:val="5"/>
            <w:tcBorders>
              <w:bottom w:val="single" w:color="auto" w:sz="4" w:space="0"/>
            </w:tcBorders>
            <w:vAlign w:val="center"/>
          </w:tcPr>
          <w:p>
            <w:pPr>
              <w:pStyle w:val="60"/>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kern w:val="2"/>
              </w:rPr>
              <w:t>2019年0</w:t>
            </w:r>
            <w:r>
              <w:rPr>
                <w:rFonts w:hint="eastAsia" w:ascii="Times New Roman" w:hAnsi="Times New Roman" w:cs="Times New Roman"/>
                <w:color w:val="auto"/>
                <w:kern w:val="2"/>
                <w:lang w:val="en-US" w:eastAsia="zh-CN"/>
              </w:rPr>
              <w:t>9</w:t>
            </w:r>
            <w:r>
              <w:rPr>
                <w:rFonts w:hint="default" w:ascii="Times New Roman" w:hAnsi="Times New Roman" w:cs="Times New Roman"/>
                <w:color w:val="auto"/>
                <w:kern w:val="2"/>
              </w:rPr>
              <w:t>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rPr>
        <w:tc>
          <w:tcPr>
            <w:tcW w:w="1677" w:type="dxa"/>
            <w:tcBorders>
              <w:bottom w:val="single" w:color="auto" w:sz="4" w:space="0"/>
            </w:tcBorders>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807" w:type="dxa"/>
            <w:gridSpan w:val="9"/>
            <w:tcBorders>
              <w:bottom w:val="single" w:color="auto" w:sz="4" w:space="0"/>
            </w:tcBorders>
            <w:vAlign w:val="center"/>
          </w:tcPr>
          <w:p>
            <w:pPr>
              <w:pStyle w:val="60"/>
              <w:autoSpaceDE/>
              <w:autoSpaceDN/>
              <w:adjustRightInd/>
              <w:textAlignment w:val="auto"/>
              <w:rPr>
                <w:rFonts w:hint="default" w:ascii="Times New Roman" w:hAnsi="Times New Roman" w:cs="Times New Roman"/>
                <w:color w:val="auto"/>
                <w:kern w:val="2"/>
              </w:rPr>
            </w:pPr>
            <w:r>
              <w:rPr>
                <w:rFonts w:hint="default" w:ascii="Times New Roman" w:hAnsi="Times New Roman" w:cs="Times New Roman"/>
                <w:color w:val="auto"/>
              </w:rPr>
              <w:t>北纬23°2</w:t>
            </w:r>
            <w:r>
              <w:rPr>
                <w:rFonts w:hint="default" w:ascii="Times New Roman" w:hAnsi="Times New Roman" w:cs="Times New Roman"/>
                <w:color w:val="auto"/>
                <w:lang w:val="en-US" w:eastAsia="zh-CN"/>
              </w:rPr>
              <w:t>1</w:t>
            </w:r>
            <w:r>
              <w:rPr>
                <w:rFonts w:hint="default" w:ascii="Times New Roman" w:hAnsi="Times New Roman" w:cs="Times New Roman"/>
                <w:color w:val="auto"/>
              </w:rPr>
              <w:t>'25"，东经11</w:t>
            </w:r>
            <w:r>
              <w:rPr>
                <w:rFonts w:hint="default" w:ascii="Times New Roman" w:hAnsi="Times New Roman" w:cs="Times New Roman"/>
                <w:color w:val="auto"/>
                <w:lang w:val="en-US" w:eastAsia="zh-CN"/>
              </w:rPr>
              <w:t>6</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59</w:t>
            </w:r>
            <w:r>
              <w:rPr>
                <w:rFonts w:hint="default" w:ascii="Times New Roman" w:hAnsi="Times New Roman" w:cs="Times New Roman"/>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64" w:hRule="atLeast"/>
        </w:trPr>
        <w:tc>
          <w:tcPr>
            <w:tcW w:w="9484" w:type="dxa"/>
            <w:gridSpan w:val="10"/>
            <w:vAlign w:val="center"/>
          </w:tcPr>
          <w:p>
            <w:pPr>
              <w:spacing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项目内容及规模：</w:t>
            </w:r>
          </w:p>
          <w:p>
            <w:pPr>
              <w:pStyle w:val="46"/>
              <w:adjustRightInd w:val="0"/>
              <w:snapToGrid/>
              <w:ind w:firstLine="480" w:firstLineChars="200"/>
              <w:rPr>
                <w:rFonts w:hint="default" w:ascii="Times New Roman" w:hAnsi="Times New Roman" w:cs="Times New Roman"/>
                <w:color w:val="7030A0"/>
                <w:lang w:val="en-US" w:eastAsia="zh-CN"/>
              </w:rPr>
            </w:pPr>
            <w:r>
              <w:rPr>
                <w:rFonts w:hint="default" w:ascii="Times New Roman" w:hAnsi="Times New Roman" w:cs="Times New Roman"/>
                <w:color w:val="7030A0"/>
                <w:lang w:eastAsia="zh-CN"/>
              </w:rPr>
              <w:t>近年来，随着人口的日益增多及其他</w:t>
            </w:r>
            <w:r>
              <w:rPr>
                <w:rFonts w:hint="eastAsia" w:ascii="Times New Roman" w:cs="Times New Roman"/>
                <w:color w:val="7030A0"/>
                <w:lang w:eastAsia="zh-CN"/>
              </w:rPr>
              <w:t>市场</w:t>
            </w:r>
            <w:r>
              <w:rPr>
                <w:rFonts w:hint="default" w:ascii="Times New Roman" w:hAnsi="Times New Roman" w:cs="Times New Roman"/>
                <w:color w:val="7030A0"/>
                <w:lang w:eastAsia="zh-CN"/>
              </w:rPr>
              <w:t>因素，纺织工业的发展一方面突出表现为原料紧缺、价格上扬，另一方面造成了大量废旧纺织品的产生，包括生产过程中产生的碎料布片以及日常生活中产生的废碎布</w:t>
            </w:r>
            <w:r>
              <w:rPr>
                <w:rFonts w:hint="default" w:ascii="Times New Roman" w:hAnsi="Times New Roman" w:cs="Times New Roman"/>
                <w:color w:val="7030A0"/>
              </w:rPr>
              <w:t>。</w:t>
            </w:r>
            <w:r>
              <w:rPr>
                <w:rFonts w:hint="default" w:ascii="Times New Roman" w:hAnsi="Times New Roman" w:cs="Times New Roman"/>
                <w:color w:val="7030A0"/>
                <w:lang w:eastAsia="zh-CN"/>
              </w:rPr>
              <w:t>“十三五”期间，我国纺织品消耗量以</w:t>
            </w:r>
            <w:r>
              <w:rPr>
                <w:rFonts w:hint="default" w:ascii="Times New Roman" w:hAnsi="Times New Roman" w:cs="Times New Roman"/>
                <w:color w:val="7030A0"/>
                <w:lang w:val="en-US" w:eastAsia="zh-CN"/>
              </w:rPr>
              <w:t>12%速度增长，预计到“十三五”末，我国纺织行业废料累计产生量将超过14亿吨。而目前，绝大多数的纺织废料没有得到综合利用。随着相关政策、制度、组织的不断完善，以及新技术的突破及应用，纺织行业再生利用资源综合利用将引来一个新的发展时期。碎布是纺织厂生产中常见废料和人们日常生活中产生的常见废品</w:t>
            </w:r>
            <w:r>
              <w:rPr>
                <w:rFonts w:hint="eastAsia" w:ascii="Times New Roman" w:cs="Times New Roman"/>
                <w:color w:val="7030A0"/>
                <w:lang w:val="en-US" w:eastAsia="zh-CN"/>
              </w:rPr>
              <w:t>，</w:t>
            </w:r>
            <w:r>
              <w:rPr>
                <w:rFonts w:hint="default" w:ascii="Times New Roman" w:hAnsi="Times New Roman" w:cs="Times New Roman"/>
                <w:color w:val="7030A0"/>
                <w:lang w:val="en-US" w:eastAsia="zh-CN"/>
              </w:rPr>
              <w:t>完全可以重新再生加以利用，价格比棉花便宜，利用碎布开松加棉加工成再生棉，对于实现企业节能降耗、降低生产成本、提高经济效益具有明显的积极作用。</w:t>
            </w:r>
          </w:p>
          <w:p>
            <w:pPr>
              <w:pStyle w:val="46"/>
              <w:adjustRightInd w:val="0"/>
              <w:snapToGrid/>
              <w:ind w:firstLine="480" w:firstLineChars="200"/>
              <w:rPr>
                <w:rFonts w:hint="default" w:ascii="Times New Roman" w:hAnsi="Times New Roman" w:cs="Times New Roman"/>
                <w:color w:val="7030A0"/>
              </w:rPr>
            </w:pPr>
            <w:r>
              <w:rPr>
                <w:rFonts w:hint="default" w:ascii="Times New Roman" w:hAnsi="Times New Roman" w:cs="Times New Roman"/>
                <w:color w:val="7030A0"/>
                <w:lang w:eastAsia="zh-CN"/>
              </w:rPr>
              <w:t>普宁市梅塘强彬纺织厂</w:t>
            </w:r>
            <w:r>
              <w:rPr>
                <w:rFonts w:hint="eastAsia" w:ascii="Times New Roman" w:cs="Times New Roman"/>
                <w:color w:val="7030A0"/>
                <w:lang w:eastAsia="zh-CN"/>
              </w:rPr>
              <w:t>于</w:t>
            </w:r>
            <w:r>
              <w:rPr>
                <w:rFonts w:hint="eastAsia" w:ascii="Times New Roman" w:cs="Times New Roman"/>
                <w:color w:val="7030A0"/>
                <w:lang w:val="en-US" w:eastAsia="zh-CN"/>
              </w:rPr>
              <w:t>2018年注册，</w:t>
            </w:r>
            <w:r>
              <w:rPr>
                <w:rFonts w:hint="default" w:ascii="Times New Roman" w:hAnsi="Times New Roman" w:cs="Times New Roman"/>
                <w:color w:val="7030A0"/>
                <w:lang w:eastAsia="zh-CN"/>
              </w:rPr>
              <w:t>租用普宁市梅塘镇新光村镇政府西侧</w:t>
            </w:r>
            <w:r>
              <w:rPr>
                <w:rFonts w:hint="default" w:ascii="Times New Roman" w:hAnsi="Times New Roman" w:cs="Times New Roman"/>
                <w:color w:val="7030A0"/>
              </w:rPr>
              <w:t>（具体地点见附图1）的场地作为生产车间，投资</w:t>
            </w:r>
            <w:r>
              <w:rPr>
                <w:rFonts w:hint="eastAsia" w:ascii="Times New Roman" w:cs="Times New Roman"/>
                <w:color w:val="7030A0"/>
                <w:lang w:val="en-US" w:eastAsia="zh-CN"/>
              </w:rPr>
              <w:t>2</w:t>
            </w:r>
            <w:r>
              <w:rPr>
                <w:rFonts w:hint="default" w:ascii="Times New Roman" w:hAnsi="Times New Roman" w:cs="Times New Roman"/>
                <w:color w:val="7030A0"/>
              </w:rPr>
              <w:t>00万元，</w:t>
            </w:r>
            <w:r>
              <w:rPr>
                <w:rFonts w:hint="default" w:ascii="Times New Roman" w:hAnsi="Times New Roman" w:cs="Times New Roman"/>
                <w:color w:val="7030A0"/>
                <w:lang w:eastAsia="zh-CN"/>
              </w:rPr>
              <w:t>建设年产</w:t>
            </w:r>
            <w:r>
              <w:rPr>
                <w:rFonts w:hint="default" w:ascii="Times New Roman" w:hAnsi="Times New Roman" w:cs="Times New Roman"/>
                <w:color w:val="7030A0"/>
                <w:lang w:val="en-US" w:eastAsia="zh-CN"/>
              </w:rPr>
              <w:t>200吨再生棉项目</w:t>
            </w:r>
            <w:r>
              <w:rPr>
                <w:rFonts w:hint="eastAsia" w:ascii="Times New Roman" w:cs="Times New Roman"/>
                <w:color w:val="7030A0"/>
                <w:lang w:val="en-US" w:eastAsia="zh-CN"/>
              </w:rPr>
              <w:t>，并投产至今</w:t>
            </w:r>
            <w:r>
              <w:rPr>
                <w:rFonts w:hint="default" w:ascii="Times New Roman" w:hAnsi="Times New Roman" w:cs="Times New Roman"/>
                <w:color w:val="7030A0"/>
              </w:rPr>
              <w:t>。</w:t>
            </w:r>
          </w:p>
          <w:p>
            <w:pPr>
              <w:snapToGrid w:val="0"/>
              <w:spacing w:line="360" w:lineRule="auto"/>
              <w:ind w:firstLine="480" w:firstLineChars="200"/>
              <w:rPr>
                <w:rFonts w:hint="eastAsia"/>
                <w:color w:val="7030A0"/>
                <w:sz w:val="24"/>
              </w:rPr>
            </w:pPr>
            <w:r>
              <w:rPr>
                <w:rFonts w:hint="eastAsia" w:hAnsi="Calibri"/>
                <w:color w:val="7030A0"/>
                <w:sz w:val="24"/>
              </w:rPr>
              <w:t>项目于20</w:t>
            </w:r>
            <w:r>
              <w:rPr>
                <w:rFonts w:hint="eastAsia" w:hAnsi="Calibri"/>
                <w:color w:val="7030A0"/>
                <w:sz w:val="24"/>
                <w:lang w:val="en-US" w:eastAsia="zh-CN"/>
              </w:rPr>
              <w:t>18</w:t>
            </w:r>
            <w:r>
              <w:rPr>
                <w:rFonts w:hint="eastAsia" w:hAnsi="Calibri"/>
                <w:color w:val="7030A0"/>
                <w:sz w:val="24"/>
              </w:rPr>
              <w:t>年</w:t>
            </w:r>
            <w:r>
              <w:rPr>
                <w:rFonts w:hint="eastAsia" w:hAnsi="Calibri"/>
                <w:color w:val="7030A0"/>
                <w:sz w:val="24"/>
                <w:lang w:val="en-US" w:eastAsia="zh-CN"/>
              </w:rPr>
              <w:t>9</w:t>
            </w:r>
            <w:r>
              <w:rPr>
                <w:rFonts w:hint="eastAsia" w:hAnsi="Calibri"/>
                <w:color w:val="7030A0"/>
                <w:sz w:val="24"/>
              </w:rPr>
              <w:t>月份在普宁市</w:t>
            </w:r>
            <w:r>
              <w:rPr>
                <w:rFonts w:hint="eastAsia" w:hAnsi="Calibri"/>
                <w:color w:val="7030A0"/>
                <w:sz w:val="24"/>
                <w:lang w:eastAsia="zh-CN"/>
              </w:rPr>
              <w:t>梅塘</w:t>
            </w:r>
            <w:r>
              <w:rPr>
                <w:rFonts w:hint="eastAsia" w:hAnsi="Calibri"/>
                <w:color w:val="7030A0"/>
                <w:sz w:val="24"/>
              </w:rPr>
              <w:t>镇</w:t>
            </w:r>
            <w:r>
              <w:rPr>
                <w:rFonts w:hint="eastAsia" w:hAnsi="Calibri"/>
                <w:color w:val="7030A0"/>
                <w:sz w:val="24"/>
                <w:lang w:eastAsia="zh-CN"/>
              </w:rPr>
              <w:t>新光</w:t>
            </w:r>
            <w:r>
              <w:rPr>
                <w:rFonts w:hint="eastAsia" w:hAnsi="Calibri"/>
                <w:color w:val="7030A0"/>
                <w:sz w:val="24"/>
              </w:rPr>
              <w:t>村</w:t>
            </w:r>
            <w:r>
              <w:rPr>
                <w:rFonts w:hint="eastAsia" w:hAnsi="Calibri"/>
                <w:color w:val="7030A0"/>
                <w:sz w:val="24"/>
                <w:lang w:eastAsia="zh-CN"/>
              </w:rPr>
              <w:t>镇政府西侧</w:t>
            </w:r>
            <w:r>
              <w:rPr>
                <w:rFonts w:hint="eastAsia" w:hAnsi="Calibri"/>
                <w:color w:val="7030A0"/>
                <w:sz w:val="24"/>
              </w:rPr>
              <w:t>开工建设，20</w:t>
            </w:r>
            <w:r>
              <w:rPr>
                <w:rFonts w:hint="eastAsia" w:hAnsi="Calibri"/>
                <w:color w:val="7030A0"/>
                <w:sz w:val="24"/>
                <w:lang w:val="en-US" w:eastAsia="zh-CN"/>
              </w:rPr>
              <w:t>18</w:t>
            </w:r>
            <w:r>
              <w:rPr>
                <w:rFonts w:hint="eastAsia" w:hAnsi="Calibri"/>
                <w:color w:val="7030A0"/>
                <w:sz w:val="24"/>
              </w:rPr>
              <w:t>年12月份开始投入生产，</w:t>
            </w:r>
            <w:r>
              <w:rPr>
                <w:rFonts w:hAnsi="Calibri"/>
                <w:color w:val="7030A0"/>
                <w:sz w:val="24"/>
              </w:rPr>
              <w:t>尚未</w:t>
            </w:r>
            <w:r>
              <w:rPr>
                <w:rFonts w:hint="eastAsia" w:hAnsi="Calibri"/>
                <w:color w:val="7030A0"/>
                <w:sz w:val="24"/>
              </w:rPr>
              <w:t>办理相关</w:t>
            </w:r>
            <w:r>
              <w:rPr>
                <w:rFonts w:hAnsi="Calibri"/>
                <w:color w:val="7030A0"/>
                <w:sz w:val="24"/>
              </w:rPr>
              <w:t>环保手续</w:t>
            </w:r>
            <w:r>
              <w:rPr>
                <w:rFonts w:hint="eastAsia" w:hAnsi="Calibri"/>
                <w:color w:val="7030A0"/>
                <w:sz w:val="24"/>
              </w:rPr>
              <w:t>，违反了《</w:t>
            </w:r>
            <w:r>
              <w:rPr>
                <w:rFonts w:hint="eastAsia" w:hAnsi="Calibri"/>
                <w:color w:val="7030A0"/>
                <w:sz w:val="24"/>
                <w:lang w:eastAsia="zh-CN"/>
              </w:rPr>
              <w:t>中华人民共和国环境影响评价法</w:t>
            </w:r>
            <w:r>
              <w:rPr>
                <w:rFonts w:hint="eastAsia" w:hAnsi="Calibri"/>
                <w:color w:val="7030A0"/>
                <w:sz w:val="24"/>
              </w:rPr>
              <w:t>》第</w:t>
            </w:r>
            <w:r>
              <w:rPr>
                <w:rFonts w:hint="eastAsia" w:hAnsi="Calibri"/>
                <w:color w:val="7030A0"/>
                <w:sz w:val="24"/>
                <w:lang w:eastAsia="zh-CN"/>
              </w:rPr>
              <w:t>二</w:t>
            </w:r>
            <w:r>
              <w:rPr>
                <w:rFonts w:hint="eastAsia" w:hAnsi="Calibri"/>
                <w:color w:val="7030A0"/>
                <w:sz w:val="24"/>
              </w:rPr>
              <w:t>十五条的规定</w:t>
            </w:r>
            <w:r>
              <w:rPr>
                <w:rFonts w:hAnsi="Calibri"/>
                <w:color w:val="7030A0"/>
                <w:sz w:val="24"/>
              </w:rPr>
              <w:t>。</w:t>
            </w:r>
            <w:r>
              <w:rPr>
                <w:rFonts w:hint="eastAsia" w:hAnsi="Calibri"/>
                <w:color w:val="7030A0"/>
                <w:sz w:val="24"/>
              </w:rPr>
              <w:t>公司于</w:t>
            </w:r>
            <w:r>
              <w:rPr>
                <w:rFonts w:hAnsi="Calibri"/>
                <w:color w:val="7030A0"/>
                <w:sz w:val="24"/>
              </w:rPr>
              <w:t>2019</w:t>
            </w:r>
            <w:r>
              <w:rPr>
                <w:rFonts w:hint="eastAsia" w:hAnsi="Calibri"/>
                <w:color w:val="7030A0"/>
                <w:sz w:val="24"/>
              </w:rPr>
              <w:t>年</w:t>
            </w:r>
            <w:r>
              <w:rPr>
                <w:rFonts w:hint="eastAsia" w:hAnsi="Calibri"/>
                <w:color w:val="7030A0"/>
                <w:sz w:val="24"/>
                <w:lang w:val="en-US" w:eastAsia="zh-CN"/>
              </w:rPr>
              <w:t>2</w:t>
            </w:r>
            <w:r>
              <w:rPr>
                <w:rFonts w:hint="eastAsia" w:hAnsi="Calibri"/>
                <w:color w:val="7030A0"/>
                <w:sz w:val="24"/>
              </w:rPr>
              <w:t>月主动向</w:t>
            </w:r>
            <w:r>
              <w:rPr>
                <w:rFonts w:hint="eastAsia" w:hAnsi="Calibri"/>
                <w:color w:val="7030A0"/>
                <w:sz w:val="24"/>
                <w:lang w:eastAsia="zh-CN"/>
              </w:rPr>
              <w:t>普宁市环境保护局</w:t>
            </w:r>
            <w:r>
              <w:rPr>
                <w:rFonts w:hint="eastAsia" w:hAnsi="Calibri"/>
                <w:color w:val="7030A0"/>
                <w:sz w:val="24"/>
              </w:rPr>
              <w:t>提交</w:t>
            </w:r>
            <w:r>
              <w:rPr>
                <w:rFonts w:hAnsi="Calibri"/>
                <w:color w:val="7030A0"/>
                <w:sz w:val="24"/>
              </w:rPr>
              <w:t>自查报告，</w:t>
            </w:r>
            <w:r>
              <w:rPr>
                <w:rFonts w:hint="eastAsia" w:hAnsi="Calibri"/>
                <w:color w:val="7030A0"/>
                <w:sz w:val="24"/>
              </w:rPr>
              <w:t>自愿接受</w:t>
            </w:r>
            <w:r>
              <w:rPr>
                <w:rFonts w:hint="eastAsia" w:hAnsi="Calibri"/>
                <w:color w:val="7030A0"/>
                <w:sz w:val="24"/>
                <w:lang w:eastAsia="zh-CN"/>
              </w:rPr>
              <w:t>环保</w:t>
            </w:r>
            <w:r>
              <w:rPr>
                <w:rFonts w:hint="eastAsia" w:hAnsi="Calibri"/>
                <w:color w:val="7030A0"/>
                <w:sz w:val="24"/>
              </w:rPr>
              <w:t>部门处罚。因此</w:t>
            </w:r>
            <w:r>
              <w:rPr>
                <w:rFonts w:hint="eastAsia" w:hAnsi="Calibri"/>
                <w:color w:val="7030A0"/>
                <w:sz w:val="24"/>
                <w:lang w:eastAsia="zh-CN"/>
              </w:rPr>
              <w:t>普宁市环境保护局</w:t>
            </w:r>
            <w:r>
              <w:rPr>
                <w:rFonts w:hint="eastAsia" w:hAnsi="Calibri"/>
                <w:color w:val="7030A0"/>
                <w:sz w:val="24"/>
              </w:rPr>
              <w:t>根据相关法律法规向</w:t>
            </w:r>
            <w:r>
              <w:rPr>
                <w:rFonts w:hint="eastAsia" w:hAnsi="Calibri"/>
                <w:color w:val="7030A0"/>
                <w:sz w:val="24"/>
                <w:lang w:eastAsia="zh-CN"/>
              </w:rPr>
              <w:t>普宁市梅塘强彬纺织厂</w:t>
            </w:r>
            <w:r>
              <w:rPr>
                <w:rFonts w:hint="eastAsia" w:hAnsi="Calibri"/>
                <w:color w:val="7030A0"/>
                <w:sz w:val="24"/>
              </w:rPr>
              <w:t>发出</w:t>
            </w:r>
            <w:r>
              <w:rPr>
                <w:rFonts w:hint="eastAsia" w:hAnsi="Calibri"/>
                <w:color w:val="7030A0"/>
                <w:sz w:val="24"/>
                <w:lang w:eastAsia="zh-CN"/>
              </w:rPr>
              <w:t>行政处罚事先（听证）告知书</w:t>
            </w:r>
            <w:r>
              <w:rPr>
                <w:rFonts w:hint="eastAsia" w:hAnsi="Calibri"/>
                <w:color w:val="7030A0"/>
                <w:sz w:val="24"/>
              </w:rPr>
              <w:t>（</w:t>
            </w:r>
            <w:r>
              <w:rPr>
                <w:rFonts w:hint="eastAsia" w:hAnsi="Calibri"/>
                <w:color w:val="7030A0"/>
                <w:sz w:val="24"/>
                <w:lang w:eastAsia="zh-CN"/>
              </w:rPr>
              <w:t>普环听告字</w:t>
            </w:r>
            <w:r>
              <w:rPr>
                <w:rFonts w:hint="eastAsia" w:hAnsi="Calibri"/>
                <w:color w:val="7030A0"/>
                <w:sz w:val="24"/>
                <w:lang w:val="en-US" w:eastAsia="zh-CN"/>
              </w:rPr>
              <w:t>[2019]5号</w:t>
            </w:r>
            <w:r>
              <w:rPr>
                <w:rFonts w:hint="eastAsia" w:hAnsi="Calibri"/>
                <w:color w:val="7030A0"/>
                <w:sz w:val="24"/>
              </w:rPr>
              <w:t>）</w:t>
            </w:r>
            <w:r>
              <w:rPr>
                <w:rFonts w:hint="eastAsia" w:hAnsi="Calibri"/>
                <w:color w:val="7030A0"/>
                <w:sz w:val="24"/>
                <w:lang w:eastAsia="zh-CN"/>
              </w:rPr>
              <w:t>和行政处罚决定书</w:t>
            </w:r>
            <w:r>
              <w:rPr>
                <w:rFonts w:hint="eastAsia" w:hAnsi="Calibri"/>
                <w:color w:val="7030A0"/>
                <w:sz w:val="24"/>
              </w:rPr>
              <w:t>（</w:t>
            </w:r>
            <w:r>
              <w:rPr>
                <w:rFonts w:hint="eastAsia" w:hAnsi="Calibri"/>
                <w:color w:val="7030A0"/>
                <w:sz w:val="24"/>
                <w:lang w:eastAsia="zh-CN"/>
              </w:rPr>
              <w:t>普环罚字</w:t>
            </w:r>
            <w:r>
              <w:rPr>
                <w:rFonts w:hint="eastAsia" w:hAnsi="Calibri"/>
                <w:color w:val="7030A0"/>
                <w:sz w:val="24"/>
                <w:lang w:val="en-US" w:eastAsia="zh-CN"/>
              </w:rPr>
              <w:t>[2019]5号</w:t>
            </w:r>
            <w:r>
              <w:rPr>
                <w:rFonts w:hint="eastAsia" w:hAnsi="Calibri"/>
                <w:color w:val="7030A0"/>
                <w:sz w:val="24"/>
              </w:rPr>
              <w:t>）</w:t>
            </w:r>
            <w:r>
              <w:rPr>
                <w:rFonts w:hint="eastAsia" w:hAnsi="Calibri"/>
                <w:color w:val="7030A0"/>
                <w:sz w:val="24"/>
                <w:highlight w:val="none"/>
              </w:rPr>
              <w:t>（详见附件</w:t>
            </w:r>
            <w:r>
              <w:rPr>
                <w:rFonts w:hint="eastAsia" w:hAnsi="Calibri"/>
                <w:color w:val="7030A0"/>
                <w:sz w:val="24"/>
                <w:highlight w:val="none"/>
                <w:lang w:val="en-US" w:eastAsia="zh-CN"/>
              </w:rPr>
              <w:t>4</w:t>
            </w:r>
            <w:r>
              <w:rPr>
                <w:rFonts w:hint="eastAsia" w:hAnsi="Calibri"/>
                <w:color w:val="7030A0"/>
                <w:sz w:val="24"/>
                <w:highlight w:val="none"/>
              </w:rPr>
              <w:t>）</w:t>
            </w:r>
            <w:r>
              <w:rPr>
                <w:rFonts w:hint="eastAsia" w:hAnsi="Calibri"/>
                <w:color w:val="7030A0"/>
                <w:sz w:val="24"/>
              </w:rPr>
              <w:t>，</w:t>
            </w:r>
            <w:r>
              <w:rPr>
                <w:rFonts w:hint="eastAsia" w:hAnsi="Calibri"/>
                <w:color w:val="7030A0"/>
                <w:sz w:val="24"/>
                <w:lang w:eastAsia="zh-CN"/>
              </w:rPr>
              <w:t>处以该项目总投资金额百分之一的罚款，合计人民币贰万元</w:t>
            </w:r>
            <w:r>
              <w:rPr>
                <w:rFonts w:hint="eastAsia" w:hAnsi="Calibri"/>
                <w:color w:val="7030A0"/>
                <w:sz w:val="24"/>
              </w:rPr>
              <w:t>。</w:t>
            </w:r>
            <w:r>
              <w:rPr>
                <w:rFonts w:hint="eastAsia" w:hAnsi="Calibri"/>
                <w:color w:val="7030A0"/>
                <w:sz w:val="24"/>
                <w:lang w:eastAsia="zh-CN"/>
              </w:rPr>
              <w:t>普宁市梅塘强彬纺织厂</w:t>
            </w:r>
            <w:r>
              <w:rPr>
                <w:rFonts w:hint="eastAsia" w:hAnsi="Calibri"/>
                <w:color w:val="7030A0"/>
                <w:sz w:val="24"/>
              </w:rPr>
              <w:t>接受相关处罚决定，</w:t>
            </w:r>
            <w:r>
              <w:rPr>
                <w:rFonts w:hAnsi="Calibri"/>
                <w:color w:val="7030A0"/>
                <w:sz w:val="24"/>
              </w:rPr>
              <w:t>并</w:t>
            </w:r>
            <w:r>
              <w:rPr>
                <w:rFonts w:hint="eastAsia" w:hAnsi="Calibri"/>
                <w:color w:val="7030A0"/>
                <w:sz w:val="24"/>
              </w:rPr>
              <w:t>按照《</w:t>
            </w:r>
            <w:r>
              <w:rPr>
                <w:rFonts w:hAnsi="Calibri"/>
                <w:color w:val="7030A0"/>
                <w:sz w:val="24"/>
              </w:rPr>
              <w:t>环评法》等有关</w:t>
            </w:r>
            <w:r>
              <w:rPr>
                <w:rFonts w:hint="eastAsia" w:hAnsi="Calibri"/>
                <w:color w:val="7030A0"/>
                <w:sz w:val="24"/>
              </w:rPr>
              <w:t>环保法律法规，进行环境影响评价文件</w:t>
            </w:r>
            <w:r>
              <w:rPr>
                <w:rFonts w:hAnsi="Calibri"/>
                <w:color w:val="7030A0"/>
                <w:sz w:val="24"/>
              </w:rPr>
              <w:t>报批</w:t>
            </w:r>
            <w:r>
              <w:rPr>
                <w:rFonts w:hint="eastAsia" w:hAnsi="Calibri"/>
                <w:color w:val="7030A0"/>
                <w:sz w:val="24"/>
              </w:rPr>
              <w:t>。</w:t>
            </w:r>
          </w:p>
          <w:p>
            <w:pPr>
              <w:pStyle w:val="46"/>
              <w:adjustRightInd w:val="0"/>
              <w:snapToGrid/>
              <w:ind w:firstLine="480" w:firstLineChars="200"/>
              <w:rPr>
                <w:rFonts w:hint="default" w:ascii="Times New Roman" w:hAnsi="Times New Roman" w:cs="Times New Roman"/>
                <w:color w:val="auto"/>
              </w:rPr>
            </w:pPr>
            <w:r>
              <w:rPr>
                <w:rFonts w:hint="default" w:ascii="Times New Roman" w:hAnsi="Times New Roman" w:cs="Times New Roman"/>
                <w:color w:val="auto"/>
              </w:rPr>
              <w:t>根据《建设项目环境保护管理条例》（国务院第253号令）、《中华人民共和国环境影响评价法》（2018年修正）、国家环保部《建设项目环境影响评价分类管理名录》（2017年）的规定、生态环保部《建设项目环境影响评价分类管理名录》修改单（2018年）中有关规定，本项目属于“</w:t>
            </w:r>
            <w:r>
              <w:rPr>
                <w:rFonts w:hint="eastAsia" w:ascii="Times New Roman" w:hAnsi="Times New Roman" w:cs="Times New Roman"/>
                <w:b/>
                <w:color w:val="auto"/>
                <w:lang w:eastAsia="zh-CN"/>
              </w:rPr>
              <w:t>三十</w:t>
            </w:r>
            <w:r>
              <w:rPr>
                <w:rFonts w:hint="default" w:ascii="Times New Roman" w:hAnsi="Times New Roman" w:cs="Times New Roman"/>
                <w:b/>
                <w:color w:val="auto"/>
              </w:rPr>
              <w:t>、</w:t>
            </w:r>
            <w:r>
              <w:rPr>
                <w:rFonts w:hint="eastAsia" w:ascii="Times New Roman" w:hAnsi="Times New Roman" w:cs="Times New Roman"/>
                <w:b/>
                <w:color w:val="auto"/>
                <w:lang w:eastAsia="zh-CN"/>
              </w:rPr>
              <w:t>废旧资源综合利用业</w:t>
            </w:r>
            <w:r>
              <w:rPr>
                <w:rFonts w:hint="eastAsia" w:ascii="Times New Roman" w:hAnsi="Times New Roman" w:cs="Times New Roman"/>
                <w:b/>
                <w:color w:val="auto"/>
                <w:lang w:val="en-US" w:eastAsia="zh-CN"/>
              </w:rPr>
              <w:t>86</w:t>
            </w:r>
            <w:r>
              <w:rPr>
                <w:rFonts w:hint="default" w:ascii="Times New Roman" w:hAnsi="Times New Roman" w:cs="Times New Roman"/>
                <w:b/>
                <w:color w:val="auto"/>
              </w:rPr>
              <w:t>、</w:t>
            </w:r>
            <w:r>
              <w:rPr>
                <w:rFonts w:hint="eastAsia" w:ascii="Times New Roman" w:hAnsi="Times New Roman" w:cs="Times New Roman"/>
                <w:b/>
                <w:color w:val="auto"/>
                <w:lang w:eastAsia="zh-CN"/>
              </w:rPr>
              <w:t>废旧资源（含生物质）加工、再生利用</w:t>
            </w:r>
            <w:r>
              <w:rPr>
                <w:rFonts w:hint="eastAsia" w:ascii="Times New Roman" w:cs="Times New Roman"/>
                <w:b/>
                <w:color w:val="auto"/>
                <w:lang w:eastAsia="zh-CN"/>
              </w:rPr>
              <w:t>—</w:t>
            </w:r>
            <w:r>
              <w:rPr>
                <w:rFonts w:hint="eastAsia" w:ascii="Times New Roman" w:cs="Times New Roman"/>
                <w:b/>
                <w:color w:val="auto"/>
                <w:lang w:val="en-US" w:eastAsia="zh-CN"/>
              </w:rPr>
              <w:t>其他</w:t>
            </w:r>
            <w:r>
              <w:rPr>
                <w:rFonts w:hint="default" w:ascii="Times New Roman" w:hAnsi="Times New Roman" w:cs="Times New Roman"/>
                <w:color w:val="auto"/>
              </w:rPr>
              <w:t>”，属于“报告表”类别，应编制环境影响报告表。根据《中华人民共和国环境保护法》、《中华人民共和国环境影响评价法》和《建设项目环境保护管理条例》中有关规定，建设项目应在可行性研究阶段同步开展环境影响评价工作，为做好项目的环境保护工作，防止污染，做到经济效益、社会效益和环境效益的“三统一”，</w:t>
            </w:r>
            <w:r>
              <w:rPr>
                <w:rFonts w:hint="default" w:ascii="Times New Roman" w:hAnsi="Times New Roman" w:cs="Times New Roman"/>
                <w:bCs w:val="0"/>
                <w:color w:val="auto"/>
              </w:rPr>
              <w:t xml:space="preserve"> </w:t>
            </w:r>
            <w:r>
              <w:rPr>
                <w:rFonts w:hint="default" w:ascii="Times New Roman" w:hAnsi="Times New Roman" w:cs="Times New Roman"/>
                <w:bCs w:val="0"/>
                <w:color w:val="auto"/>
                <w:lang w:eastAsia="zh-CN"/>
              </w:rPr>
              <w:t>普宁市梅塘强彬纺织厂</w:t>
            </w:r>
            <w:r>
              <w:rPr>
                <w:rFonts w:hint="default" w:ascii="Times New Roman" w:hAnsi="Times New Roman" w:cs="Times New Roman"/>
                <w:color w:val="auto"/>
              </w:rPr>
              <w:t>委托</w:t>
            </w:r>
            <w:r>
              <w:rPr>
                <w:rFonts w:hint="eastAsia" w:ascii="Times New Roman" w:cs="Times New Roman"/>
                <w:color w:val="auto"/>
                <w:sz w:val="24"/>
                <w:lang w:eastAsia="zh-CN"/>
              </w:rPr>
              <w:t>深圳环新生态技术有限公司</w:t>
            </w:r>
            <w:r>
              <w:rPr>
                <w:rFonts w:hint="default" w:ascii="Times New Roman" w:hAnsi="Times New Roman" w:cs="Times New Roman"/>
                <w:color w:val="auto"/>
              </w:rPr>
              <w:t>进行该建设项目的环评工作。我单位在接到委托后，按项目特点与专业要求，进行现场踏勘、收集资料，针对本项目可能涉及的污染问题，从工程角度和环境角度进行了分析，并对工程中的污染等问题提出了相应的防治对策和管理措施，尤其对工程可能带来的环境正负影响和效益进行了客观的论述，在此基础上，编制了该环境影响报告表，为环境保护工作提供科学的依据。</w:t>
            </w:r>
          </w:p>
          <w:p>
            <w:pPr>
              <w:adjustRightIn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1、项目工程内容</w:t>
            </w:r>
          </w:p>
          <w:p>
            <w:pPr>
              <w:pStyle w:val="46"/>
              <w:adjustRightInd w:val="0"/>
              <w:snapToGrid/>
              <w:ind w:firstLine="480" w:firstLineChars="200"/>
              <w:rPr>
                <w:rFonts w:hint="default" w:ascii="Times New Roman" w:hAnsi="Times New Roman" w:cs="Times New Roman"/>
                <w:color w:val="auto"/>
              </w:rPr>
            </w:pPr>
            <w:r>
              <w:rPr>
                <w:rFonts w:hint="default" w:ascii="Times New Roman" w:hAnsi="Times New Roman" w:cs="Times New Roman"/>
                <w:color w:val="auto"/>
                <w:szCs w:val="21"/>
              </w:rPr>
              <w:t>项目总投资</w:t>
            </w:r>
            <w:r>
              <w:rPr>
                <w:rFonts w:hint="eastAsia" w:ascii="Times New Roman" w:cs="Times New Roman"/>
                <w:color w:val="auto"/>
                <w:lang w:val="en-US" w:eastAsia="zh-CN"/>
              </w:rPr>
              <w:t>2</w:t>
            </w:r>
            <w:r>
              <w:rPr>
                <w:rFonts w:hint="default" w:ascii="Times New Roman" w:hAnsi="Times New Roman" w:cs="Times New Roman"/>
                <w:color w:val="auto"/>
              </w:rPr>
              <w:t>00万元，</w:t>
            </w:r>
            <w:r>
              <w:rPr>
                <w:rFonts w:hint="default" w:ascii="Times New Roman" w:hAnsi="Times New Roman" w:cs="Times New Roman"/>
                <w:bCs w:val="0"/>
                <w:color w:val="FF0000"/>
              </w:rPr>
              <w:t>占地面积</w:t>
            </w:r>
            <w:r>
              <w:rPr>
                <w:rFonts w:hint="eastAsia" w:ascii="Times New Roman" w:hAnsi="Times New Roman" w:cs="Times New Roman"/>
                <w:bCs w:val="0"/>
                <w:color w:val="FF0000"/>
                <w:lang w:val="en-US" w:eastAsia="zh-CN"/>
              </w:rPr>
              <w:t>5000</w:t>
            </w:r>
            <w:r>
              <w:rPr>
                <w:rFonts w:hint="default" w:ascii="Times New Roman" w:hAnsi="Times New Roman" w:cs="Times New Roman"/>
                <w:color w:val="FF0000"/>
              </w:rPr>
              <w:t>m</w:t>
            </w:r>
            <w:r>
              <w:rPr>
                <w:rFonts w:hint="default" w:ascii="Times New Roman" w:hAnsi="Times New Roman" w:cs="Times New Roman"/>
                <w:color w:val="FF0000"/>
                <w:vertAlign w:val="superscript"/>
              </w:rPr>
              <w:t>2</w:t>
            </w:r>
            <w:r>
              <w:rPr>
                <w:rFonts w:hint="default" w:ascii="Times New Roman" w:hAnsi="Times New Roman" w:cs="Times New Roman"/>
                <w:color w:val="FF0000"/>
              </w:rPr>
              <w:t>，</w:t>
            </w:r>
            <w:r>
              <w:rPr>
                <w:rFonts w:hint="eastAsia" w:ascii="Times New Roman" w:cs="Times New Roman"/>
                <w:color w:val="FF0000"/>
                <w:lang w:eastAsia="zh-CN"/>
              </w:rPr>
              <w:t>建筑占地面积</w:t>
            </w:r>
            <w:r>
              <w:rPr>
                <w:rFonts w:hint="eastAsia" w:ascii="Times New Roman" w:cs="Times New Roman"/>
                <w:color w:val="FF0000"/>
                <w:lang w:val="en-US" w:eastAsia="zh-CN"/>
              </w:rPr>
              <w:t>4070</w:t>
            </w:r>
            <w:r>
              <w:rPr>
                <w:rFonts w:hint="default" w:ascii="Times New Roman" w:hAnsi="Times New Roman" w:cs="Times New Roman"/>
                <w:color w:val="FF0000"/>
              </w:rPr>
              <w:t>m</w:t>
            </w:r>
            <w:r>
              <w:rPr>
                <w:rFonts w:hint="default" w:ascii="Times New Roman" w:hAnsi="Times New Roman" w:cs="Times New Roman"/>
                <w:color w:val="FF0000"/>
                <w:vertAlign w:val="superscript"/>
              </w:rPr>
              <w:t>2</w:t>
            </w:r>
            <w:r>
              <w:rPr>
                <w:rFonts w:hint="eastAsia" w:ascii="Times New Roman" w:cs="Times New Roman"/>
                <w:color w:val="FF0000"/>
                <w:lang w:eastAsia="zh-CN"/>
              </w:rPr>
              <w:t>，总</w:t>
            </w:r>
            <w:r>
              <w:rPr>
                <w:rFonts w:hint="default" w:ascii="Times New Roman" w:hAnsi="Times New Roman" w:cs="Times New Roman"/>
                <w:color w:val="FF0000"/>
              </w:rPr>
              <w:t>建筑面积</w:t>
            </w:r>
            <w:r>
              <w:rPr>
                <w:rFonts w:hint="eastAsia" w:ascii="Times New Roman" w:hAnsi="Times New Roman" w:cs="Times New Roman"/>
                <w:color w:val="FF0000"/>
                <w:lang w:val="en-US" w:eastAsia="zh-CN"/>
              </w:rPr>
              <w:t>5</w:t>
            </w:r>
            <w:r>
              <w:rPr>
                <w:rFonts w:hint="default" w:ascii="Times New Roman" w:hAnsi="Times New Roman" w:cs="Times New Roman"/>
                <w:color w:val="FF0000"/>
              </w:rPr>
              <w:t>000 m</w:t>
            </w:r>
            <w:r>
              <w:rPr>
                <w:rFonts w:hint="default" w:ascii="Times New Roman" w:hAnsi="Times New Roman" w:cs="Times New Roman"/>
                <w:color w:val="FF0000"/>
                <w:vertAlign w:val="superscript"/>
              </w:rPr>
              <w:t>2</w:t>
            </w:r>
            <w:r>
              <w:rPr>
                <w:rFonts w:hint="default" w:ascii="Times New Roman" w:hAnsi="Times New Roman" w:cs="Times New Roman"/>
                <w:color w:val="auto"/>
              </w:rPr>
              <w:t>，</w:t>
            </w:r>
            <w:r>
              <w:rPr>
                <w:rFonts w:hint="default" w:ascii="Times New Roman" w:hAnsi="Times New Roman" w:cs="Times New Roman"/>
                <w:color w:val="00B050"/>
                <w:sz w:val="24"/>
              </w:rPr>
              <w:t>绿化面积</w:t>
            </w:r>
            <w:r>
              <w:rPr>
                <w:rFonts w:hint="default" w:ascii="Times New Roman" w:hAnsi="Times New Roman" w:cs="Times New Roman"/>
                <w:color w:val="00B050"/>
                <w:sz w:val="24"/>
                <w:lang w:val="en-US" w:eastAsia="zh-CN"/>
              </w:rPr>
              <w:t>500</w:t>
            </w:r>
            <w:r>
              <w:rPr>
                <w:rFonts w:hint="default" w:ascii="Times New Roman" w:hAnsi="Times New Roman" w:cs="Times New Roman"/>
                <w:color w:val="00B050"/>
                <w:sz w:val="24"/>
              </w:rPr>
              <w:t>m</w:t>
            </w:r>
            <w:r>
              <w:rPr>
                <w:rFonts w:hint="default" w:ascii="Times New Roman" w:hAnsi="Times New Roman" w:cs="Times New Roman"/>
                <w:color w:val="00B050"/>
                <w:sz w:val="24"/>
                <w:vertAlign w:val="superscript"/>
              </w:rPr>
              <w:t>2</w:t>
            </w:r>
            <w:r>
              <w:rPr>
                <w:rFonts w:hint="default" w:ascii="Times New Roman" w:hAnsi="Times New Roman" w:cs="Times New Roman"/>
                <w:color w:val="auto"/>
                <w:sz w:val="24"/>
              </w:rPr>
              <w:t>，</w:t>
            </w:r>
            <w:r>
              <w:rPr>
                <w:rFonts w:hint="default" w:ascii="Times New Roman" w:hAnsi="Times New Roman" w:cs="Times New Roman"/>
                <w:color w:val="auto"/>
              </w:rPr>
              <w:t>项目主要利用</w:t>
            </w:r>
            <w:r>
              <w:rPr>
                <w:rFonts w:hint="eastAsia" w:ascii="Times New Roman" w:hAnsi="Times New Roman" w:cs="Times New Roman"/>
                <w:bCs w:val="0"/>
                <w:color w:val="auto"/>
                <w:lang w:eastAsia="zh-CN"/>
              </w:rPr>
              <w:t>碎布</w:t>
            </w:r>
            <w:r>
              <w:rPr>
                <w:rFonts w:hint="default" w:ascii="Times New Roman" w:hAnsi="Times New Roman" w:cs="Times New Roman"/>
                <w:color w:val="auto"/>
              </w:rPr>
              <w:t>加工生产</w:t>
            </w:r>
            <w:r>
              <w:rPr>
                <w:rFonts w:hint="eastAsia" w:ascii="Times New Roman" w:hAnsi="Times New Roman" w:cs="Times New Roman"/>
                <w:color w:val="auto"/>
                <w:lang w:eastAsia="zh-CN"/>
              </w:rPr>
              <w:t>再生棉</w:t>
            </w:r>
            <w:r>
              <w:rPr>
                <w:rFonts w:hint="default" w:ascii="Times New Roman" w:hAnsi="Times New Roman" w:cs="Times New Roman"/>
                <w:color w:val="auto"/>
              </w:rPr>
              <w:t>，项目年产</w:t>
            </w:r>
            <w:r>
              <w:rPr>
                <w:rFonts w:hint="eastAsia" w:ascii="Times New Roman" w:hAnsi="Times New Roman" w:cs="Times New Roman"/>
                <w:color w:val="auto"/>
                <w:lang w:eastAsia="zh-CN"/>
              </w:rPr>
              <w:t>再生棉</w:t>
            </w:r>
            <w:r>
              <w:rPr>
                <w:rFonts w:hint="eastAsia" w:ascii="Times New Roman" w:hAnsi="Times New Roman" w:cs="Times New Roman"/>
                <w:color w:val="auto"/>
                <w:lang w:val="en-US" w:eastAsia="zh-CN"/>
              </w:rPr>
              <w:t>200</w:t>
            </w:r>
            <w:r>
              <w:rPr>
                <w:rFonts w:hint="default" w:ascii="Times New Roman" w:hAnsi="Times New Roman" w:cs="Times New Roman"/>
                <w:color w:val="auto"/>
              </w:rPr>
              <w:t>吨。</w:t>
            </w:r>
            <w:r>
              <w:rPr>
                <w:sz w:val="24"/>
              </w:rPr>
              <w:t>本项目主要建设内容见表</w:t>
            </w:r>
            <w:r>
              <w:rPr>
                <w:rFonts w:hint="eastAsia" w:ascii="Times New Roman" w:hAnsi="Times New Roman" w:cs="Times New Roman"/>
                <w:color w:val="auto"/>
                <w:lang w:eastAsia="zh-CN"/>
              </w:rPr>
              <w:t>1-1。</w:t>
            </w:r>
          </w:p>
          <w:p>
            <w:pPr>
              <w:ind w:firstLine="482"/>
              <w:jc w:val="center"/>
              <w:rPr>
                <w:rFonts w:hint="default" w:ascii="Times New Roman" w:hAnsi="Times New Roman" w:cs="Times New Roman"/>
                <w:b/>
                <w:color w:val="auto"/>
                <w:sz w:val="24"/>
              </w:rPr>
            </w:pPr>
            <w:r>
              <w:rPr>
                <w:rFonts w:hint="default" w:ascii="Times New Roman" w:hAnsi="Times New Roman" w:cs="Times New Roman"/>
                <w:b/>
                <w:color w:val="auto"/>
                <w:sz w:val="24"/>
              </w:rPr>
              <w:t>表1-1 项目建设内容一览表</w:t>
            </w:r>
          </w:p>
          <w:tbl>
            <w:tblPr>
              <w:tblStyle w:val="32"/>
              <w:tblW w:w="9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701"/>
              <w:gridCol w:w="4575"/>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工程类别</w:t>
                  </w:r>
                </w:p>
              </w:tc>
              <w:tc>
                <w:tcPr>
                  <w:tcW w:w="1701" w:type="dxa"/>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指标名称</w:t>
                  </w:r>
                </w:p>
              </w:tc>
              <w:tc>
                <w:tcPr>
                  <w:tcW w:w="4575" w:type="dxa"/>
                  <w:vAlign w:val="center"/>
                </w:tcPr>
                <w:p>
                  <w:pPr>
                    <w:widowControl/>
                    <w:jc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rPr>
                    <w:t>项目组成及规模</w:t>
                  </w:r>
                </w:p>
              </w:tc>
              <w:tc>
                <w:tcPr>
                  <w:tcW w:w="1831" w:type="dxa"/>
                  <w:vAlign w:val="center"/>
                </w:tcPr>
                <w:p>
                  <w:pPr>
                    <w:widowControl/>
                    <w:ind w:firstLine="420"/>
                    <w:jc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restart"/>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主体工程</w:t>
                  </w:r>
                </w:p>
              </w:tc>
              <w:tc>
                <w:tcPr>
                  <w:tcW w:w="1701" w:type="dxa"/>
                  <w:vAlign w:val="center"/>
                </w:tcPr>
                <w:p>
                  <w:pPr>
                    <w:widowControl/>
                    <w:jc w:val="center"/>
                    <w:rPr>
                      <w:rFonts w:hint="default" w:ascii="Times New Roman" w:hAnsi="Times New Roman" w:cs="Times New Roman"/>
                      <w:color w:val="auto"/>
                      <w:kern w:val="0"/>
                      <w:szCs w:val="21"/>
                    </w:rPr>
                  </w:pPr>
                  <w:r>
                    <w:rPr>
                      <w:rFonts w:hint="eastAsia" w:ascii="Times New Roman" w:hAnsi="Times New Roman" w:cs="Times New Roman"/>
                      <w:color w:val="auto"/>
                      <w:kern w:val="0"/>
                      <w:szCs w:val="21"/>
                      <w:lang w:eastAsia="zh-CN"/>
                    </w:rPr>
                    <w:t>生产</w:t>
                  </w:r>
                  <w:r>
                    <w:rPr>
                      <w:rFonts w:hint="default" w:ascii="Times New Roman" w:hAnsi="Times New Roman" w:cs="Times New Roman"/>
                      <w:color w:val="auto"/>
                      <w:kern w:val="0"/>
                      <w:szCs w:val="21"/>
                    </w:rPr>
                    <w:t>车间</w:t>
                  </w:r>
                </w:p>
              </w:tc>
              <w:tc>
                <w:tcPr>
                  <w:tcW w:w="4575"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1层，</w:t>
                  </w:r>
                  <w:r>
                    <w:rPr>
                      <w:rFonts w:hint="eastAsia" w:cs="Times New Roman"/>
                      <w:color w:val="auto"/>
                      <w:kern w:val="0"/>
                      <w:szCs w:val="21"/>
                      <w:lang w:eastAsia="zh-CN"/>
                    </w:rPr>
                    <w:t>占地面积</w:t>
                  </w:r>
                  <w:r>
                    <w:rPr>
                      <w:rFonts w:hint="eastAsia" w:ascii="Times New Roman" w:hAnsi="Times New Roman" w:cs="Times New Roman"/>
                      <w:color w:val="auto"/>
                      <w:kern w:val="0"/>
                      <w:szCs w:val="21"/>
                      <w:lang w:val="en-US" w:eastAsia="zh-CN"/>
                    </w:rPr>
                    <w:t>1</w:t>
                  </w:r>
                  <w:r>
                    <w:rPr>
                      <w:rFonts w:hint="default" w:ascii="Times New Roman" w:hAnsi="Times New Roman" w:cs="Times New Roman"/>
                      <w:color w:val="auto"/>
                      <w:kern w:val="0"/>
                      <w:szCs w:val="21"/>
                    </w:rPr>
                    <w:t>000m</w:t>
                  </w:r>
                  <w:r>
                    <w:rPr>
                      <w:rFonts w:hint="default" w:ascii="Times New Roman" w:hAnsi="Times New Roman" w:cs="Times New Roman"/>
                      <w:color w:val="auto"/>
                      <w:kern w:val="0"/>
                      <w:szCs w:val="21"/>
                      <w:vertAlign w:val="superscript"/>
                    </w:rPr>
                    <w:t>2</w:t>
                  </w:r>
                  <w:r>
                    <w:rPr>
                      <w:rFonts w:hint="eastAsia" w:cs="Times New Roman"/>
                      <w:color w:val="auto"/>
                      <w:kern w:val="0"/>
                      <w:szCs w:val="21"/>
                      <w:lang w:eastAsia="zh-CN"/>
                    </w:rPr>
                    <w:t>，</w:t>
                  </w:r>
                  <w:r>
                    <w:rPr>
                      <w:rFonts w:hint="default" w:ascii="Times New Roman" w:hAnsi="Times New Roman" w:cs="Times New Roman"/>
                      <w:color w:val="auto"/>
                      <w:kern w:val="0"/>
                      <w:szCs w:val="21"/>
                    </w:rPr>
                    <w:t>建筑面积</w:t>
                  </w:r>
                  <w:r>
                    <w:rPr>
                      <w:rFonts w:hint="eastAsia" w:ascii="Times New Roman" w:hAnsi="Times New Roman" w:cs="Times New Roman"/>
                      <w:color w:val="auto"/>
                      <w:kern w:val="0"/>
                      <w:szCs w:val="21"/>
                      <w:lang w:val="en-US" w:eastAsia="zh-CN"/>
                    </w:rPr>
                    <w:t>1</w:t>
                  </w:r>
                  <w:r>
                    <w:rPr>
                      <w:rFonts w:hint="default" w:ascii="Times New Roman" w:hAnsi="Times New Roman" w:cs="Times New Roman"/>
                      <w:color w:val="auto"/>
                      <w:kern w:val="0"/>
                      <w:szCs w:val="21"/>
                    </w:rPr>
                    <w:t>000m</w:t>
                  </w:r>
                  <w:r>
                    <w:rPr>
                      <w:rFonts w:hint="default" w:ascii="Times New Roman" w:hAnsi="Times New Roman" w:cs="Times New Roman"/>
                      <w:color w:val="auto"/>
                      <w:kern w:val="0"/>
                      <w:szCs w:val="21"/>
                      <w:vertAlign w:val="superscript"/>
                    </w:rPr>
                    <w:t>2</w:t>
                  </w:r>
                </w:p>
              </w:tc>
              <w:tc>
                <w:tcPr>
                  <w:tcW w:w="1831" w:type="dxa"/>
                  <w:vAlign w:val="center"/>
                </w:tcPr>
                <w:p>
                  <w:pPr>
                    <w:widowControl/>
                    <w:ind w:firstLine="42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cs="Times New Roman"/>
                      <w:color w:val="auto"/>
                      <w:kern w:val="0"/>
                      <w:szCs w:val="21"/>
                      <w:lang w:eastAsia="zh-CN"/>
                    </w:rPr>
                    <w:t>原料仓库</w:t>
                  </w:r>
                  <w:r>
                    <w:rPr>
                      <w:rFonts w:hint="eastAsia" w:ascii="Times New Roman" w:hAnsi="Times New Roman" w:cs="Times New Roman"/>
                      <w:color w:val="auto"/>
                      <w:kern w:val="0"/>
                      <w:szCs w:val="21"/>
                      <w:lang w:val="en-US" w:eastAsia="zh-CN"/>
                    </w:rPr>
                    <w:t>1</w:t>
                  </w:r>
                </w:p>
              </w:tc>
              <w:tc>
                <w:tcPr>
                  <w:tcW w:w="4575"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1层，</w:t>
                  </w:r>
                  <w:r>
                    <w:rPr>
                      <w:rFonts w:hint="eastAsia" w:cs="Times New Roman"/>
                      <w:color w:val="auto"/>
                      <w:kern w:val="0"/>
                      <w:szCs w:val="21"/>
                      <w:lang w:eastAsia="zh-CN"/>
                    </w:rPr>
                    <w:t>占地面积</w:t>
                  </w:r>
                  <w:r>
                    <w:rPr>
                      <w:rFonts w:hint="eastAsia" w:cs="Times New Roman"/>
                      <w:color w:val="auto"/>
                      <w:kern w:val="0"/>
                      <w:szCs w:val="21"/>
                      <w:lang w:val="en-US" w:eastAsia="zh-CN"/>
                    </w:rPr>
                    <w:t>720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，建筑面积</w:t>
                  </w:r>
                  <w:r>
                    <w:rPr>
                      <w:rFonts w:hint="eastAsia" w:ascii="Times New Roman" w:hAnsi="Times New Roman" w:cs="Times New Roman"/>
                      <w:color w:val="auto"/>
                      <w:kern w:val="0"/>
                      <w:szCs w:val="21"/>
                      <w:lang w:val="en-US" w:eastAsia="zh-CN"/>
                    </w:rPr>
                    <w:t>720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c>
                <w:tcPr>
                  <w:tcW w:w="1831" w:type="dxa"/>
                  <w:vAlign w:val="center"/>
                </w:tcPr>
                <w:p>
                  <w:pPr>
                    <w:widowControl/>
                    <w:ind w:firstLine="42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eastAsia" w:ascii="Times New Roman" w:hAnsi="Times New Roman" w:cs="Times New Roman"/>
                      <w:color w:val="auto"/>
                      <w:kern w:val="0"/>
                      <w:szCs w:val="21"/>
                      <w:lang w:eastAsia="zh-CN"/>
                    </w:rPr>
                  </w:pPr>
                  <w:r>
                    <w:rPr>
                      <w:rFonts w:hint="eastAsia" w:ascii="Times New Roman" w:hAnsi="Times New Roman" w:cs="Times New Roman"/>
                      <w:color w:val="auto"/>
                      <w:kern w:val="0"/>
                      <w:szCs w:val="21"/>
                      <w:lang w:eastAsia="zh-CN"/>
                    </w:rPr>
                    <w:t>原料仓库</w:t>
                  </w:r>
                  <w:r>
                    <w:rPr>
                      <w:rFonts w:hint="eastAsia" w:cs="Times New Roman"/>
                      <w:color w:val="auto"/>
                      <w:kern w:val="0"/>
                      <w:szCs w:val="21"/>
                      <w:lang w:val="en-US" w:eastAsia="zh-CN"/>
                    </w:rPr>
                    <w:t>2</w:t>
                  </w:r>
                </w:p>
              </w:tc>
              <w:tc>
                <w:tcPr>
                  <w:tcW w:w="4575"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1层，</w:t>
                  </w:r>
                  <w:r>
                    <w:rPr>
                      <w:rFonts w:hint="eastAsia" w:cs="Times New Roman"/>
                      <w:color w:val="auto"/>
                      <w:kern w:val="0"/>
                      <w:szCs w:val="21"/>
                      <w:lang w:eastAsia="zh-CN"/>
                    </w:rPr>
                    <w:t>占地面积</w:t>
                  </w:r>
                  <w:r>
                    <w:rPr>
                      <w:rFonts w:hint="eastAsia" w:cs="Times New Roman"/>
                      <w:color w:val="auto"/>
                      <w:kern w:val="0"/>
                      <w:szCs w:val="21"/>
                      <w:lang w:val="en-US" w:eastAsia="zh-CN"/>
                    </w:rPr>
                    <w:t>200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，建筑面积</w:t>
                  </w:r>
                  <w:r>
                    <w:rPr>
                      <w:rFonts w:hint="eastAsia" w:cs="Times New Roman"/>
                      <w:color w:val="auto"/>
                      <w:kern w:val="0"/>
                      <w:szCs w:val="21"/>
                      <w:lang w:val="en-US" w:eastAsia="zh-CN"/>
                    </w:rPr>
                    <w:t>200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c>
                <w:tcPr>
                  <w:tcW w:w="1831" w:type="dxa"/>
                  <w:vAlign w:val="center"/>
                </w:tcPr>
                <w:p>
                  <w:pPr>
                    <w:widowControl/>
                    <w:ind w:firstLine="42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eastAsia" w:ascii="Times New Roman" w:hAnsi="Times New Roman" w:cs="Times New Roman"/>
                      <w:color w:val="auto"/>
                      <w:kern w:val="0"/>
                      <w:szCs w:val="21"/>
                      <w:lang w:eastAsia="zh-CN"/>
                    </w:rPr>
                  </w:pPr>
                  <w:r>
                    <w:rPr>
                      <w:rFonts w:hint="eastAsia" w:ascii="Times New Roman" w:hAnsi="Times New Roman" w:cs="Times New Roman"/>
                      <w:color w:val="auto"/>
                      <w:kern w:val="0"/>
                      <w:szCs w:val="21"/>
                      <w:lang w:eastAsia="zh-CN"/>
                    </w:rPr>
                    <w:t>原料仓库</w:t>
                  </w:r>
                  <w:r>
                    <w:rPr>
                      <w:rFonts w:hint="eastAsia" w:cs="Times New Roman"/>
                      <w:color w:val="auto"/>
                      <w:kern w:val="0"/>
                      <w:szCs w:val="21"/>
                      <w:lang w:val="en-US" w:eastAsia="zh-CN"/>
                    </w:rPr>
                    <w:t>3</w:t>
                  </w:r>
                </w:p>
              </w:tc>
              <w:tc>
                <w:tcPr>
                  <w:tcW w:w="4575"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1层，</w:t>
                  </w:r>
                  <w:r>
                    <w:rPr>
                      <w:rFonts w:hint="eastAsia" w:cs="Times New Roman"/>
                      <w:color w:val="auto"/>
                      <w:kern w:val="0"/>
                      <w:szCs w:val="21"/>
                      <w:lang w:eastAsia="zh-CN"/>
                    </w:rPr>
                    <w:t>占地面积</w:t>
                  </w:r>
                  <w:r>
                    <w:rPr>
                      <w:rFonts w:hint="eastAsia" w:cs="Times New Roman"/>
                      <w:color w:val="auto"/>
                      <w:kern w:val="0"/>
                      <w:szCs w:val="21"/>
                      <w:lang w:val="en-US" w:eastAsia="zh-CN"/>
                    </w:rPr>
                    <w:t>380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，建筑面积</w:t>
                  </w:r>
                  <w:r>
                    <w:rPr>
                      <w:rFonts w:hint="eastAsia" w:cs="Times New Roman"/>
                      <w:color w:val="auto"/>
                      <w:kern w:val="0"/>
                      <w:szCs w:val="21"/>
                      <w:lang w:val="en-US" w:eastAsia="zh-CN"/>
                    </w:rPr>
                    <w:t>380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c>
                <w:tcPr>
                  <w:tcW w:w="1831" w:type="dxa"/>
                  <w:vAlign w:val="center"/>
                </w:tcPr>
                <w:p>
                  <w:pPr>
                    <w:widowControl/>
                    <w:ind w:firstLine="42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eastAsia" w:ascii="Times New Roman" w:hAnsi="Times New Roman" w:eastAsia="宋体" w:cs="Times New Roman"/>
                      <w:color w:val="auto"/>
                      <w:kern w:val="0"/>
                      <w:szCs w:val="21"/>
                      <w:lang w:eastAsia="zh-CN"/>
                    </w:rPr>
                  </w:pPr>
                  <w:r>
                    <w:rPr>
                      <w:rFonts w:hint="eastAsia" w:ascii="Times New Roman" w:hAnsi="Times New Roman" w:cs="Times New Roman"/>
                      <w:color w:val="auto"/>
                      <w:kern w:val="0"/>
                      <w:szCs w:val="21"/>
                      <w:lang w:eastAsia="zh-CN"/>
                    </w:rPr>
                    <w:t>成品仓库</w:t>
                  </w:r>
                </w:p>
              </w:tc>
              <w:tc>
                <w:tcPr>
                  <w:tcW w:w="4575"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1层，</w:t>
                  </w:r>
                  <w:r>
                    <w:rPr>
                      <w:rFonts w:hint="eastAsia" w:cs="Times New Roman"/>
                      <w:color w:val="auto"/>
                      <w:kern w:val="0"/>
                      <w:szCs w:val="21"/>
                      <w:lang w:eastAsia="zh-CN"/>
                    </w:rPr>
                    <w:t>占地面积</w:t>
                  </w:r>
                  <w:r>
                    <w:rPr>
                      <w:rFonts w:hint="eastAsia" w:ascii="Times New Roman" w:hAnsi="Times New Roman" w:cs="Times New Roman"/>
                      <w:color w:val="auto"/>
                      <w:kern w:val="0"/>
                      <w:szCs w:val="21"/>
                      <w:lang w:val="en-US" w:eastAsia="zh-CN"/>
                    </w:rPr>
                    <w:t>1</w:t>
                  </w:r>
                  <w:r>
                    <w:rPr>
                      <w:rFonts w:hint="eastAsia" w:cs="Times New Roman"/>
                      <w:color w:val="auto"/>
                      <w:kern w:val="0"/>
                      <w:szCs w:val="21"/>
                      <w:lang w:val="en-US" w:eastAsia="zh-CN"/>
                    </w:rPr>
                    <w:t>3</w:t>
                  </w:r>
                  <w:r>
                    <w:rPr>
                      <w:rFonts w:hint="default" w:ascii="Times New Roman" w:hAnsi="Times New Roman" w:cs="Times New Roman"/>
                      <w:color w:val="auto"/>
                      <w:kern w:val="0"/>
                      <w:szCs w:val="21"/>
                    </w:rPr>
                    <w:t>00m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，建筑面积1300m</w:t>
                  </w:r>
                  <w:r>
                    <w:rPr>
                      <w:rFonts w:hint="default" w:ascii="Times New Roman" w:hAnsi="Times New Roman" w:cs="Times New Roman"/>
                      <w:color w:val="auto"/>
                      <w:kern w:val="0"/>
                      <w:szCs w:val="21"/>
                      <w:vertAlign w:val="superscript"/>
                    </w:rPr>
                    <w:t>2</w:t>
                  </w:r>
                </w:p>
              </w:tc>
              <w:tc>
                <w:tcPr>
                  <w:tcW w:w="1831" w:type="dxa"/>
                  <w:vAlign w:val="center"/>
                </w:tcPr>
                <w:p>
                  <w:pPr>
                    <w:widowControl/>
                    <w:ind w:firstLine="42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eastAsia" w:ascii="Times New Roman" w:hAnsi="Times New Roman" w:eastAsia="宋体" w:cs="Times New Roman"/>
                      <w:color w:val="auto"/>
                      <w:kern w:val="0"/>
                      <w:szCs w:val="21"/>
                      <w:lang w:eastAsia="zh-CN"/>
                    </w:rPr>
                  </w:pPr>
                  <w:r>
                    <w:rPr>
                      <w:rFonts w:hint="eastAsia" w:ascii="Times New Roman" w:hAnsi="Times New Roman" w:cs="Times New Roman"/>
                      <w:color w:val="auto"/>
                      <w:kern w:val="0"/>
                      <w:szCs w:val="21"/>
                      <w:lang w:eastAsia="zh-CN"/>
                    </w:rPr>
                    <w:t>办公</w:t>
                  </w:r>
                  <w:r>
                    <w:rPr>
                      <w:rFonts w:hint="eastAsia" w:cs="Times New Roman"/>
                      <w:color w:val="auto"/>
                      <w:kern w:val="0"/>
                      <w:szCs w:val="21"/>
                      <w:lang w:eastAsia="zh-CN"/>
                    </w:rPr>
                    <w:t>综合</w:t>
                  </w:r>
                  <w:r>
                    <w:rPr>
                      <w:rFonts w:hint="eastAsia" w:ascii="Times New Roman" w:hAnsi="Times New Roman" w:cs="Times New Roman"/>
                      <w:color w:val="auto"/>
                      <w:kern w:val="0"/>
                      <w:szCs w:val="21"/>
                      <w:lang w:eastAsia="zh-CN"/>
                    </w:rPr>
                    <w:t>楼</w:t>
                  </w:r>
                </w:p>
              </w:tc>
              <w:tc>
                <w:tcPr>
                  <w:tcW w:w="4575" w:type="dxa"/>
                  <w:vAlign w:val="center"/>
                </w:tcPr>
                <w:p>
                  <w:pPr>
                    <w:widowControl/>
                    <w:jc w:val="center"/>
                    <w:rPr>
                      <w:rFonts w:hint="default" w:ascii="Times New Roman" w:hAnsi="Times New Roman" w:cs="Times New Roman"/>
                      <w:color w:val="auto"/>
                      <w:kern w:val="0"/>
                      <w:szCs w:val="21"/>
                    </w:rPr>
                  </w:pPr>
                  <w:r>
                    <w:rPr>
                      <w:rFonts w:hint="eastAsia" w:ascii="Times New Roman" w:hAnsi="Times New Roman" w:cs="Times New Roman"/>
                      <w:color w:val="auto"/>
                      <w:kern w:val="0"/>
                      <w:szCs w:val="21"/>
                      <w:lang w:val="en-US" w:eastAsia="zh-CN"/>
                    </w:rPr>
                    <w:t>3</w:t>
                  </w:r>
                  <w:r>
                    <w:rPr>
                      <w:rFonts w:hint="default" w:ascii="Times New Roman" w:hAnsi="Times New Roman" w:cs="Times New Roman"/>
                      <w:color w:val="auto"/>
                      <w:kern w:val="0"/>
                      <w:szCs w:val="21"/>
                    </w:rPr>
                    <w:t>层，</w:t>
                  </w:r>
                  <w:r>
                    <w:rPr>
                      <w:rFonts w:hint="eastAsia" w:cs="Times New Roman"/>
                      <w:color w:val="auto"/>
                      <w:kern w:val="0"/>
                      <w:szCs w:val="21"/>
                      <w:lang w:eastAsia="zh-CN"/>
                    </w:rPr>
                    <w:t>占地面积</w:t>
                  </w:r>
                  <w:r>
                    <w:rPr>
                      <w:rFonts w:hint="eastAsia" w:cs="Times New Roman"/>
                      <w:color w:val="auto"/>
                      <w:kern w:val="0"/>
                      <w:szCs w:val="21"/>
                      <w:lang w:val="en-US" w:eastAsia="zh-CN"/>
                    </w:rPr>
                    <w:t>470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kern w:val="0"/>
                      <w:szCs w:val="21"/>
                    </w:rPr>
                    <w:t>，建筑面积</w:t>
                  </w:r>
                  <w:r>
                    <w:rPr>
                      <w:rFonts w:hint="eastAsia" w:ascii="Times New Roman" w:hAnsi="Times New Roman" w:cs="Times New Roman"/>
                      <w:color w:val="auto"/>
                      <w:kern w:val="0"/>
                      <w:szCs w:val="21"/>
                      <w:lang w:val="en-US" w:eastAsia="zh-CN"/>
                    </w:rPr>
                    <w:t>1400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c>
                <w:tcPr>
                  <w:tcW w:w="1831" w:type="dxa"/>
                  <w:vAlign w:val="center"/>
                </w:tcPr>
                <w:p>
                  <w:pPr>
                    <w:widowControl/>
                    <w:ind w:firstLine="420"/>
                    <w:jc w:val="center"/>
                    <w:rPr>
                      <w:rFonts w:hint="default" w:ascii="Times New Roman" w:hAnsi="Times New Roman"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restart"/>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公用工程</w:t>
                  </w:r>
                </w:p>
              </w:tc>
              <w:tc>
                <w:tcPr>
                  <w:tcW w:w="1701"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给水工程</w:t>
                  </w:r>
                </w:p>
              </w:tc>
              <w:tc>
                <w:tcPr>
                  <w:tcW w:w="6406" w:type="dxa"/>
                  <w:gridSpan w:val="2"/>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由市政管网供给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排水工程</w:t>
                  </w:r>
                </w:p>
              </w:tc>
              <w:tc>
                <w:tcPr>
                  <w:tcW w:w="6406" w:type="dxa"/>
                  <w:gridSpan w:val="2"/>
                  <w:vAlign w:val="center"/>
                </w:tcPr>
                <w:p>
                  <w:pPr>
                    <w:widowControl/>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生活污水经</w:t>
                  </w:r>
                  <w:r>
                    <w:rPr>
                      <w:rFonts w:hint="eastAsia" w:cs="Times New Roman"/>
                      <w:color w:val="auto"/>
                      <w:kern w:val="0"/>
                      <w:szCs w:val="21"/>
                      <w:highlight w:val="none"/>
                      <w:lang w:eastAsia="zh-CN"/>
                    </w:rPr>
                    <w:t>生化池</w:t>
                  </w:r>
                  <w:r>
                    <w:rPr>
                      <w:rFonts w:hint="default" w:ascii="Times New Roman" w:hAnsi="Times New Roman" w:cs="Times New Roman"/>
                      <w:color w:val="auto"/>
                      <w:kern w:val="0"/>
                      <w:szCs w:val="21"/>
                      <w:highlight w:val="none"/>
                    </w:rPr>
                    <w:t>处理达《城市污水再生利用 城市杂用水水质》（GB/T18920-2002）中城市绿化水质标准后用于厂内绿化。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供电工程</w:t>
                  </w:r>
                </w:p>
              </w:tc>
              <w:tc>
                <w:tcPr>
                  <w:tcW w:w="6406" w:type="dxa"/>
                  <w:gridSpan w:val="2"/>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由市政电网供给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噪声治理</w:t>
                  </w:r>
                </w:p>
              </w:tc>
              <w:tc>
                <w:tcPr>
                  <w:tcW w:w="6406" w:type="dxa"/>
                  <w:gridSpan w:val="2"/>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采用低噪声设备；设备隔声、减振、降噪，合理布局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废气治理</w:t>
                  </w:r>
                </w:p>
              </w:tc>
              <w:tc>
                <w:tcPr>
                  <w:tcW w:w="6406" w:type="dxa"/>
                  <w:gridSpan w:val="2"/>
                  <w:vAlign w:val="center"/>
                </w:tcPr>
                <w:p>
                  <w:pPr>
                    <w:widowControl/>
                    <w:jc w:val="center"/>
                    <w:rPr>
                      <w:rFonts w:hint="eastAsia"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eastAsia="zh-CN"/>
                    </w:rPr>
                    <w:t>开松、梳棉过程产生</w:t>
                  </w:r>
                  <w:r>
                    <w:rPr>
                      <w:rFonts w:hint="default" w:ascii="Times New Roman" w:hAnsi="Times New Roman" w:cs="Times New Roman"/>
                      <w:color w:val="auto"/>
                      <w:kern w:val="0"/>
                      <w:szCs w:val="21"/>
                      <w:highlight w:val="none"/>
                    </w:rPr>
                    <w:t>废气经</w:t>
                  </w:r>
                  <w:r>
                    <w:rPr>
                      <w:rFonts w:hint="eastAsia" w:cs="Times New Roman"/>
                      <w:color w:val="auto"/>
                      <w:kern w:val="0"/>
                      <w:szCs w:val="21"/>
                      <w:highlight w:val="none"/>
                      <w:lang w:eastAsia="zh-CN"/>
                    </w:rPr>
                    <w:t>多筒式除尘机</w:t>
                  </w:r>
                  <w:r>
                    <w:rPr>
                      <w:rFonts w:hint="default" w:ascii="Times New Roman" w:hAnsi="Times New Roman" w:cs="Times New Roman"/>
                      <w:color w:val="auto"/>
                      <w:kern w:val="0"/>
                      <w:szCs w:val="21"/>
                      <w:highlight w:val="none"/>
                    </w:rPr>
                    <w:t>处理</w:t>
                  </w:r>
                  <w:r>
                    <w:rPr>
                      <w:rFonts w:hint="eastAsia" w:cs="Times New Roman"/>
                      <w:color w:val="auto"/>
                      <w:kern w:val="0"/>
                      <w:szCs w:val="21"/>
                      <w:highlight w:val="none"/>
                      <w:lang w:eastAsia="zh-CN"/>
                    </w:rPr>
                    <w:t>达标后经</w:t>
                  </w:r>
                  <w:r>
                    <w:rPr>
                      <w:rFonts w:hint="eastAsia" w:cs="Times New Roman"/>
                      <w:color w:val="auto"/>
                      <w:kern w:val="0"/>
                      <w:szCs w:val="21"/>
                      <w:highlight w:val="none"/>
                      <w:lang w:val="en-US" w:eastAsia="zh-CN"/>
                    </w:rPr>
                    <w:t>15m高的排气筒高空排放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Merge w:val="continue"/>
                  <w:vAlign w:val="center"/>
                </w:tcPr>
                <w:p>
                  <w:pPr>
                    <w:pStyle w:val="2"/>
                    <w:ind w:firstLine="0" w:firstLineChars="0"/>
                    <w:jc w:val="center"/>
                    <w:rPr>
                      <w:rFonts w:hint="default" w:ascii="Times New Roman" w:hAnsi="Times New Roman" w:cs="Times New Roman"/>
                      <w:color w:val="auto"/>
                    </w:rPr>
                  </w:pPr>
                </w:p>
              </w:tc>
              <w:tc>
                <w:tcPr>
                  <w:tcW w:w="1701" w:type="dxa"/>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cs="Times New Roman"/>
                      <w:color w:val="7030A0"/>
                      <w:kern w:val="0"/>
                      <w:szCs w:val="21"/>
                      <w:lang w:val="en-US" w:eastAsia="zh-CN"/>
                    </w:rPr>
                    <w:t>固体废物</w:t>
                  </w:r>
                </w:p>
              </w:tc>
              <w:tc>
                <w:tcPr>
                  <w:tcW w:w="6406" w:type="dxa"/>
                  <w:gridSpan w:val="2"/>
                  <w:vAlign w:val="center"/>
                </w:tcPr>
                <w:p>
                  <w:pPr>
                    <w:widowControl/>
                    <w:jc w:val="left"/>
                    <w:rPr>
                      <w:rFonts w:hint="eastAsia" w:cs="Times New Roman"/>
                      <w:color w:val="auto"/>
                      <w:kern w:val="0"/>
                      <w:szCs w:val="21"/>
                      <w:highlight w:val="none"/>
                      <w:lang w:eastAsia="zh-CN"/>
                    </w:rPr>
                  </w:pPr>
                  <w:r>
                    <w:rPr>
                      <w:rFonts w:hint="eastAsia" w:cs="Times New Roman"/>
                      <w:color w:val="7030A0"/>
                      <w:kern w:val="0"/>
                      <w:szCs w:val="21"/>
                      <w:highlight w:val="none"/>
                      <w:lang w:eastAsia="zh-CN"/>
                    </w:rPr>
                    <w:t>边角料</w:t>
                  </w:r>
                  <w:r>
                    <w:rPr>
                      <w:rFonts w:hint="eastAsia" w:cs="Times New Roman"/>
                      <w:color w:val="7030A0"/>
                      <w:kern w:val="0"/>
                      <w:szCs w:val="21"/>
                      <w:highlight w:val="none"/>
                      <w:lang w:val="en-US" w:eastAsia="zh-CN"/>
                    </w:rPr>
                    <w:t>经回收后作为原料继续利用</w:t>
                  </w:r>
                  <w:r>
                    <w:rPr>
                      <w:rFonts w:hint="eastAsia" w:cs="Times New Roman"/>
                      <w:color w:val="7030A0"/>
                      <w:kern w:val="0"/>
                      <w:szCs w:val="21"/>
                      <w:highlight w:val="none"/>
                      <w:lang w:eastAsia="zh-CN"/>
                    </w:rPr>
                    <w:t>；</w:t>
                  </w:r>
                  <w:r>
                    <w:rPr>
                      <w:rFonts w:hint="eastAsia" w:cs="Times New Roman"/>
                      <w:color w:val="7030A0"/>
                      <w:kern w:val="0"/>
                      <w:szCs w:val="21"/>
                      <w:highlight w:val="none"/>
                      <w:lang w:val="en-US" w:eastAsia="zh-CN"/>
                    </w:rPr>
                    <w:t>多筒式除尘机收集的粉尘集中收集交由环卫部门处理；</w:t>
                  </w:r>
                  <w:r>
                    <w:rPr>
                      <w:rFonts w:hint="eastAsia" w:cs="Times New Roman"/>
                      <w:color w:val="7030A0"/>
                      <w:kern w:val="0"/>
                      <w:szCs w:val="21"/>
                      <w:highlight w:val="none"/>
                      <w:lang w:eastAsia="zh-CN"/>
                    </w:rPr>
                    <w:t>生活垃圾由环卫部门运走。</w:t>
                  </w:r>
                </w:p>
              </w:tc>
            </w:tr>
          </w:tbl>
          <w:p>
            <w:pPr>
              <w:tabs>
                <w:tab w:val="left" w:pos="2790"/>
              </w:tabs>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2、主要产品方案</w:t>
            </w:r>
          </w:p>
          <w:p>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表1-2 项目产品方案一览表</w:t>
            </w:r>
          </w:p>
          <w:tbl>
            <w:tblPr>
              <w:tblStyle w:val="31"/>
              <w:tblW w:w="53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534"/>
              <w:gridCol w:w="2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253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产品方案</w:t>
                  </w:r>
                </w:p>
              </w:tc>
              <w:tc>
                <w:tcPr>
                  <w:tcW w:w="218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年产量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6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53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Times New Roman" w:hAnsi="Times New Roman" w:eastAsia="宋体" w:cs="Times New Roman"/>
                      <w:bCs/>
                      <w:color w:val="auto"/>
                      <w:szCs w:val="21"/>
                      <w:lang w:eastAsia="zh-CN"/>
                    </w:rPr>
                  </w:pPr>
                  <w:r>
                    <w:rPr>
                      <w:rFonts w:hint="eastAsia" w:ascii="Times New Roman" w:hAnsi="Times New Roman" w:cs="Times New Roman"/>
                      <w:color w:val="auto"/>
                      <w:lang w:eastAsia="zh-CN"/>
                    </w:rPr>
                    <w:t>再生棉</w:t>
                  </w:r>
                </w:p>
              </w:tc>
              <w:tc>
                <w:tcPr>
                  <w:tcW w:w="21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200</w:t>
                  </w:r>
                  <w:r>
                    <w:rPr>
                      <w:rFonts w:hint="default" w:ascii="Times New Roman" w:hAnsi="Times New Roman" w:cs="Times New Roman"/>
                      <w:color w:val="auto"/>
                      <w:szCs w:val="21"/>
                    </w:rPr>
                    <w:t>吨</w:t>
                  </w:r>
                </w:p>
              </w:tc>
            </w:tr>
          </w:tbl>
          <w:p>
            <w:pPr>
              <w:tabs>
                <w:tab w:val="left" w:pos="2790"/>
              </w:tabs>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3、主要原辅材料及消耗量</w:t>
            </w:r>
          </w:p>
          <w:p>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表1-3  原辅材料及消耗量一览表</w:t>
            </w:r>
          </w:p>
          <w:tbl>
            <w:tblPr>
              <w:tblStyle w:val="31"/>
              <w:tblW w:w="81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1895"/>
              <w:gridCol w:w="1500"/>
              <w:gridCol w:w="150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blHeader/>
                <w:jc w:val="center"/>
              </w:trPr>
              <w:tc>
                <w:tcPr>
                  <w:tcW w:w="1733"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1895"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1500"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年用量</w:t>
                  </w:r>
                </w:p>
              </w:tc>
              <w:tc>
                <w:tcPr>
                  <w:tcW w:w="1500" w:type="dxa"/>
                  <w:vAlign w:val="center"/>
                </w:tcPr>
                <w:p>
                  <w:pPr>
                    <w:tabs>
                      <w:tab w:val="left" w:pos="1088"/>
                    </w:tabs>
                    <w:jc w:val="center"/>
                    <w:rPr>
                      <w:rFonts w:hint="eastAsia" w:ascii="Times New Roman" w:hAnsi="Times New Roman" w:eastAsia="宋体" w:cs="Times New Roman"/>
                      <w:b/>
                      <w:color w:val="auto"/>
                      <w:szCs w:val="21"/>
                      <w:lang w:eastAsia="zh-CN"/>
                    </w:rPr>
                  </w:pPr>
                  <w:r>
                    <w:rPr>
                      <w:rFonts w:hint="eastAsia" w:cs="Times New Roman"/>
                      <w:b/>
                      <w:color w:val="auto"/>
                      <w:szCs w:val="21"/>
                      <w:lang w:eastAsia="zh-CN"/>
                    </w:rPr>
                    <w:t>储存量</w:t>
                  </w:r>
                </w:p>
              </w:tc>
              <w:tc>
                <w:tcPr>
                  <w:tcW w:w="1500" w:type="dxa"/>
                  <w:vAlign w:val="center"/>
                </w:tcPr>
                <w:p>
                  <w:pPr>
                    <w:tabs>
                      <w:tab w:val="left" w:pos="1088"/>
                    </w:tabs>
                    <w:jc w:val="center"/>
                    <w:rPr>
                      <w:rFonts w:hint="eastAsia" w:ascii="Times New Roman" w:hAnsi="Times New Roman" w:eastAsia="宋体" w:cs="Times New Roman"/>
                      <w:b/>
                      <w:color w:val="auto"/>
                      <w:szCs w:val="21"/>
                      <w:lang w:eastAsia="zh-CN"/>
                    </w:rPr>
                  </w:pPr>
                  <w:r>
                    <w:rPr>
                      <w:rFonts w:hint="eastAsia" w:cs="Times New Roman"/>
                      <w:b/>
                      <w:color w:val="auto"/>
                      <w:szCs w:val="21"/>
                      <w:lang w:eastAsia="zh-CN"/>
                    </w:rPr>
                    <w:t>存放点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blHeader/>
                <w:jc w:val="center"/>
              </w:trPr>
              <w:tc>
                <w:tcPr>
                  <w:tcW w:w="1733"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895"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eastAsia="zh-CN"/>
                    </w:rPr>
                    <w:t>碎布</w:t>
                  </w:r>
                </w:p>
              </w:tc>
              <w:tc>
                <w:tcPr>
                  <w:tcW w:w="1500"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20</w:t>
                  </w:r>
                  <w:r>
                    <w:rPr>
                      <w:rFonts w:hint="eastAsia" w:cs="Times New Roman"/>
                      <w:color w:val="auto"/>
                      <w:szCs w:val="21"/>
                      <w:lang w:val="en-US" w:eastAsia="zh-CN"/>
                    </w:rPr>
                    <w:t>0</w:t>
                  </w:r>
                  <w:r>
                    <w:rPr>
                      <w:rFonts w:hint="default" w:ascii="Times New Roman" w:hAnsi="Times New Roman" w:cs="Times New Roman"/>
                      <w:color w:val="auto"/>
                      <w:szCs w:val="21"/>
                    </w:rPr>
                    <w:t>吨</w:t>
                  </w:r>
                </w:p>
              </w:tc>
              <w:tc>
                <w:tcPr>
                  <w:tcW w:w="1500" w:type="dxa"/>
                  <w:vAlign w:val="center"/>
                </w:tcPr>
                <w:p>
                  <w:pPr>
                    <w:tabs>
                      <w:tab w:val="left" w:pos="1088"/>
                    </w:tabs>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20吨</w:t>
                  </w:r>
                </w:p>
              </w:tc>
              <w:tc>
                <w:tcPr>
                  <w:tcW w:w="1500"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eastAsia="zh-CN"/>
                    </w:rPr>
                    <w:t>仓库</w:t>
                  </w:r>
                </w:p>
              </w:tc>
            </w:tr>
          </w:tbl>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4、主要设备</w:t>
            </w:r>
          </w:p>
          <w:p>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表1-</w:t>
            </w:r>
            <w:r>
              <w:rPr>
                <w:rFonts w:hint="eastAsia" w:cs="Times New Roman"/>
                <w:b/>
                <w:color w:val="auto"/>
                <w:sz w:val="24"/>
                <w:lang w:val="en-US" w:eastAsia="zh-CN"/>
              </w:rPr>
              <w:t>4</w:t>
            </w:r>
            <w:r>
              <w:rPr>
                <w:rFonts w:hint="default" w:ascii="Times New Roman" w:hAnsi="Times New Roman" w:cs="Times New Roman"/>
                <w:b/>
                <w:color w:val="auto"/>
                <w:sz w:val="24"/>
              </w:rPr>
              <w:t xml:space="preserve">  主要设备一览表</w:t>
            </w:r>
          </w:p>
          <w:tbl>
            <w:tblPr>
              <w:tblStyle w:val="31"/>
              <w:tblW w:w="7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2410"/>
              <w:gridCol w:w="1894"/>
              <w:gridCol w:w="2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937"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2410"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设备名称</w:t>
                  </w:r>
                </w:p>
              </w:tc>
              <w:tc>
                <w:tcPr>
                  <w:tcW w:w="1894"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数量</w:t>
                  </w:r>
                </w:p>
              </w:tc>
              <w:tc>
                <w:tcPr>
                  <w:tcW w:w="2281" w:type="dxa"/>
                  <w:vAlign w:val="center"/>
                </w:tcPr>
                <w:p>
                  <w:pPr>
                    <w:tabs>
                      <w:tab w:val="left" w:pos="1088"/>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937"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410" w:type="dxa"/>
                  <w:vAlign w:val="center"/>
                </w:tcPr>
                <w:p>
                  <w:pPr>
                    <w:tabs>
                      <w:tab w:val="left" w:pos="1088"/>
                    </w:tabs>
                    <w:jc w:val="center"/>
                    <w:rPr>
                      <w:rFonts w:hint="default" w:ascii="Times New Roman" w:hAnsi="Times New Roman" w:cs="Times New Roman"/>
                      <w:color w:val="auto"/>
                      <w:szCs w:val="21"/>
                    </w:rPr>
                  </w:pPr>
                  <w:r>
                    <w:rPr>
                      <w:rFonts w:hint="eastAsia" w:cs="Times New Roman"/>
                      <w:color w:val="auto"/>
                      <w:szCs w:val="21"/>
                      <w:lang w:eastAsia="zh-CN"/>
                    </w:rPr>
                    <w:t>开松</w:t>
                  </w:r>
                  <w:r>
                    <w:rPr>
                      <w:rFonts w:hint="default" w:ascii="Times New Roman" w:hAnsi="Times New Roman" w:cs="Times New Roman"/>
                      <w:color w:val="auto"/>
                      <w:szCs w:val="21"/>
                    </w:rPr>
                    <w:t>机</w:t>
                  </w:r>
                </w:p>
              </w:tc>
              <w:tc>
                <w:tcPr>
                  <w:tcW w:w="1894"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6台</w:t>
                  </w:r>
                </w:p>
              </w:tc>
              <w:tc>
                <w:tcPr>
                  <w:tcW w:w="2281"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937" w:type="dxa"/>
                  <w:vAlign w:val="center"/>
                </w:tcPr>
                <w:p>
                  <w:pPr>
                    <w:tabs>
                      <w:tab w:val="left" w:pos="1088"/>
                    </w:tabs>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2</w:t>
                  </w:r>
                </w:p>
              </w:tc>
              <w:tc>
                <w:tcPr>
                  <w:tcW w:w="2410" w:type="dxa"/>
                  <w:vAlign w:val="center"/>
                </w:tcPr>
                <w:p>
                  <w:pPr>
                    <w:tabs>
                      <w:tab w:val="left" w:pos="1088"/>
                    </w:tabs>
                    <w:jc w:val="center"/>
                    <w:rPr>
                      <w:rFonts w:hint="eastAsia" w:cs="Times New Roman"/>
                      <w:color w:val="auto"/>
                      <w:szCs w:val="21"/>
                      <w:lang w:eastAsia="zh-CN"/>
                    </w:rPr>
                  </w:pPr>
                  <w:r>
                    <w:rPr>
                      <w:rFonts w:hint="eastAsia" w:cs="Times New Roman"/>
                      <w:color w:val="auto"/>
                      <w:szCs w:val="21"/>
                      <w:lang w:eastAsia="zh-CN"/>
                    </w:rPr>
                    <w:t>梳棉机</w:t>
                  </w:r>
                </w:p>
              </w:tc>
              <w:tc>
                <w:tcPr>
                  <w:tcW w:w="1894" w:type="dxa"/>
                  <w:vAlign w:val="center"/>
                </w:tcPr>
                <w:p>
                  <w:pPr>
                    <w:tabs>
                      <w:tab w:val="left" w:pos="1088"/>
                    </w:tabs>
                    <w:jc w:val="center"/>
                    <w:rPr>
                      <w:rFonts w:hint="eastAsia" w:cs="Times New Roman"/>
                      <w:color w:val="auto"/>
                      <w:szCs w:val="21"/>
                      <w:lang w:val="en-US" w:eastAsia="zh-CN"/>
                    </w:rPr>
                  </w:pPr>
                  <w:r>
                    <w:rPr>
                      <w:rFonts w:hint="eastAsia" w:cs="Times New Roman"/>
                      <w:color w:val="auto"/>
                      <w:szCs w:val="21"/>
                      <w:lang w:val="en-US" w:eastAsia="zh-CN"/>
                    </w:rPr>
                    <w:t>6台</w:t>
                  </w:r>
                </w:p>
              </w:tc>
              <w:tc>
                <w:tcPr>
                  <w:tcW w:w="2281"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937"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3</w:t>
                  </w:r>
                </w:p>
              </w:tc>
              <w:tc>
                <w:tcPr>
                  <w:tcW w:w="2410"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eastAsia="zh-CN"/>
                    </w:rPr>
                    <w:t>打包机</w:t>
                  </w:r>
                </w:p>
              </w:tc>
              <w:tc>
                <w:tcPr>
                  <w:tcW w:w="1894" w:type="dxa"/>
                  <w:vAlign w:val="center"/>
                </w:tcPr>
                <w:p>
                  <w:pPr>
                    <w:tabs>
                      <w:tab w:val="left" w:pos="1088"/>
                    </w:tabs>
                    <w:jc w:val="center"/>
                    <w:rPr>
                      <w:rFonts w:hint="default" w:ascii="Times New Roman" w:hAnsi="Times New Roman" w:cs="Times New Roman"/>
                      <w:color w:val="auto"/>
                      <w:szCs w:val="21"/>
                    </w:rPr>
                  </w:pPr>
                  <w:r>
                    <w:rPr>
                      <w:rFonts w:hint="eastAsia" w:cs="Times New Roman"/>
                      <w:color w:val="auto"/>
                      <w:szCs w:val="21"/>
                      <w:lang w:val="en-US" w:eastAsia="zh-CN"/>
                    </w:rPr>
                    <w:t>3</w:t>
                  </w:r>
                  <w:r>
                    <w:rPr>
                      <w:rFonts w:hint="default" w:ascii="Times New Roman" w:hAnsi="Times New Roman" w:cs="Times New Roman"/>
                      <w:color w:val="auto"/>
                      <w:szCs w:val="21"/>
                    </w:rPr>
                    <w:t>台</w:t>
                  </w:r>
                </w:p>
              </w:tc>
              <w:tc>
                <w:tcPr>
                  <w:tcW w:w="2281"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937"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4</w:t>
                  </w:r>
                </w:p>
              </w:tc>
              <w:tc>
                <w:tcPr>
                  <w:tcW w:w="2410" w:type="dxa"/>
                  <w:vAlign w:val="center"/>
                </w:tcPr>
                <w:p>
                  <w:pPr>
                    <w:tabs>
                      <w:tab w:val="left" w:pos="1088"/>
                    </w:tabs>
                    <w:jc w:val="center"/>
                    <w:rPr>
                      <w:rFonts w:hint="eastAsia" w:ascii="Times New Roman" w:hAnsi="Times New Roman" w:eastAsia="宋体" w:cs="Times New Roman"/>
                      <w:color w:val="auto"/>
                      <w:szCs w:val="21"/>
                      <w:lang w:eastAsia="zh-CN"/>
                    </w:rPr>
                  </w:pPr>
                  <w:r>
                    <w:rPr>
                      <w:rFonts w:hint="eastAsia" w:cs="Times New Roman"/>
                      <w:color w:val="auto"/>
                      <w:szCs w:val="21"/>
                      <w:lang w:eastAsia="zh-CN"/>
                    </w:rPr>
                    <w:t>多筒式除尘机</w:t>
                  </w:r>
                </w:p>
              </w:tc>
              <w:tc>
                <w:tcPr>
                  <w:tcW w:w="1894" w:type="dxa"/>
                  <w:vAlign w:val="center"/>
                </w:tcPr>
                <w:p>
                  <w:pPr>
                    <w:tabs>
                      <w:tab w:val="left" w:pos="1088"/>
                    </w:tabs>
                    <w:jc w:val="center"/>
                    <w:rPr>
                      <w:rFonts w:hint="default" w:ascii="Times New Roman" w:hAnsi="Times New Roman" w:cs="Times New Roman"/>
                      <w:color w:val="auto"/>
                      <w:szCs w:val="21"/>
                    </w:rPr>
                  </w:pPr>
                  <w:r>
                    <w:rPr>
                      <w:rFonts w:hint="eastAsia" w:cs="Times New Roman"/>
                      <w:color w:val="auto"/>
                      <w:szCs w:val="21"/>
                      <w:lang w:val="en-US" w:eastAsia="zh-CN"/>
                    </w:rPr>
                    <w:t>2</w:t>
                  </w:r>
                  <w:r>
                    <w:rPr>
                      <w:rFonts w:hint="default" w:ascii="Times New Roman" w:hAnsi="Times New Roman" w:cs="Times New Roman"/>
                      <w:color w:val="auto"/>
                      <w:szCs w:val="21"/>
                    </w:rPr>
                    <w:t>台</w:t>
                  </w:r>
                </w:p>
              </w:tc>
              <w:tc>
                <w:tcPr>
                  <w:tcW w:w="2281" w:type="dxa"/>
                  <w:vAlign w:val="center"/>
                </w:tcPr>
                <w:p>
                  <w:pPr>
                    <w:tabs>
                      <w:tab w:val="left" w:pos="1088"/>
                    </w:tabs>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bl>
          <w:p>
            <w:pPr>
              <w:spacing w:line="348" w:lineRule="auto"/>
              <w:ind w:firstLine="514" w:firstLineChars="200"/>
              <w:rPr>
                <w:rFonts w:hint="default" w:ascii="Times New Roman" w:hAnsi="Times New Roman" w:cs="Times New Roman"/>
                <w:b/>
                <w:color w:val="auto"/>
                <w:spacing w:val="8"/>
                <w:sz w:val="24"/>
              </w:rPr>
            </w:pPr>
            <w:r>
              <w:rPr>
                <w:rFonts w:hint="default" w:ascii="Times New Roman" w:hAnsi="Times New Roman" w:cs="Times New Roman"/>
                <w:b/>
                <w:color w:val="auto"/>
                <w:spacing w:val="8"/>
                <w:sz w:val="24"/>
              </w:rPr>
              <w:t>5、能耗情况</w:t>
            </w:r>
          </w:p>
          <w:p>
            <w:pPr>
              <w:tabs>
                <w:tab w:val="left" w:pos="600"/>
                <w:tab w:val="left" w:pos="938"/>
                <w:tab w:val="left" w:pos="1064"/>
              </w:tabs>
              <w:adjustRightInd w:val="0"/>
              <w:snapToGrid w:val="0"/>
              <w:spacing w:line="360" w:lineRule="auto"/>
              <w:ind w:firstLine="480" w:firstLineChars="200"/>
              <w:jc w:val="left"/>
              <w:rPr>
                <w:rFonts w:hint="default" w:ascii="Times New Roman" w:hAnsi="Times New Roman" w:cs="Times New Roman"/>
                <w:color w:val="auto"/>
                <w:spacing w:val="8"/>
                <w:sz w:val="24"/>
              </w:rPr>
            </w:pPr>
            <w:r>
              <w:rPr>
                <w:rFonts w:hint="default" w:ascii="Times New Roman" w:hAnsi="Times New Roman" w:cs="Times New Roman"/>
                <w:bCs/>
                <w:color w:val="auto"/>
                <w:sz w:val="24"/>
              </w:rPr>
              <w:t>项目</w:t>
            </w:r>
            <w:r>
              <w:rPr>
                <w:rFonts w:hint="eastAsia" w:cs="Times New Roman"/>
                <w:bCs/>
                <w:color w:val="auto"/>
                <w:sz w:val="24"/>
                <w:lang w:eastAsia="zh-CN"/>
              </w:rPr>
              <w:t>生产过程中中不需用水，新鲜用水主要为生活用水</w:t>
            </w:r>
            <w:r>
              <w:rPr>
                <w:rFonts w:hint="default" w:ascii="Times New Roman" w:hAnsi="Times New Roman" w:cs="Times New Roman"/>
                <w:color w:val="auto"/>
                <w:spacing w:val="8"/>
                <w:sz w:val="24"/>
              </w:rPr>
              <w:t>，</w:t>
            </w:r>
            <w:r>
              <w:rPr>
                <w:rFonts w:hint="eastAsia" w:cs="Times New Roman"/>
                <w:color w:val="auto"/>
                <w:spacing w:val="8"/>
                <w:sz w:val="24"/>
                <w:lang w:eastAsia="zh-CN"/>
              </w:rPr>
              <w:t>由</w:t>
            </w:r>
            <w:r>
              <w:rPr>
                <w:rFonts w:hint="default" w:ascii="Times New Roman" w:hAnsi="Times New Roman" w:cs="Times New Roman"/>
                <w:color w:val="auto"/>
                <w:spacing w:val="8"/>
                <w:sz w:val="24"/>
              </w:rPr>
              <w:t>市政管网供给，耗电量约150万度/年，市政电网供给。</w:t>
            </w:r>
          </w:p>
          <w:p>
            <w:pPr>
              <w:spacing w:line="348" w:lineRule="auto"/>
              <w:ind w:firstLine="514" w:firstLineChars="200"/>
              <w:rPr>
                <w:rFonts w:hint="default" w:ascii="Times New Roman" w:hAnsi="Times New Roman" w:cs="Times New Roman"/>
                <w:b/>
                <w:color w:val="auto"/>
                <w:spacing w:val="8"/>
                <w:sz w:val="24"/>
              </w:rPr>
            </w:pPr>
            <w:r>
              <w:rPr>
                <w:rFonts w:hint="default" w:ascii="Times New Roman" w:hAnsi="Times New Roman" w:cs="Times New Roman"/>
                <w:b/>
                <w:color w:val="auto"/>
                <w:spacing w:val="8"/>
                <w:sz w:val="24"/>
              </w:rPr>
              <w:t>6、工作制度及劳动定员</w:t>
            </w:r>
          </w:p>
          <w:p>
            <w:pPr>
              <w:spacing w:line="348" w:lineRule="auto"/>
              <w:ind w:firstLine="512" w:firstLineChars="200"/>
              <w:rPr>
                <w:rFonts w:hint="default" w:ascii="Times New Roman" w:hAnsi="Times New Roman" w:cs="Times New Roman"/>
                <w:color w:val="auto"/>
                <w:spacing w:val="8"/>
                <w:sz w:val="24"/>
              </w:rPr>
            </w:pPr>
            <w:r>
              <w:rPr>
                <w:rFonts w:hint="default" w:ascii="Times New Roman" w:hAnsi="Times New Roman" w:cs="Times New Roman"/>
                <w:color w:val="auto"/>
                <w:spacing w:val="8"/>
                <w:sz w:val="24"/>
              </w:rPr>
              <w:t>项目每班工作8小时（</w:t>
            </w:r>
            <w:r>
              <w:rPr>
                <w:rFonts w:hint="eastAsia" w:cs="Times New Roman"/>
                <w:color w:val="auto"/>
                <w:spacing w:val="8"/>
                <w:sz w:val="24"/>
                <w:lang w:eastAsia="zh-CN"/>
              </w:rPr>
              <w:t>两</w:t>
            </w:r>
            <w:r>
              <w:rPr>
                <w:rFonts w:hint="default" w:ascii="Times New Roman" w:hAnsi="Times New Roman" w:cs="Times New Roman"/>
                <w:color w:val="auto"/>
                <w:spacing w:val="8"/>
                <w:sz w:val="24"/>
              </w:rPr>
              <w:t>班制），全年工作300天</w:t>
            </w:r>
            <w:r>
              <w:rPr>
                <w:rFonts w:hint="eastAsia" w:cs="Times New Roman"/>
                <w:color w:val="auto"/>
                <w:spacing w:val="8"/>
                <w:sz w:val="24"/>
                <w:lang w:eastAsia="zh-CN"/>
              </w:rPr>
              <w:t>，年工作</w:t>
            </w:r>
            <w:r>
              <w:rPr>
                <w:rFonts w:hint="eastAsia" w:cs="Times New Roman"/>
                <w:color w:val="auto"/>
                <w:spacing w:val="8"/>
                <w:sz w:val="24"/>
                <w:lang w:val="en-US" w:eastAsia="zh-CN"/>
              </w:rPr>
              <w:t>4800小时</w:t>
            </w:r>
            <w:r>
              <w:rPr>
                <w:rFonts w:hint="default" w:ascii="Times New Roman" w:hAnsi="Times New Roman" w:cs="Times New Roman"/>
                <w:color w:val="auto"/>
                <w:spacing w:val="8"/>
                <w:sz w:val="24"/>
              </w:rPr>
              <w:t>。员工总人数</w:t>
            </w:r>
            <w:r>
              <w:rPr>
                <w:rFonts w:hint="eastAsia" w:cs="Times New Roman"/>
                <w:color w:val="auto"/>
                <w:spacing w:val="8"/>
                <w:sz w:val="24"/>
                <w:lang w:val="en-US" w:eastAsia="zh-CN"/>
              </w:rPr>
              <w:t>10</w:t>
            </w:r>
            <w:r>
              <w:rPr>
                <w:rFonts w:hint="default" w:ascii="Times New Roman" w:hAnsi="Times New Roman" w:cs="Times New Roman"/>
                <w:color w:val="auto"/>
                <w:spacing w:val="8"/>
                <w:sz w:val="24"/>
              </w:rPr>
              <w:t>人，在</w:t>
            </w:r>
            <w:r>
              <w:rPr>
                <w:rFonts w:hint="eastAsia" w:cs="Times New Roman"/>
                <w:color w:val="auto"/>
                <w:spacing w:val="8"/>
                <w:sz w:val="24"/>
                <w:lang w:eastAsia="zh-CN"/>
              </w:rPr>
              <w:t>厂</w:t>
            </w:r>
            <w:r>
              <w:rPr>
                <w:rFonts w:hint="default" w:ascii="Times New Roman" w:hAnsi="Times New Roman" w:cs="Times New Roman"/>
                <w:color w:val="auto"/>
                <w:spacing w:val="8"/>
                <w:sz w:val="24"/>
              </w:rPr>
              <w:t>内</w:t>
            </w:r>
            <w:r>
              <w:rPr>
                <w:rFonts w:hint="eastAsia" w:cs="Times New Roman"/>
                <w:color w:val="auto"/>
                <w:spacing w:val="8"/>
                <w:sz w:val="24"/>
                <w:lang w:eastAsia="zh-CN"/>
              </w:rPr>
              <w:t>住宿</w:t>
            </w:r>
            <w:r>
              <w:rPr>
                <w:rFonts w:hint="default" w:ascii="Times New Roman" w:hAnsi="Times New Roman" w:cs="Times New Roman"/>
                <w:color w:val="auto"/>
                <w:spacing w:val="8"/>
                <w:sz w:val="24"/>
              </w:rPr>
              <w:t>。</w:t>
            </w:r>
          </w:p>
          <w:p>
            <w:pPr>
              <w:spacing w:line="348" w:lineRule="auto"/>
              <w:ind w:firstLine="514" w:firstLineChars="200"/>
              <w:rPr>
                <w:rFonts w:hint="eastAsia" w:ascii="Times New Roman" w:hAnsi="Times New Roman" w:eastAsia="宋体" w:cs="Times New Roman"/>
                <w:b/>
                <w:color w:val="auto"/>
                <w:spacing w:val="8"/>
                <w:sz w:val="24"/>
                <w:lang w:eastAsia="zh-CN"/>
              </w:rPr>
            </w:pPr>
            <w:r>
              <w:rPr>
                <w:rFonts w:hint="default" w:ascii="Times New Roman" w:hAnsi="Times New Roman" w:cs="Times New Roman"/>
                <w:b/>
                <w:color w:val="auto"/>
                <w:spacing w:val="8"/>
                <w:sz w:val="24"/>
              </w:rPr>
              <w:t>7、</w:t>
            </w:r>
            <w:r>
              <w:rPr>
                <w:rFonts w:hint="eastAsia" w:cs="Times New Roman"/>
                <w:b/>
                <w:color w:val="auto"/>
                <w:spacing w:val="8"/>
                <w:sz w:val="24"/>
                <w:lang w:eastAsia="zh-CN"/>
              </w:rPr>
              <w:t>公用工程</w:t>
            </w:r>
          </w:p>
          <w:p>
            <w:pPr>
              <w:pStyle w:val="117"/>
              <w:snapToGrid w:val="0"/>
              <w:spacing w:line="360" w:lineRule="auto"/>
              <w:ind w:firstLine="480" w:firstLineChars="200"/>
              <w:rPr>
                <w:sz w:val="24"/>
                <w:szCs w:val="24"/>
              </w:rPr>
            </w:pPr>
            <w:r>
              <w:rPr>
                <w:sz w:val="24"/>
                <w:szCs w:val="24"/>
              </w:rPr>
              <w:t>（1）供电</w:t>
            </w:r>
          </w:p>
          <w:p>
            <w:pPr>
              <w:pStyle w:val="117"/>
              <w:snapToGrid w:val="0"/>
              <w:spacing w:line="360" w:lineRule="auto"/>
              <w:ind w:firstLine="480" w:firstLineChars="200"/>
              <w:rPr>
                <w:sz w:val="24"/>
                <w:szCs w:val="24"/>
              </w:rPr>
            </w:pPr>
            <w:r>
              <w:rPr>
                <w:sz w:val="24"/>
                <w:szCs w:val="24"/>
              </w:rPr>
              <w:t>本项目供电电源采用市政供电。</w:t>
            </w:r>
          </w:p>
          <w:p>
            <w:pPr>
              <w:spacing w:line="348" w:lineRule="auto"/>
              <w:ind w:firstLine="512" w:firstLineChars="200"/>
              <w:rPr>
                <w:rFonts w:hint="default" w:ascii="Times New Roman" w:hAnsi="Times New Roman" w:cs="Times New Roman"/>
                <w:color w:val="auto"/>
                <w:spacing w:val="8"/>
                <w:sz w:val="24"/>
              </w:rPr>
            </w:pPr>
            <w:r>
              <w:rPr>
                <w:rFonts w:hint="default" w:ascii="Times New Roman" w:hAnsi="Times New Roman" w:cs="Times New Roman"/>
                <w:color w:val="auto"/>
                <w:spacing w:val="8"/>
                <w:sz w:val="24"/>
              </w:rPr>
              <w:t>（</w:t>
            </w:r>
            <w:r>
              <w:rPr>
                <w:rFonts w:hint="eastAsia" w:cs="Times New Roman"/>
                <w:color w:val="auto"/>
                <w:spacing w:val="8"/>
                <w:sz w:val="24"/>
                <w:lang w:val="en-US" w:eastAsia="zh-CN"/>
              </w:rPr>
              <w:t>2</w:t>
            </w:r>
            <w:r>
              <w:rPr>
                <w:rFonts w:hint="default" w:ascii="Times New Roman" w:hAnsi="Times New Roman" w:cs="Times New Roman"/>
                <w:color w:val="auto"/>
                <w:spacing w:val="8"/>
                <w:sz w:val="24"/>
              </w:rPr>
              <w:t>）给水：项目生活用水由市政管网供水。</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项目员工总数为</w:t>
            </w:r>
            <w:r>
              <w:rPr>
                <w:rFonts w:hint="eastAsia" w:cs="Times New Roman"/>
                <w:color w:val="auto"/>
                <w:sz w:val="24"/>
                <w:lang w:val="en-US" w:eastAsia="zh-CN"/>
              </w:rPr>
              <w:t>1</w:t>
            </w:r>
            <w:r>
              <w:rPr>
                <w:rFonts w:hint="default" w:ascii="Times New Roman" w:hAnsi="Times New Roman" w:cs="Times New Roman"/>
                <w:color w:val="auto"/>
                <w:sz w:val="24"/>
              </w:rPr>
              <w:t>0人，均在项目内</w:t>
            </w:r>
            <w:r>
              <w:rPr>
                <w:rFonts w:hint="eastAsia" w:cs="Times New Roman"/>
                <w:color w:val="auto"/>
                <w:sz w:val="24"/>
                <w:lang w:eastAsia="zh-CN"/>
              </w:rPr>
              <w:t>住</w:t>
            </w:r>
            <w:r>
              <w:rPr>
                <w:rFonts w:hint="default" w:ascii="Times New Roman" w:hAnsi="Times New Roman" w:cs="Times New Roman"/>
                <w:color w:val="auto"/>
                <w:sz w:val="24"/>
              </w:rPr>
              <w:t>宿。按《广东省用水定额》（DB44/T 1461-2014），人均用水</w:t>
            </w:r>
            <w:r>
              <w:rPr>
                <w:rFonts w:hint="eastAsia" w:cs="Times New Roman"/>
                <w:color w:val="auto"/>
                <w:sz w:val="24"/>
                <w:lang w:val="en-US" w:eastAsia="zh-CN"/>
              </w:rPr>
              <w:t>180升/人•日</w:t>
            </w:r>
            <w:r>
              <w:rPr>
                <w:rFonts w:hint="default" w:ascii="Times New Roman" w:hAnsi="Times New Roman" w:cs="Times New Roman"/>
                <w:color w:val="auto"/>
                <w:sz w:val="24"/>
              </w:rPr>
              <w:t>计算，</w:t>
            </w:r>
            <w:r>
              <w:rPr>
                <w:rFonts w:hint="eastAsia" w:cs="Times New Roman"/>
                <w:color w:val="auto"/>
                <w:sz w:val="24"/>
                <w:lang w:eastAsia="zh-CN"/>
              </w:rPr>
              <w:t>项目</w:t>
            </w:r>
            <w:r>
              <w:rPr>
                <w:rFonts w:hint="default" w:ascii="Times New Roman" w:hAnsi="Times New Roman" w:cs="Times New Roman"/>
                <w:color w:val="auto"/>
                <w:sz w:val="24"/>
              </w:rPr>
              <w:t>每天用水约</w:t>
            </w:r>
            <w:r>
              <w:rPr>
                <w:rFonts w:hint="eastAsia" w:cs="Times New Roman"/>
                <w:color w:val="auto"/>
                <w:sz w:val="24"/>
                <w:lang w:val="en-US" w:eastAsia="zh-CN"/>
              </w:rPr>
              <w:t>1.8</w:t>
            </w:r>
            <w:r>
              <w:rPr>
                <w:rFonts w:hint="default" w:ascii="Times New Roman" w:hAnsi="Times New Roman" w:cs="Times New Roman"/>
                <w:color w:val="auto"/>
                <w:sz w:val="24"/>
              </w:rPr>
              <w:t>t，一年300天计算，生活用水约为</w:t>
            </w:r>
            <w:r>
              <w:rPr>
                <w:rFonts w:hint="eastAsia" w:cs="Times New Roman"/>
                <w:color w:val="auto"/>
                <w:sz w:val="24"/>
                <w:lang w:val="en-US" w:eastAsia="zh-CN"/>
              </w:rPr>
              <w:t>54</w:t>
            </w:r>
            <w:r>
              <w:rPr>
                <w:rFonts w:hint="default" w:ascii="Times New Roman" w:hAnsi="Times New Roman" w:cs="Times New Roman"/>
                <w:color w:val="auto"/>
                <w:sz w:val="24"/>
              </w:rPr>
              <w:t>0t/a。</w:t>
            </w:r>
          </w:p>
          <w:p>
            <w:pPr>
              <w:spacing w:line="348" w:lineRule="auto"/>
              <w:ind w:firstLine="512" w:firstLineChars="200"/>
              <w:rPr>
                <w:rFonts w:hint="default" w:ascii="Times New Roman" w:hAnsi="Times New Roman" w:cs="Times New Roman"/>
                <w:color w:val="auto"/>
                <w:spacing w:val="8"/>
                <w:sz w:val="24"/>
              </w:rPr>
            </w:pPr>
            <w:r>
              <w:rPr>
                <w:rFonts w:hint="default" w:ascii="Times New Roman" w:hAnsi="Times New Roman" w:cs="Times New Roman"/>
                <w:color w:val="auto"/>
                <w:spacing w:val="8"/>
                <w:sz w:val="24"/>
              </w:rPr>
              <w:t>（</w:t>
            </w:r>
            <w:r>
              <w:rPr>
                <w:rFonts w:hint="eastAsia" w:cs="Times New Roman"/>
                <w:color w:val="auto"/>
                <w:spacing w:val="8"/>
                <w:sz w:val="24"/>
                <w:lang w:val="en-US" w:eastAsia="zh-CN"/>
              </w:rPr>
              <w:t>3</w:t>
            </w:r>
            <w:r>
              <w:rPr>
                <w:rFonts w:hint="default" w:ascii="Times New Roman" w:hAnsi="Times New Roman" w:cs="Times New Roman"/>
                <w:color w:val="auto"/>
                <w:spacing w:val="8"/>
                <w:sz w:val="24"/>
              </w:rPr>
              <w:t>）排水</w:t>
            </w:r>
          </w:p>
          <w:p>
            <w:pPr>
              <w:spacing w:line="360" w:lineRule="auto"/>
              <w:ind w:firstLine="480" w:firstLineChars="200"/>
              <w:rPr>
                <w:rFonts w:hint="eastAsia" w:cs="Times New Roman"/>
                <w:color w:val="auto"/>
                <w:sz w:val="24"/>
                <w:lang w:val="en-US" w:eastAsia="zh-CN"/>
              </w:rPr>
            </w:pPr>
            <w:r>
              <w:rPr>
                <w:rFonts w:hint="default" w:ascii="Times New Roman" w:hAnsi="Times New Roman" w:cs="Times New Roman"/>
                <w:color w:val="auto"/>
                <w:sz w:val="24"/>
              </w:rPr>
              <w:t>项目生活用水约为</w:t>
            </w:r>
            <w:r>
              <w:rPr>
                <w:rFonts w:hint="eastAsia" w:cs="Times New Roman"/>
                <w:color w:val="auto"/>
                <w:sz w:val="24"/>
                <w:lang w:val="en-US" w:eastAsia="zh-CN"/>
              </w:rPr>
              <w:t>54</w:t>
            </w:r>
            <w:r>
              <w:rPr>
                <w:rFonts w:hint="default" w:ascii="Times New Roman" w:hAnsi="Times New Roman" w:cs="Times New Roman"/>
                <w:color w:val="auto"/>
                <w:sz w:val="24"/>
              </w:rPr>
              <w:t>0t/a，产污系数按0.9计算，则生活污水产生量约为</w:t>
            </w:r>
            <w:r>
              <w:rPr>
                <w:rFonts w:hint="eastAsia" w:cs="Times New Roman"/>
                <w:color w:val="auto"/>
                <w:sz w:val="24"/>
                <w:lang w:val="en-US" w:eastAsia="zh-CN"/>
              </w:rPr>
              <w:t>1.62</w:t>
            </w:r>
            <w:r>
              <w:rPr>
                <w:rFonts w:hint="default" w:ascii="Times New Roman" w:hAnsi="Times New Roman" w:cs="Times New Roman"/>
                <w:color w:val="auto"/>
                <w:sz w:val="24"/>
              </w:rPr>
              <w:t>t/d，</w:t>
            </w:r>
            <w:r>
              <w:rPr>
                <w:rFonts w:hint="eastAsia" w:cs="Times New Roman"/>
                <w:color w:val="auto"/>
                <w:sz w:val="24"/>
                <w:lang w:val="en-US" w:eastAsia="zh-CN"/>
              </w:rPr>
              <w:t>486t</w:t>
            </w:r>
            <w:r>
              <w:rPr>
                <w:rFonts w:hint="default" w:ascii="Times New Roman" w:hAnsi="Times New Roman" w:cs="Times New Roman"/>
                <w:color w:val="auto"/>
                <w:sz w:val="24"/>
              </w:rPr>
              <w:t>/a，经</w:t>
            </w:r>
            <w:r>
              <w:rPr>
                <w:rFonts w:hint="eastAsia" w:cs="Times New Roman"/>
                <w:color w:val="auto"/>
                <w:kern w:val="0"/>
                <w:sz w:val="24"/>
                <w:lang w:eastAsia="zh-CN"/>
              </w:rPr>
              <w:t>生化池</w:t>
            </w:r>
            <w:r>
              <w:rPr>
                <w:rFonts w:hint="default" w:ascii="Times New Roman" w:hAnsi="Times New Roman" w:cs="Times New Roman"/>
                <w:color w:val="auto"/>
                <w:sz w:val="24"/>
              </w:rPr>
              <w:t>处理达《城市污水再生利用 城市杂用水水质》（GB/T18920-2002）中城市绿化水质标准后用于厂内绿化。</w:t>
            </w:r>
            <w:r>
              <w:rPr>
                <w:rFonts w:hint="eastAsia" w:cs="Times New Roman"/>
                <w:color w:val="auto"/>
                <w:sz w:val="24"/>
                <w:lang w:eastAsia="zh-CN"/>
              </w:rPr>
              <w:t>项目水平衡见图</w:t>
            </w:r>
            <w:r>
              <w:rPr>
                <w:rFonts w:hint="eastAsia" w:cs="Times New Roman"/>
                <w:color w:val="auto"/>
                <w:sz w:val="24"/>
                <w:lang w:val="en-US" w:eastAsia="zh-CN"/>
              </w:rPr>
              <w:t>1-1。</w:t>
            </w:r>
          </w:p>
          <w:p>
            <w:pPr>
              <w:tabs>
                <w:tab w:val="left" w:pos="6442"/>
              </w:tabs>
              <w:spacing w:line="348" w:lineRule="auto"/>
              <w:rPr>
                <w:rFonts w:hint="eastAsia" w:ascii="Times New Roman" w:hAnsi="Times New Roman" w:eastAsia="宋体" w:cs="Times New Roman"/>
                <w:b/>
                <w:color w:val="auto"/>
                <w:spacing w:val="8"/>
                <w:sz w:val="24"/>
                <w:lang w:eastAsia="zh-CN"/>
              </w:rPr>
            </w:pP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2049145</wp:posOffset>
                      </wp:positionH>
                      <wp:positionV relativeFrom="paragraph">
                        <wp:posOffset>340995</wp:posOffset>
                      </wp:positionV>
                      <wp:extent cx="219075" cy="171450"/>
                      <wp:effectExtent l="0" t="11430" r="9525" b="7620"/>
                      <wp:wrapNone/>
                      <wp:docPr id="23" name="曲线连接符 23"/>
                      <wp:cNvGraphicFramePr/>
                      <a:graphic xmlns:a="http://schemas.openxmlformats.org/drawingml/2006/main">
                        <a:graphicData uri="http://schemas.microsoft.com/office/word/2010/wordprocessingShape">
                          <wps:wsp>
                            <wps:cNvCnPr/>
                            <wps:spPr>
                              <a:xfrm flipV="1">
                                <a:off x="2877185" y="1350010"/>
                                <a:ext cx="219075" cy="171450"/>
                              </a:xfrm>
                              <a:prstGeom prst="curvedConnector3">
                                <a:avLst>
                                  <a:gd name="adj1" fmla="val 50145"/>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8" type="#_x0000_t38" style="position:absolute;left:0pt;flip:y;margin-left:161.35pt;margin-top:26.85pt;height:13.5pt;width:17.25pt;z-index:251659264;mso-width-relative:page;mso-height-relative:page;" filled="f" stroked="t" coordsize="21600,21600" o:gfxdata="UEsDBAoAAAAAAIdO4kAAAAAAAAAAAAAAAAAEAAAAZHJzL1BLAwQUAAAACACHTuJASSlkZNsAAAAJ&#10;AQAADwAAAGRycy9kb3ducmV2LnhtbE2Py07DMBBF90j8gzVI7KjdpCVViFMBKkJiR3hU7Nx4iCNi&#10;O7LdtOXrGVawGo3m6M651fpoBzZhiL13EuYzAQxd63XvOgmvLw9XK2AxKafV4B1KOGGEdX1+VqlS&#10;+4N7xqlJHaMQF0slwaQ0lpzH1qBVceZHdHT79MGqRGvouA7qQOF24JkQ19yq3tEHo0a8N9h+NXsr&#10;Yfr+2L7Z8PRoF5vpfdFs7m5PWyPl5cVc3ABLeEx/MPzqkzrU5LTze6cjGyTkWVYQKmGZ0yQgXxYZ&#10;sJ2ElSiA1xX/36D+AVBLAwQUAAAACACHTuJAg5FFChECAADUAwAADgAAAGRycy9lMm9Eb2MueG1s&#10;rVNLjhMxEN0jcQfLe9LdCZmEVjqzSBg2CCLx2Tv+dBv5J9uTTi7BBZDYwWpWLNnMbWY4BmV3E347&#10;RC+sclfVq3pVz6vLo1bowH2Q1jS4mpQYcUMtk6Zt8JvXV4+WGIVIDCPKGt7gEw/4cv3wwap3NZ/a&#10;zirGPQIQE+reNbiL0dVFEWjHNQkT67gBp7BekwhX3xbMkx7QtSqmZXlR9NYz5y3lIcDf7eDE64wv&#10;BKfxpRCBR6QaDL3FfPp87tNZrFekbj1xnaRjG+QfutBEGih6htqSSNC1l39BaUm9DVbECbW6sEJI&#10;yjMHYFOVf7B51RHHMxcYTnDnMYX/B0tfHHYeSdbg6QwjQzTs6O7Dl/uvt99uP969/3R/8xmBB8bU&#10;u1BD9Mbs/HgLbucT56PwGgkl3VtQQJ4C8EJHgFwuFtVyjtEJHLN5CQyHgfNjRDQFVE/KBfhpClhU&#10;j+fZXwyQCdr5EJ9xq1EyGkyv/YGzjTUGFmv9LBcjh+ch5tmzkQBh7yqMhFawygNRaF4CdKoMyGM0&#10;WD+wU6qxV1KpLAZlUN/gC2gX+iIgSaFIBFM7GFIwLUZEtaB1Gn0uH6ySLGUnnODb/UZ5BFVBXfkb&#10;6/4WlkpvSeiGuOwaBqNlhOegpG7w8pxN6kikemoYiicH+4leEtMqPiIrA8TSdoZ9JGtv2SmvKf8H&#10;6WTqo8yTNn+95+yfj3H9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kpZGTbAAAACQEAAA8AAAAA&#10;AAAAAQAgAAAAIgAAAGRycy9kb3ducmV2LnhtbFBLAQIUABQAAAAIAIdO4kCDkUUKEQIAANQDAAAO&#10;AAAAAAAAAAEAIAAAACoBAABkcnMvZTJvRG9jLnhtbFBLBQYAAAAABgAGAFkBAACtBQAAAAA=&#10;" adj="10831">
                      <v:fill on="f" focussize="0,0"/>
                      <v:stroke weight="0.5pt" color="#000000 [3213]" miterlimit="8" joinstyle="miter" endarrow="block"/>
                      <v:imagedata o:title=""/>
                      <o:lock v:ext="edit" aspectratio="f"/>
                    </v:shape>
                  </w:pict>
                </mc:Fallback>
              </mc:AlternateContent>
            </w:r>
            <w:r>
              <w:rPr>
                <w:color w:val="auto"/>
                <w:sz w:val="24"/>
              </w:rPr>
              <mc:AlternateContent>
                <mc:Choice Requires="wpc">
                  <w:drawing>
                    <wp:inline distT="0" distB="0" distL="114300" distR="114300">
                      <wp:extent cx="5486400" cy="957580"/>
                      <wp:effectExtent l="0" t="0" r="0" b="0"/>
                      <wp:docPr id="21" name="画布 21"/>
                      <wp:cNvGraphicFramePr/>
                      <a:graphic xmlns:a="http://schemas.openxmlformats.org/drawingml/2006/main">
                        <a:graphicData uri="http://schemas.microsoft.com/office/word/2010/wordprocessingCanvas">
                          <wpc:wpc>
                            <wpc:bg/>
                            <wpc:whole/>
                            <wps:wsp>
                              <wps:cNvPr id="22" name="流程图: 过程 22"/>
                              <wps:cNvSpPr/>
                              <wps:spPr>
                                <a:xfrm>
                                  <a:off x="1598295" y="495935"/>
                                  <a:ext cx="867410" cy="342900"/>
                                </a:xfrm>
                                <a:prstGeom prst="flowChart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流程图: 过程 24"/>
                              <wps:cNvSpPr/>
                              <wps:spPr>
                                <a:xfrm>
                                  <a:off x="3037205" y="494030"/>
                                  <a:ext cx="867410" cy="342900"/>
                                </a:xfrm>
                                <a:prstGeom prst="flowChart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生活污水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流程图: 过程 25"/>
                              <wps:cNvSpPr/>
                              <wps:spPr>
                                <a:xfrm>
                                  <a:off x="236855" y="503555"/>
                                  <a:ext cx="867410" cy="342900"/>
                                </a:xfrm>
                                <a:prstGeom prst="flowChart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新鲜水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 name="直接箭头连接符 36"/>
                              <wps:cNvCnPr>
                                <a:stCxn id="25" idx="3"/>
                                <a:endCxn id="22" idx="1"/>
                              </wps:cNvCnPr>
                              <wps:spPr>
                                <a:xfrm flipV="1">
                                  <a:off x="1104265" y="667385"/>
                                  <a:ext cx="494030" cy="76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9" name="直接箭头连接符 39"/>
                              <wps:cNvCnPr>
                                <a:stCxn id="22" idx="3"/>
                                <a:endCxn id="24" idx="1"/>
                              </wps:cNvCnPr>
                              <wps:spPr>
                                <a:xfrm flipV="1">
                                  <a:off x="2465705" y="665480"/>
                                  <a:ext cx="571500" cy="1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4" name="流程图: 过程 44"/>
                              <wps:cNvSpPr/>
                              <wps:spPr>
                                <a:xfrm>
                                  <a:off x="4370705" y="494030"/>
                                  <a:ext cx="867410" cy="342900"/>
                                </a:xfrm>
                                <a:prstGeom prst="flowChart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绿化</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 name="直接箭头连接符 45"/>
                              <wps:cNvCnPr>
                                <a:stCxn id="24" idx="3"/>
                                <a:endCxn id="44" idx="1"/>
                              </wps:cNvCnPr>
                              <wps:spPr>
                                <a:xfrm>
                                  <a:off x="3904615" y="665480"/>
                                  <a:ext cx="46609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7" name="流程图: 过程 47"/>
                              <wps:cNvSpPr/>
                              <wps:spPr>
                                <a:xfrm>
                                  <a:off x="922655" y="341630"/>
                                  <a:ext cx="867410" cy="342900"/>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540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 name="流程图: 过程 48"/>
                              <wps:cNvSpPr/>
                              <wps:spPr>
                                <a:xfrm>
                                  <a:off x="2341880" y="332105"/>
                                  <a:ext cx="867410" cy="342900"/>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486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 name="流程图: 过程 49"/>
                              <wps:cNvSpPr/>
                              <wps:spPr>
                                <a:xfrm>
                                  <a:off x="3703955" y="341630"/>
                                  <a:ext cx="867410" cy="342900"/>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486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流程图: 过程 51"/>
                              <wps:cNvSpPr/>
                              <wps:spPr>
                                <a:xfrm>
                                  <a:off x="1960880" y="95250"/>
                                  <a:ext cx="867410" cy="342900"/>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54</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75.4pt;width:432pt;" coordsize="5486400,957580" editas="canvas" o:gfxdata="UEsDBAoAAAAAAIdO4kAAAAAAAAAAAAAAAAAEAAAAZHJzL1BLAwQUAAAACACHTuJAlEpqI9YAAAAF&#10;AQAADwAAAGRycy9kb3ducmV2LnhtbE2PQUvDQBCF74L/YRnBi9jdipYQs+mhIBYRimnteZsdk2B2&#10;Ns1uk/rvnfbSXgYe7/Hme9n86FoxYB8aTxqmEwUCqfS2oUrDZv32mIAI0ZA1rSfU8IcB5vntTWZS&#10;60f6wqGIleASCqnRUMfYpVKGskZnwsR3SOz9+N6ZyLKvpO3NyOWulU9KzaQzDfGH2nS4qLH8LQ5O&#10;w1iuhu36812uHrZLT/vlflF8f2h9fzdVryAiHuMlDCd8RoecmXb+QDaIVgMPiefLXjJ7Zrnj0ItK&#10;QOaZvKbP/wFQSwMEFAAAAAgAh07iQP3RuIHyBAAA/yEAAA4AAABkcnMvZTJvRG9jLnhtbO1aTW/k&#10;NBi+I/EfrNzp5MPJTKJOV9V0WyFVbKXycfbkW0rsYHs6U26IAwckTtxW4gSIA3BaJCQk9td0uz+D&#10;13YyM3RmO91daWkhPaROXtuxH7/P+z52Zv/Roq7QRcpFyejYcvZsC6U0ZklJ87H1ycfHH4wsJCSh&#10;CakYTcfWZSqsRwfvv7c/b6LUZQWrkpQj6ISKaN6MrULKJhoMRFykNRF7rEkpGDPGayLhlueDhJM5&#10;9F5XA9e2g8Gc8aThLE6FgKdHxmgd6P6zLI3lkywTqUTV2IKxSX3l+jpV18HBPolyTpqijNthkDcY&#10;RU1KCi9ddnVEJEEzXm50VZcxZ4Jlci9m9YBlWRmneg4wG8e+MZsTzmaNnksezfNmCRNAewOnN+42&#10;/ujijKMyGVuuYyFKalij6+/+vPrjKwQPAJ15k0dQ6YQ3580Zbx/k5k5NeJHxWv2HqaCFxvVyiWu6&#10;kCiGhz4eBdgG+GOwhf7QH7XAxwWszkazuHh8e8NB99qBGt1yMPMGfEisYBJvB9N5QZpUoy8UAh1M&#10;bgfTi9+/vP75m6unf0Xo5fOvoYhc1yCm6y/hEpEA5LZg5fjhyA19CwEqOPRDzzfu2ME2CobYaVHz&#10;sBsCgoD/cvIkariQJymrkSqMraxi80lBuDwzfNAOSS5OhTTNuupqKJQdl1UFz0lUUTQH6rpDvUIE&#10;SJhVRMJi1Q24haC5hUiVA7tjyXWXglVlopqr1oLn00nF0QVRDNN/7Sj/UU29+4iIwtTTJjPZupQQ&#10;AKqyHluj9dYVhamqFTXgqZJcTBfaAUU0ZcklLAhnhtCiiY9LeMMpEfKMcGAwwAZRST6Bi4JlbLG2&#10;ZKGC8S+2PVf1wWPAaqE5RASY++czwlMLVR9S8KXQwViFEH2D/aELN3zdMl230Fk9YQAJsApGp4uq&#10;vqy6YsZZ/RkEr0P1VjARGsO7DcrtzUSaSAXhL04PD3U1CBsNkaf0vIlV52YtD2eSZaVeZgWUQafF&#10;DxihWPwuqIFvoQZWy62GAVTaTQ3P9gDfjhrY9tqA0VMD6N9Tg/GHRg1wZZNct2QNHfbvTA3XC0a+&#10;YYZvez4UdRTvmdEzQ2eQB8YML+iYcf302Ytvf7z+7derH569fP69Kv/yEwL7KnFMqBFSQk4W1KhW&#10;YEKZgMb0WhrQZGkCpaZNWsdqLQG5x3Sh2LauylBWlc2nXUJttazj2NgNDNWCYOiNblANhzoxaVU7&#10;DEAOwEBfrc6E5KTMCzlhlMK2hHGTvO+qzwLPB5EQ3wt5RiJJyuoxTZC8bGDDIHlJaF6lLQBb8pNR&#10;JAqfVom8I0nihTu8K7zduzoX2uJdIHbeyrtcHPjDVuIEAWyRbkgcf+j43Z7JCaFi712aXvfIu/At&#10;ghdsq7i1W/Bib2h33tDGFWhOoj6t92n9IaZ1vBS829M62Ff02JLWu+i6GXgV6e4aeBWD2mTuhTYO&#10;nC6Zb4ZbHAR2qDJsd3zVZ/KtO81/K5PjYZfJN3dQYFs50+5YG7qg6owneNgJHsrZwtqRXX+aps/C&#10;/tOnaRi+nLzqyABsr+PwLrj5CPSlOmj2PNcxYvL+i4ve4/9X58d4uVnbEuLXN2q7QzyoaS/sY3z/&#10;xUQpuvv7xcRffnPd9HiwvU6Md8LA7mJ86LtwWASt+xDffyK86ydC/S0dfmWgD1naX0SonzGs3+vz&#10;u9XvNg7+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EHAABbQ29udGVudF9UeXBlc10ueG1sUEsBAhQACgAAAAAAh07iQAAAAAAAAAAAAAAAAAYA&#10;AAAAAAAAAAAQAAAAQwYAAF9yZWxzL1BLAQIUABQAAAAIAIdO4kCKFGY80QAAAJQBAAALAAAAAAAA&#10;AAEAIAAAAGcGAABfcmVscy8ucmVsc1BLAQIUAAoAAAAAAIdO4kAAAAAAAAAAAAAAAAAEAAAAAAAA&#10;AAAAEAAAAAAAAABkcnMvUEsBAhQAFAAAAAgAh07iQJRKaiPWAAAABQEAAA8AAAAAAAAAAQAgAAAA&#10;IgAAAGRycy9kb3ducmV2LnhtbFBLAQIUABQAAAAIAIdO4kD90biB8gQAAP8hAAAOAAAAAAAAAAEA&#10;IAAAACUBAABkcnMvZTJvRG9jLnhtbFBLBQYAAAAABgAGAFkBAACJCAAAAAA=&#10;">
                      <o:lock v:ext="edit" aspectratio="f"/>
                      <v:shape id="_x0000_s1026" o:spid="_x0000_s1026" style="position:absolute;left:0;top:0;height:957580;width:5486400;" filled="f" stroked="f" coordsize="21600,21600" o:gfxdata="UEsDBAoAAAAAAIdO4kAAAAAAAAAAAAAAAAAEAAAAZHJzL1BLAwQUAAAACACHTuJAlEpqI9YAAAAF&#10;AQAADwAAAGRycy9kb3ducmV2LnhtbE2PQUvDQBCF74L/YRnBi9jdipYQs+mhIBYRimnteZsdk2B2&#10;Ns1uk/rvnfbSXgYe7/Hme9n86FoxYB8aTxqmEwUCqfS2oUrDZv32mIAI0ZA1rSfU8IcB5vntTWZS&#10;60f6wqGIleASCqnRUMfYpVKGskZnwsR3SOz9+N6ZyLKvpO3NyOWulU9KzaQzDfGH2nS4qLH8LQ5O&#10;w1iuhu36812uHrZLT/vlflF8f2h9fzdVryAiHuMlDCd8RoecmXb+QDaIVgMPiefLXjJ7Zrnj0ItK&#10;QOaZvKbP/wFQSwMEFAAAAAgAh07iQA6wWU6rBAAARiEAAA4AAABkcnMvZTJvRG9jLnhtbO1azW7j&#10;NhC+F+g7ELo31g8lW0acReA0RYGgGyD9OdP6sQVIpEoysdNbTz0U6Ass0FNb9ND2tL12n2Y3+xj9&#10;SEmJmzjrtFssnFY5KEMPNSSH8818orT/ZFWV5CKTqhB84nh7rkMynoi04POJ89mnxx+MHKI04ykr&#10;Bc8mzmWmnCcH77+3v6zHmS8WokwzSWCEq/GynjgLrevxYKCSRVYxtSfqjEOZC1kxjaacD1LJlrBe&#10;lQPfdaPBUsi0liLJlMKvR43SObD28zxL9NM8V5km5cTB3LS9SnudmevgYJ+N55LViyJpp8H+wSwq&#10;VnAMem3qiGlGzmVxx1RVJFIokeu9RFQDkedFktk1YDWee2s1U8YvmLKLSeCdboKQ/kW7szl8AJPj&#10;JTYjszK2QtXXm6LebrCzBaszuwY1Tj65OJWkSCeO7zuEswoR8er3r69+/vblsz/G5PWLbyAS6Npp&#10;oP9ZfSrbloJofLzKZWX+w3tkhaAL45Efhw65nDg0DuMgbHY1W2mSQD+KhtTD3ifQB9SPXbvrgxs7&#10;tVT6o0xUxAgTJy/FcrpgUp82YWX3lV2cKI154Lauu5kCF8dFWeJ3Ni45WWIy/hD2ScIQy3nJNMSq&#10;xnoVnzuElXOAJNHSmlSiLFJzu7lbyflsWkpywUyg2j+zCgz3l25m7COmFk0/q2oWWxUaOCqLCutd&#10;v7vkMLKs1bhxnpH0arZqPToT6SU2RIoGF6pOjguMcMKUPmUSQMBSAG79FBfjlokjWskhCyG/2vS7&#10;6Y+IgdYhSwALa//ynMnMIeXHHLEUe5QaJNoGDYc+GnJdM1vX8PNqKuASD2mkTqxo+uuyE3Mpqi+Q&#10;Aw7NqFAxnmDsxsttY6obwCOLJNnhoe0G9NVMn/AzgyXP7gcXh+da5IXdZuOoxjut/4AIA5N3AQ36&#10;BmhQs91mGg+CRuAG8G8HDeoGbcLroQFg9dAQ8rFBA6F8b9Wwaf/B0PCDaBQ2yAjdIIRos3iPjB4Z&#10;toI8MmQEUYeMq2fPX33349Vvv7784fnrF98b+ZefCPQ3hWPKGyKl9HTFGzoGJBQpyFLQwoCn1yow&#10;NavyjMpyCdSexoRB2zorI3lZ1J93BbXjZ55L/aiBWhQNg9EtqNHYFibLz4YR6IAZ5l52prRkxXyh&#10;p4JzsHshm+L9UH4WBSFIwm7QMzbWrCg/5CnRlzWYsJYF4/Myax2woT41jKTbhndHSYJ4S3TFZs5t&#10;7t0QXV0IbYgukJ23ii6fRuGwpThRFNLRLYoTDr3QMnKwfy9Gxz66LLx2KLroGwgvdDeRtf1ZkAZD&#10;t4uGNq/gdjbuy3pf1h9jWafXhHdzWYf+Bh4bEm+XXe8mXgO6hyZeg6C2mAexSyOvK+Z30y2NIjc2&#10;FRbptq/kbbHZpVw77Cr53XM3OlwLpu25NvbB6ppICKgXPZazhbUju/40zZ6F/adP0yheQNx3ZADd&#10;TfbcHvA+wnwEfmkOmoPA9xoyufvkoo/4/9X5Mb1+WNuQ4tcf1LZHPNh0EPc5vn9jYhjd7r4xCfF2&#10;6L4cD93fyfFeHLldjo9DH4dFj+L5sU/xu5LicUBq39XbQ5b2wwLzNcB6G/L65w8H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aBwAAW0NvbnRl&#10;bnRfVHlwZXNdLnhtbFBLAQIUAAoAAAAAAIdO4kAAAAAAAAAAAAAAAAAGAAAAAAAAAAAAEAAAAPwF&#10;AABfcmVscy9QSwECFAAUAAAACACHTuJAihRmPNEAAACUAQAACwAAAAAAAAABACAAAAAgBgAAX3Jl&#10;bHMvLnJlbHNQSwECFAAKAAAAAACHTuJAAAAAAAAAAAAAAAAABAAAAAAAAAAAABAAAAAAAAAAZHJz&#10;L1BLAQIUABQAAAAIAIdO4kCUSmoj1gAAAAUBAAAPAAAAAAAAAAEAIAAAACIAAABkcnMvZG93bnJl&#10;di54bWxQSwECFAAUAAAACACHTuJADrBZTqsEAABGIQAADgAAAAAAAAABACAAAAAlAQAAZHJzL2Uy&#10;b0RvYy54bWxQSwUGAAAAAAYABgBZAQAAQggAAAAA&#10;">
                        <v:fill on="f" focussize="0,0"/>
                        <v:stroke on="f"/>
                        <v:imagedata o:title=""/>
                        <o:lock v:ext="edit" aspectratio="f"/>
                      </v:shape>
                      <v:shape id="_x0000_s1026" o:spid="_x0000_s1026" o:spt="109" type="#_x0000_t109" style="position:absolute;left:1598295;top:495935;height:342900;width:867410;v-text-anchor:middle;" filled="f" stroked="t" coordsize="21600,21600" o:gfxdata="UEsDBAoAAAAAAIdO4kAAAAAAAAAAAAAAAAAEAAAAZHJzL1BLAwQUAAAACACHTuJAznN+gdMAAAAF&#10;AQAADwAAAGRycy9kb3ducmV2LnhtbE2PzUrEQBCE74LvMLTgzZ1Z0SXGTPawoCiIi4kP0Jtpk2Cm&#10;J2Qm+/P2tl7cS0NRRfVXxfroB7WnKfaBLSwXBhRxE1zPrYXP+ukmAxUTssMhMFk4UYR1eXlRYO7C&#10;gT9oX6VWSQnHHC10KY251rHpyGNchJFYvK8weUwip1a7CQ9S7gd9a8xKe+xZPnQ40qaj5ruavQWd&#10;bV/o+bXe1mkznEz18M74Nlt7fbU0j6ASHdN/GH7xBR1KYdqFmV1UgwUZkv6ueNnqTuROQvcmA10W&#10;+py+/AFQSwMEFAAAAAgAh07iQOGAm9F3AgAAqwQAAA4AAABkcnMvZTJvRG9jLnhtbK1UzW4TMRC+&#10;I/EOlu90k23SNlE3VZSqCKmikQLiPPHaWUv+w3ayKTdOHHgEXoAX4ApPw89jMPZu2/BzQuTgzOzM&#10;fuPvm5k9v9hrRXbcB2lNRYdHA0q4YbaWZlPRly+unpxREiKYGpQ1vKK3PNCL2eNH562b8tI2VtXc&#10;EwQxYdq6ijYxumlRBNZwDeHIOm4wKKzXENH1m6L20CK6VkU5GJwUrfW185bxEPDpZReks4wvBGfx&#10;RojAI1EVxbvFfPp8rtNZzM5huvHgGsn6a8A/3EKDNFj0HuoSIpCtl39Aacm8DVbEI2Z1YYWQjGcO&#10;yGY4+I3NqgHHMxcUJ7h7mcL/g2XPd0tPZF3RsqTEgMYeffv09vvH918/fJ6SH1/eoUkwhkK1Lkwx&#10;f+WWvvcCmon1Xnid/pEP2eMYjCdn5WRMyW1FR5Px5Hjc6cz3kTCMn52cjobYDYbx41E5GeQ+FA84&#10;zof4lFtNklFRoWy7aMDHZdforDTsrkPEe+Brd+npCsZeSaVyW5UhLV6mPEV8wgCnSyiIaGqHfIPZ&#10;UAJqg2PLos+QwSpZp9cTUPCb9UJ5soM0OvmXWGC5X9JS7UsITZeXQx1ZLSNOtpIa+R6+rQyCJCk7&#10;8ZIV9+t9r+ja1rfYEG+7SQ2OXUmscA0hLsHjaCIVXLd4g0eSpaK2tyhprH/zt+cpHycGo5S0OOrI&#10;/fUWPKdEPTM4S5PhaJR2Izuj8WmJjj+MrA8jZqsXFiUZ4mI7ls2UH9WdKbzVr3Ar56kqhsAwrN2p&#10;3DuL2K0g7jXj83lOw31wEK/NyrEE3vVyvo1WyNzmJFSnTq8fbkRuR7+9aeUO/Zz18I2Z/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Oc36B0wAAAAUBAAAPAAAAAAAAAAEAIAAAACIAAABkcnMvZG93&#10;bnJldi54bWxQSwECFAAUAAAACACHTuJA4YCb0XcCAACrBAAADgAAAAAAAAABACAAAAAiAQAAZHJz&#10;L2Uyb0RvYy54bWxQSwUGAAAAAAYABgBZAQAACwY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生活用水</w:t>
                              </w:r>
                            </w:p>
                          </w:txbxContent>
                        </v:textbox>
                      </v:shape>
                      <v:shape id="_x0000_s1026" o:spid="_x0000_s1026" o:spt="109" type="#_x0000_t109" style="position:absolute;left:3037205;top:494030;height:342900;width:867410;v-text-anchor:middle;" filled="f" stroked="t" coordsize="21600,21600" o:gfxdata="UEsDBAoAAAAAAIdO4kAAAAAAAAAAAAAAAAAEAAAAZHJzL1BLAwQUAAAACACHTuJAznN+gdMAAAAF&#10;AQAADwAAAGRycy9kb3ducmV2LnhtbE2PzUrEQBCE74LvMLTgzZ1Z0SXGTPawoCiIi4kP0Jtpk2Cm&#10;J2Qm+/P2tl7cS0NRRfVXxfroB7WnKfaBLSwXBhRxE1zPrYXP+ukmAxUTssMhMFk4UYR1eXlRYO7C&#10;gT9oX6VWSQnHHC10KY251rHpyGNchJFYvK8weUwip1a7CQ9S7gd9a8xKe+xZPnQ40qaj5ruavQWd&#10;bV/o+bXe1mkznEz18M74Nlt7fbU0j6ASHdN/GH7xBR1KYdqFmV1UgwUZkv6ueNnqTuROQvcmA10W&#10;+py+/AFQSwMEFAAAAAgAh07iQAk3Fxx1AgAAqwQAAA4AAABkcnMvZTJvRG9jLnhtbK1US27bMBDd&#10;F+gdCO4bybbyMyIHhoMUBYLGQFp0PaZIiwB/JWnL6a6rLnqEXqAX6LY9TT/H6JBSEvezKqoFNdQM&#10;33DevNHZ+U4rsuU+SGtqOjooKeGG2UaadU1fvrh8ckJJiGAaUNbwmt7yQM9njx+ddW7Kx7a1quGe&#10;IIgJ087VtI3RTYsisJZrCAfWcYNOYb2GiFu/LhoPHaJrVYzL8qjorG+ct4yHgF8veiedZXwhOIvX&#10;QgQeiaop3i3m1ed1ldZidgbTtQfXSjZcA/7hFhqkwaT3UBcQgWy8/ANKS+ZtsCIeMKsLK4RkPNeA&#10;1YzK36q5acHxXAuSE9w9TeH/wbLn26UnsqnpuKLEgMYeffv09vvH918/fJ6SH1/eoUnQh0R1Lkwx&#10;/sYt/bALaKaqd8Lr9MZ6yK6mk3JyPC4PKbmtaXValZOBZ76LhKH/5Oi4GmE3GPon1fi0zP7iAcf5&#10;EJ9yq0kyaiqU7RYt+LjsG52Zhu1ViHgPPHYXnq5g7KVUKrdVGdKhJsfHiE8YoLqEgoimdlhvMGtK&#10;QK1Rtiz6DBmskk06noCCX68WypMtJOnkJ5GA6X4JS7kvILR9XHb1otIyorKV1Fjv/mllECRR2ZOX&#10;rLhb7QZGV7a5xYZ42ys1OHYpMcMVhLgEj9LEUnDc4jUuiZaa2sGipLX+zd++p3hUDHop6VDqWPvr&#10;DXhOiXpmUEuno6pKs5E31SG2jhK/71nte8xGLyxSMsLBdiybKT6qO1N4q1/hVM5TVnSBYZi7Z3nY&#10;LGI/gjjXjM/nOQznwUG8MjeOJfC+l/NNtELmNieienYG/nAicjuG6U0jt7/PUQ//mNl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znN+gdMAAAAFAQAADwAAAAAAAAABACAAAAAiAAAAZHJzL2Rvd25y&#10;ZXYueG1sUEsBAhQAFAAAAAgAh07iQAk3Fxx1AgAAqwQAAA4AAAAAAAAAAQAgAAAAIgEAAGRycy9l&#10;Mm9Eb2MueG1sUEsFBgAAAAAGAAYAWQEAAAkGA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生活污水</w:t>
                              </w:r>
                            </w:p>
                          </w:txbxContent>
                        </v:textbox>
                      </v:shape>
                      <v:shape id="_x0000_s1026" o:spid="_x0000_s1026" o:spt="109" type="#_x0000_t109" style="position:absolute;left:236855;top:503555;height:342900;width:867410;v-text-anchor:middle;" filled="f" stroked="t" coordsize="21600,21600" o:gfxdata="UEsDBAoAAAAAAIdO4kAAAAAAAAAAAAAAAAAEAAAAZHJzL1BLAwQUAAAACACHTuJAznN+gdMAAAAF&#10;AQAADwAAAGRycy9kb3ducmV2LnhtbE2PzUrEQBCE74LvMLTgzZ1Z0SXGTPawoCiIi4kP0Jtpk2Cm&#10;J2Qm+/P2tl7cS0NRRfVXxfroB7WnKfaBLSwXBhRxE1zPrYXP+ukmAxUTssMhMFk4UYR1eXlRYO7C&#10;gT9oX6VWSQnHHC10KY251rHpyGNchJFYvK8weUwip1a7CQ9S7gd9a8xKe+xZPnQ40qaj5ruavQWd&#10;bV/o+bXe1mkznEz18M74Nlt7fbU0j6ASHdN/GH7xBR1KYdqFmV1UgwUZkv6ueNnqTuROQvcmA10W&#10;+py+/AFQSwMEFAAAAAgAh07iQGVFES5xAgAAqgQAAA4AAABkcnMvZTJvRG9jLnhtbK1US44TMRDd&#10;I3EHy3um851PNJ1RlGgQ0oiJNCDWjtudtuQftpPOsGPFgiNwAS7AFk7D5xg8uzMz4bNCZOFUdVW/&#10;8ntV1ecXO63IVvggrSlp/6hHiTDcVtKsS/ryxeWTU0pCZKZiyhpR0lsR6MX08aPz1k3EwDZWVcIT&#10;gJgwaV1JmxjdpCgCb4Rm4cg6YRCsrdcswvXrovKsBbpWxaDXOy5a6yvnLRch4OmiC9Jpxq9rweN1&#10;XQcRiSop7hbz6fO5SmcxPWeTtWeukXx/DfYPt9BMGhS9h1qwyMjGyz+gtOTeBlvHI251YetacpE5&#10;gE2/9xubm4Y5kblAnODuZQr/D5Y/3y49kVVJB2NKDNPo0bdPb79/fP/1w+cJ+fHlHUyCGIRqXZgg&#10;/8Yt/d4LMBPrXe11+gcfsgPU8Ph0DLjbko57wzHMLLPYRcIRPj0+GfXRDI74cDQ46+U2FA8wzof4&#10;VFhNklHSWtl23jAfl12fs9BsexUiYPHaXXq6gbGXUqlcThnSYiQHJ8AnnGG4asUiTO1AN5g1JUyt&#10;MbU8+gwZrJJVej0BBb9ezZUnW5YmJ/8SC5T7JS3VXrDQdHk51JHVMmKwldTge/i2MgBJSnbaJSvu&#10;VjtAJ3Nlq1v0w9tuUIPjlxIVrliIS+YxmaCCbYvXOJIsJbV7i5LG+jd/e57yMTCIUtJi0sH99YZ5&#10;QYl6ZjBKZ/3RKK1GdkbjkwEcfxhZHUbMRs8tJOljrx3PZsqP6s6svdWvsJSzVBUhZjhqdyrvnXns&#10;NhBrzcVsltOwDo7FK3PjeALvejnbRFvL3OYHdfb6YSFyO/bLmzbu0M9ZD5+Y6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Oc36B0wAAAAUBAAAPAAAAAAAAAAEAIAAAACIAAABkcnMvZG93bnJldi54&#10;bWxQSwECFAAUAAAACACHTuJAZUURLnECAACqBAAADgAAAAAAAAABACAAAAAiAQAAZHJzL2Uyb0Rv&#10;Yy54bWxQSwUGAAAAAAYABgBZAQAABQY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新鲜水</w:t>
                              </w:r>
                            </w:p>
                          </w:txbxContent>
                        </v:textbox>
                      </v:shape>
                      <v:shape id="_x0000_s1026" o:spid="_x0000_s1026" o:spt="32" type="#_x0000_t32" style="position:absolute;left:1104265;top:667385;flip:y;height:7620;width:494030;" filled="f" stroked="t" coordsize="21600,21600" o:gfxdata="UEsDBAoAAAAAAIdO4kAAAAAAAAAAAAAAAAAEAAAAZHJzL1BLAwQUAAAACACHTuJA6ZeQytQAAAAF&#10;AQAADwAAAGRycy9kb3ducmV2LnhtbE2PwU7DMBBE70j8g7VIXCpqt4IqDXF6KCCQkBCUfoBrL0mE&#10;vY5itwl/z8IFLiuNZjT7ptpMwYsTDqmLpGExVyCQbHQdNRr27w9XBYiUDTnjI6GGL0ywqc/PKlO6&#10;ONIbnna5EVxCqTQa2pz7UspkWwwmzWOPxN5HHILJLIdGusGMXB68XCq1ksF0xB9a0+O2Rfu5OwYN&#10;k7xfP6mZfbyj53HprH953Y4zrS8vFuoWRMYp/4XhB5/RoWamQzySS8Jr4CH597JXrK5ZHjh0owqQ&#10;dSX/09ffUEsDBBQAAAAIAIdO4kA6tqKeGQIAAO4DAAAOAAAAZHJzL2Uyb0RvYy54bWytU82O0zAQ&#10;viPxDpbvNGnaZkvUdA8tywVBJX7u08RJLPlPtmnal+AFkDgBJ+C0d54Glsdg7ITuAjdEDo6dL/PN&#10;N9+MV5dHKciBWce1Kul0klLCVKVrrtqSvnxx9WBJifOgahBasZKemKOX6/v3Vr0pWKY7LWpmCZIo&#10;V/SmpJ33pkgSV3VMgptowxSCjbYSPB5tm9QWemSXIsnSNE96bWtjdcWcw6/bAaTryN80rPLPmsYx&#10;T0RJUZuPq43rPqzJegVFa8F0vBplwD+okMAVJj1TbcEDeW35X1SSV1Y73fhJpWWim4ZXLNaA1UzT&#10;P6p53oFhsRY0x5mzTe7/0VZPDztLeF3SWU6JAok9unl7/f3Nh5svn7+9v/7x9V3Yf/pIEEezeuMK&#10;jNmonQ3lOr85qhieLSi+j8gzeMpUfYayEZoGKPmNIhycGciOjZWkEdy8wkmKbqI/BCmn03Se5Zjg&#10;VNI8v5gtF2OOoycV4vOH83SG3a0Qv8iz2NUEisAXRBrr/GOmJQmbkjpvgbed32ilcD60HXLB4Ynz&#10;Qd9tQAhW+ooLEcdEKNKjgNkipAIc1kaAx600aJ9TLSUgWrwFlbdRvdOC1yE6OmXb/UZYcoAwifGJ&#10;bqCHd38LErfguuG/CA21Su7xogguS7o8R0PhgYtHqib+ZLBz3nJQrWAjs1Cj3YPDweu9rk87+6sN&#10;OFSx4PEChKm9e47Rt9d0/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pl5DK1AAAAAUBAAAPAAAA&#10;AAAAAAEAIAAAACIAAABkcnMvZG93bnJldi54bWxQSwECFAAUAAAACACHTuJAOrainhkCAADuAwAA&#10;DgAAAAAAAAABACAAAAAjAQAAZHJzL2Uyb0RvYy54bWxQSwUGAAAAAAYABgBZAQAArgUAAAAA&#10;">
                        <v:fill on="f" focussize="0,0"/>
                        <v:stroke weight="0.5pt" color="#000000 [3213]" miterlimit="8" joinstyle="miter" endarrow="block"/>
                        <v:imagedata o:title=""/>
                        <o:lock v:ext="edit" aspectratio="f"/>
                      </v:shape>
                      <v:shape id="_x0000_s1026" o:spid="_x0000_s1026" o:spt="32" type="#_x0000_t32" style="position:absolute;left:2465705;top:665480;flip:y;height:1905;width:571500;" filled="f" stroked="t" coordsize="21600,21600" o:gfxdata="UEsDBAoAAAAAAIdO4kAAAAAAAAAAAAAAAAAEAAAAZHJzL1BLAwQUAAAACACHTuJA6ZeQytQAAAAF&#10;AQAADwAAAGRycy9kb3ducmV2LnhtbE2PwU7DMBBE70j8g7VIXCpqt4IqDXF6KCCQkBCUfoBrL0mE&#10;vY5itwl/z8IFLiuNZjT7ptpMwYsTDqmLpGExVyCQbHQdNRr27w9XBYiUDTnjI6GGL0ywqc/PKlO6&#10;ONIbnna5EVxCqTQa2pz7UspkWwwmzWOPxN5HHILJLIdGusGMXB68XCq1ksF0xB9a0+O2Rfu5OwYN&#10;k7xfP6mZfbyj53HprH953Y4zrS8vFuoWRMYp/4XhB5/RoWamQzySS8Jr4CH597JXrK5ZHjh0owqQ&#10;dSX/09ffUEsDBBQAAAAIAIdO4kCGx70qGQIAAO4DAAAOAAAAZHJzL2Uyb0RvYy54bWytU82O0zAQ&#10;viPxDpbvNGm36XajpntoWS4IKvFznzpOYsl/sk1/XoIXQOIEnBZOe+dpYHkMxk62sHBD5ODY/jzf&#10;zHwzs7g8KEl23HlhdEXHo5wSrpmphW4r+url1aM5JT6ArkEazSt65J5eLh8+WOxtySemM7LmjiCJ&#10;9uXeVrQLwZZZ5lnHFfiRsVwj2BinIODRtVntYI/sSmaTPJ9le+Nq6wzj3uPtugfpMvE3DWfhedN4&#10;HoisKMYW0urSuo1rtlxA2TqwnWBDGPAPUSgQGp2eqNYQgLxx4i8qJZgz3jRhxIzKTNMIxlMOmM04&#10;/yObFx1YnnJBcbw9yeT/Hy17tts4IuqKnl1QokFhjW7f3Xx/+/H2y+dvH25+fH0f99efCOIo1t76&#10;Em1WeuNiuj6sDjqZTyYU/wfk6TXluj5B0wEaRyi7RxEP3vZkh8Yp0khhX2MnJTVRH4KUk+msOM8L&#10;So4Vnc2K6XyoGz8EwhAvzsdFjtVliI8v8GF0A2Xki0Fa58MTbhSJm4r64EC0XVgZrbE/jOt9we6p&#10;D73hnUE01uZKSIn3UEpN9hjAWRFdATZrIyHgVlmUz+uWEpAtTgELLkXvjRR1tE5KuXa7ko7sIHZi&#10;+oYw7z2Lrtfgu/5dgno9lQg4KFKois5P1lAGEPKxrkk4WqxccAJ0K/nALPUgd69w1Hpr6uPG3ZUB&#10;myopNQxA7Nrfz8n615gu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pl5DK1AAAAAUBAAAPAAAA&#10;AAAAAAEAIAAAACIAAABkcnMvZG93bnJldi54bWxQSwECFAAUAAAACACHTuJAhse9KhkCAADuAwAA&#10;DgAAAAAAAAABACAAAAAjAQAAZHJzL2Uyb0RvYy54bWxQSwUGAAAAAAYABgBZAQAArgUAAAAA&#10;">
                        <v:fill on="f" focussize="0,0"/>
                        <v:stroke weight="0.5pt" color="#000000 [3213]" miterlimit="8" joinstyle="miter" endarrow="block"/>
                        <v:imagedata o:title=""/>
                        <o:lock v:ext="edit" aspectratio="f"/>
                      </v:shape>
                      <v:shape id="_x0000_s1026" o:spid="_x0000_s1026" o:spt="109" type="#_x0000_t109" style="position:absolute;left:4370705;top:494030;height:342900;width:867410;v-text-anchor:middle;" filled="f" stroked="t" coordsize="21600,21600" o:gfxdata="UEsDBAoAAAAAAIdO4kAAAAAAAAAAAAAAAAAEAAAAZHJzL1BLAwQUAAAACACHTuJAznN+gdMAAAAF&#10;AQAADwAAAGRycy9kb3ducmV2LnhtbE2PzUrEQBCE74LvMLTgzZ1Z0SXGTPawoCiIi4kP0Jtpk2Cm&#10;J2Qm+/P2tl7cS0NRRfVXxfroB7WnKfaBLSwXBhRxE1zPrYXP+ukmAxUTssMhMFk4UYR1eXlRYO7C&#10;gT9oX6VWSQnHHC10KY251rHpyGNchJFYvK8weUwip1a7CQ9S7gd9a8xKe+xZPnQ40qaj5ruavQWd&#10;bV/o+bXe1mkznEz18M74Nlt7fbU0j6ASHdN/GH7xBR1KYdqFmV1UgwUZkv6ueNnqTuROQvcmA10W&#10;+py+/AFQSwMEFAAAAAgAh07iQEPFDaB0AgAAqwQAAA4AAABkcnMvZTJvRG9jLnhtbK1US27bMBDd&#10;F+gdCO4byY4SJ0bkwHCQokDQGEiLrmmKsgTwV5K2nO666qJH6AV6gW7b0/RzjD5SSuJ+VkW9oGf0&#10;Rm84b2Z0dr5TkmyF863RJR0d5JQIzU3V6nVJX764fHJCiQ9MV0waLUp6Kzw9nz1+dNbZqRibxshK&#10;OAIS7aedLWkTgp1mmeeNUMwfGCs0wNo4xQJct84qxzqwK5mN8/w464yrrDNceI+nFz1IZ4m/rgUP&#10;13XtRSCypLhbSKdL5yqe2eyMTdeO2ablwzXYP9xCsVYj6T3VBQuMbFz7B5VquTPe1OGAG5WZum65&#10;SDWgmlH+WzU3DbMi1QJxvL2Xyf8/Wv58u3SkrUpaFJRoptCjb5/efv/4/uuHz1Py48s7mAQYhOqs&#10;nyL+xi7d4HmYsepd7VT8Rz1kB6rDST7Jjyi5hX1a5IeDzmIXCAd+cjwpRugGB35YjE/zhGcPPNb5&#10;8FQYRaJR0lqabtEwF5Z9o5PSbHvlA+6B1+7C4xW0uWylTG2VmnSYyfEE/IQzTFctWYCpLOr1ek0J&#10;k2uMLQ8uUXoj2yq+Hom8W68W0pEti6OTflEEpPslLOa+YL7p4xLUD5VqAyZbtgr17r8tNUiilL14&#10;0Qq71W5QdGWqWzTEmX5SveWXLTJcMR+WzGE0UQrWLVzjiLKU1AwWJY1xb/72PMZjYoBS0mHUUfvr&#10;DXOCEvlMY5ZOR0URdyM5xdFkDMftI6t9RG/UwkCSERbb8mTG+CDvzNoZ9QpbOY9ZATHNkbtXeXAW&#10;oV9B7DUX83kKwz5YFq70jeWRvO/lfBNM3aY2R6F6dQb9sBGpHcP2xpXb91PUwzdm9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Oc36B0wAAAAUBAAAPAAAAAAAAAAEAIAAAACIAAABkcnMvZG93bnJl&#10;di54bWxQSwECFAAUAAAACACHTuJAQ8UNoHQCAACrBAAADgAAAAAAAAABACAAAAAiAQAAZHJzL2Uy&#10;b0RvYy54bWxQSwUGAAAAAAYABgBZAQAACAYAAAAA&#10;">
                        <v:fill on="f" focussize="0,0"/>
                        <v:stroke weight="1pt" color="#000000 [3213]" miterlimit="8" joinstyle="miter"/>
                        <v:imagedata o:title=""/>
                        <o:lock v:ext="edit" aspectratio="f"/>
                        <v:textbox>
                          <w:txbxContent>
                            <w:p>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绿化</w:t>
                              </w:r>
                            </w:p>
                          </w:txbxContent>
                        </v:textbox>
                      </v:shape>
                      <v:shape id="_x0000_s1026" o:spid="_x0000_s1026" o:spt="32" type="#_x0000_t32" style="position:absolute;left:3904615;top:665480;height:0;width:466090;" filled="f" stroked="t" coordsize="21600,21600" o:gfxdata="UEsDBAoAAAAAAIdO4kAAAAAAAAAAAAAAAAAEAAAAZHJzL1BLAwQUAAAACACHTuJA/3NJ0dIAAAAF&#10;AQAADwAAAGRycy9kb3ducmV2LnhtbE2PwU7DMBBE70j8g7VI3KgdClUIcXpAyg0hUQrnbbwkofE6&#10;it20/D0LF3pZaTSj2Tfl+uQHNdMU+8AWsoUBRdwE13NrYftW3+SgYkJ2OAQmC98UYV1dXpRYuHDk&#10;V5o3qVVSwrFAC11KY6F1bDryGBdhJBbvM0wek8ip1W7Co5T7Qd8as9Iee5YPHY701FGz3xy8heeX&#10;h3y7z+a5rpuPr+XENS71u7XXV5l5BJXolP7D8Isv6FAJ0y4c2EU1WJAh6e+Kl6/uRO4kdG9y0FWp&#10;z+mrH1BLAwQUAAAACACHTuJA8EOQqw8CAADhAwAADgAAAGRycy9lMm9Eb2MueG1srVPNjtMwEL4j&#10;8Q6W7zRpN412o6Z7aFkuCCoBDzB1nMSS/2Sbpn0JXgCJE3ACTnvnaWB5DMZOWxa4IXJw7HyZb2a+&#10;+by43itJdtx5YXRNp5OcEq6ZaYTuavrq5c2jS0p8AN2ANJrX9MA9vV4+fLAYbMVnpjey4Y4gifbV&#10;YGvah2CrLPOs5wr8xFiuEWyNUxDw6LqscTAgu5LZLM/LbDCusc4w7j1+XY8gXSb+tuUsPG9bzwOR&#10;NcXaQlpdWrdxzZYLqDoHthfsWAb8QxUKhMakZ6o1BCCvnfiLSgnmjDdtmDCjMtO2gvHUA3Yzzf/o&#10;5kUPlqdeUBxvzzL5/0fLnu02joimpsWcEg0KZ3T39vb7mw93Xz5/e3/74+u7uP/0kSCOYg3WVxiz&#10;0hsX2/VhtdcpfFZQfO9rejFqynVzgooTNI1Q9htFPHg7ku1bpyIpqkIi0VVelFOs6lDTspwXl8dp&#10;8X0gDPGiLPMrnClDPEEZVCcK63x4wo0icVNTHxyIrg8rozVawrhpGhbsnvoQS4LqFBDza3MjpEzO&#10;kJoMmP1iHvMA+rOVEHCrLCrmdUcJyA6Nz4JLjN5I0cToJI7rtivpyA6i+dKTBEDZ7v8WU6/B9+N/&#10;CRolVCLg3ZBC1fTyHA1VACEf64aEg8VhBSdAd5IfmaU+KjyKGuXdmuawcSfl0Uep4aPno1Hvn1P0&#10;r5u5/A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c0nR0gAAAAUBAAAPAAAAAAAAAAEAIAAAACIA&#10;AABkcnMvZG93bnJldi54bWxQSwECFAAUAAAACACHTuJA8EOQqw8CAADhAwAADgAAAAAAAAABACAA&#10;AAAhAQAAZHJzL2Uyb0RvYy54bWxQSwUGAAAAAAYABgBZAQAAogUAAAAA&#10;">
                        <v:fill on="f" focussize="0,0"/>
                        <v:stroke weight="0.5pt" color="#000000 [3213]" miterlimit="8" joinstyle="miter" endarrow="block"/>
                        <v:imagedata o:title=""/>
                        <o:lock v:ext="edit" aspectratio="f"/>
                      </v:shape>
                      <v:shape id="_x0000_s1026" o:spid="_x0000_s1026" o:spt="109" type="#_x0000_t109" style="position:absolute;left:922655;top:341630;height:342900;width:867410;v-text-anchor:middle;" filled="f" stroked="f" coordsize="21600,21600" o:gfxdata="UEsDBAoAAAAAAIdO4kAAAAAAAAAAAAAAAAAEAAAAZHJzL1BLAwQUAAAACACHTuJA62uU5tMAAAAF&#10;AQAADwAAAGRycy9kb3ducmV2LnhtbE2PS0/DMBCE70j8B2uRuCBqt4LKCnF6qMTrSJsLNzdekij2&#10;OoqdPv49Cxe4rDSa0ew35eYcvDjilPpIBpYLBQKpia6n1kC9f77XIFK25KyPhAYumGBTXV+VtnDx&#10;RB943OVWcAmlwhroch4LKVPTYbBpEUck9r7iFGxmObXSTfbE5cHLlVJrGWxP/KGzI247bIbdHAwM&#10;zfC+evtsZ13rV3/nXrb1SBdjbm+W6glExnP+C8MPPqNDxUyHOJNLwhvgIfn3sqfXDywPHHpUGmRV&#10;yv/01TdQSwMEFAAAAAgAh07iQNG1B11lAgAAgQQAAA4AAABkcnMvZTJvRG9jLnhtbK1UzW4TMRC+&#10;I/EOlu90k22atFE3VZSqCKmikQLiPPHaWUv+w3ayKTdOHHiEvgAvwBWehp/HYOzdthFwQuTgndmZ&#10;/TzzzTc5v9hrRXbcB2lNRYdHA0q4YbaWZlPR16+unp1SEiKYGpQ1vKK3PNCL2dMn562b8tI2VtXc&#10;EwQxYdq6ijYxumlRBNZwDeHIOm4wKKzXENH1m6L20CK6VkU5GIyL1vraect4CPj2sgvSWcYXgrN4&#10;I0TgkaiKYm0xnz6f63QWs3OYbjy4RrK+DPiHKjRIg5c+QF1CBLL18g8oLZm3wYp4xKwurBCS8dwD&#10;djMc/NbNqgHHcy9ITnAPNIX/B8te7paeyLqiowklBjTO6Pvn9z8+ffx292VKfn79gCbBGBLVujDF&#10;/JVb+t4LaKau98Lr9MR+yL6iZ2U5Pjmh5Laix6Ph+Linme8jYRg+HU9GQxwGy/HybJDjxSOM8yE+&#10;51aTZFRUKNsuGvBx2c05Ew276xCxDPzsPj1VYOyVVCpPVRnSoiTLCeITBiguoSCiqR22G8yGElAb&#10;VC2LPkMefJsgLyE0ZAconGCVrDupaBlRr0pqbGOQfuk11qAMPhJBHSXJivv1vudpbetbpNnbTn/B&#10;sSuJN1xDiEvwKDisEJco3uCRuq2o7S1KGuvf/e19ykcdYJSSFgWMZb7dgueUqBcGFXI2HI2S4rMz&#10;OpmU6PjDyPowYrZ6YbHVIa6rY9lM+VHdm8Jb/QZ3bZ5uxRAYhnd35PXOInaLhdvK+Hye01DlDuK1&#10;WTmWwLsRzbfRCpmnl4jq2On5Q51nQvudTIt06Oesx3+O2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ra5Tm0wAAAAUBAAAPAAAAAAAAAAEAIAAAACIAAABkcnMvZG93bnJldi54bWxQSwECFAAUAAAA&#10;CACHTuJA0bUHXWUCAACBBAAADgAAAAAAAAABACAAAAAiAQAAZHJzL2Uyb0RvYy54bWxQSwUGAAAA&#10;AAYABgBZAQAA+QUAAAAA&#10;">
                        <v:fill on="f" focussize="0,0"/>
                        <v:stroke on="f" weight="1pt" miterlimit="8" joinstyle="miter"/>
                        <v:imagedata o:title=""/>
                        <o:lock v:ext="edit" aspectratio="f"/>
                        <v:textbo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540</w:t>
                              </w:r>
                            </w:p>
                          </w:txbxContent>
                        </v:textbox>
                      </v:shape>
                      <v:shape id="_x0000_s1026" o:spid="_x0000_s1026" o:spt="109" type="#_x0000_t109" style="position:absolute;left:2341880;top:332105;height:342900;width:867410;v-text-anchor:middle;" filled="f" stroked="f" coordsize="21600,21600" o:gfxdata="UEsDBAoAAAAAAIdO4kAAAAAAAAAAAAAAAAAEAAAAZHJzL1BLAwQUAAAACACHTuJA62uU5tMAAAAF&#10;AQAADwAAAGRycy9kb3ducmV2LnhtbE2PS0/DMBCE70j8B2uRuCBqt4LKCnF6qMTrSJsLNzdekij2&#10;OoqdPv49Cxe4rDSa0ew35eYcvDjilPpIBpYLBQKpia6n1kC9f77XIFK25KyPhAYumGBTXV+VtnDx&#10;RB943OVWcAmlwhroch4LKVPTYbBpEUck9r7iFGxmObXSTfbE5cHLlVJrGWxP/KGzI247bIbdHAwM&#10;zfC+evtsZ13rV3/nXrb1SBdjbm+W6glExnP+C8MPPqNDxUyHOJNLwhvgIfn3sqfXDywPHHpUGmRV&#10;yv/01TdQSwMEFAAAAAgAh07iQFuaLXxnAgAAggQAAA4AAABkcnMvZTJvRG9jLnhtbK1UzW7TQBC+&#10;I/EOq71T26nbplGdKmpVhFRBpII4b9br2NL+sbuJU26cOPAIvAAvwBWehp/H4Nu120bACZHDesYz&#10;/nbmm29ydr5TkmyF853RFS0OckqE5qbu9Lqir15ePZlS4gPTNZNGi4reCk/P548fnfV2JiamNbIW&#10;jgBE+1lvK9qGYGdZ5nkrFPMHxgqNYGOcYgGuW2e1Yz3QlcwmeX6c9cbV1hkuvMfbyyFI5wm/aQQP&#10;L5rGi0BkRVFbSKdL5yqe2fyMzdaO2bbjYxnsH6pQrNO49B7qkgVGNq77A0p13BlvmnDAjcpM03Rc&#10;pB7QTZH/1s1Ny6xIvYAcb+9p8v8Plj/fLh3p6oqWmJRmCjP6/vndj08fvn38MiM/v76HSRADUb31&#10;M+Tf2KUbPQ8zdr1rnIpP9EN2FZ0clsV0CrpvK3p4OCnyo4FnsQuEIz49PikLhHmMl5PTPM0he8Cx&#10;zoenwigSjYo20vQXLXNhOQw6Mc221z6gDnx2lx5L0OaqkzKNVWrSQ5OTE+ATzqCuRrIAU1n06/Wa&#10;EibXkC0PLkHufRshL5lvyZZBOd7Irh56UF2AYGWn0EYef/E1apAaj8jQwEm0wm61G4lamfoWPDsz&#10;CNBbftXhhmvmw5I5KA4VYovCCxyx24qa0aKkNe7t397HfAgBUUp6KBhlvtkwJyiRzzQkclqUJWBD&#10;csqjkwkctx9Z7Uf0Rl0YtFpgXy1PZswP8s5snFGvsWyLeCtCTHPcPZA3Ohdh2CysKxeLRUqDzC0L&#10;1/rG8gg+jGixCabp0vQiUQM7I38QeiJ0XMq4Sft+ynr465j/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OtrlObTAAAABQEAAA8AAAAAAAAAAQAgAAAAIgAAAGRycy9kb3ducmV2LnhtbFBLAQIUABQA&#10;AAAIAIdO4kBbmi18ZwIAAIIEAAAOAAAAAAAAAAEAIAAAACIBAABkcnMvZTJvRG9jLnhtbFBLBQYA&#10;AAAABgAGAFkBAAD7BQAAAAA=&#10;">
                        <v:fill on="f" focussize="0,0"/>
                        <v:stroke on="f" weight="1pt" miterlimit="8" joinstyle="miter"/>
                        <v:imagedata o:title=""/>
                        <o:lock v:ext="edit" aspectratio="f"/>
                        <v:textbo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486</w:t>
                              </w:r>
                            </w:p>
                          </w:txbxContent>
                        </v:textbox>
                      </v:shape>
                      <v:shape id="_x0000_s1026" o:spid="_x0000_s1026" o:spt="109" type="#_x0000_t109" style="position:absolute;left:3703955;top:341630;height:342900;width:867410;v-text-anchor:middle;" filled="f" stroked="f" coordsize="21600,21600" o:gfxdata="UEsDBAoAAAAAAIdO4kAAAAAAAAAAAAAAAAAEAAAAZHJzL1BLAwQUAAAACACHTuJA62uU5tMAAAAF&#10;AQAADwAAAGRycy9kb3ducmV2LnhtbE2PS0/DMBCE70j8B2uRuCBqt4LKCnF6qMTrSJsLNzdekij2&#10;OoqdPv49Cxe4rDSa0ew35eYcvDjilPpIBpYLBQKpia6n1kC9f77XIFK25KyPhAYumGBTXV+VtnDx&#10;RB943OVWcAmlwhroch4LKVPTYbBpEUck9r7iFGxmObXSTfbE5cHLlVJrGWxP/KGzI247bIbdHAwM&#10;zfC+evtsZ13rV3/nXrb1SBdjbm+W6glExnP+C8MPPqNDxUyHOJNLwhvgIfn3sqfXDywPHHpUGmRV&#10;yv/01TdQSwMEFAAAAAgAh07iQP88MrplAgAAggQAAA4AAABkcnMvZTJvRG9jLnhtbK1UzW4TMRC+&#10;I/EOlu90kzRtmqibKmpVhFTRSAVxdrzerCX/YTvZlBsnDjxCX4AX4ApPw89j8Nm7bSPghMjBO7Mz&#10;+3nmm29yerbTimyFD9Kakg4PBpQIw20lzbqkr19dPjuhJERmKqasESW9FYGezZ8+OW3dTIxsY1Ul&#10;PAGICbPWlbSJ0c2KIvBGaBYOrBMGwdp6zSJcvy4qz1qga1WMBoPjorW+ct5yEQLeXnRBOs/4dS14&#10;vK7rICJRJUVtMZ8+n6t0FvNTNlt75hrJ+zLYP1ShmTS49AHqgkVGNl7+AaUl9zbYOh5wqwtb15KL&#10;3AO6GQ5+6+amYU7kXkBOcA80hf8Hy19ul57IqqTjKSWGaczo++f3Pz59/Hb3ZUZ+fv0AkyAGoloX&#10;Zsi/cUvfewFm6npXe52e6IfsSno4GRxOj44ouYU9Hh4f9jyLXSQc8ZPjyXiIafAcH00HOV484jgf&#10;4nNhNUlGSWtl2/OG+bjsBp2ZZturEFEHPrtPTyUYeymVymNVhrTQ5GgCfMIZ1FUrFmFqh36DWVPC&#10;1Bqy5dFnyL1vE+QFCw3ZMignWCWrTitaRghWSY02BumXXqMGZfBIDHWcJCvuVrueqJWtbsGzt50A&#10;g+OXEjdcsRCXzENxqBBbFK9xpG5LanuLksb6d397n/IhBEQpaaFglPl2w7ygRL0wkMh0OB4nyWdn&#10;fDQZwfH7kdV+xGz0uUWrQ+yr49lM+VHdm7W3+g2WbZFuRYgZjrs78nrnPHabhXXlYrHIaZC5Y/HK&#10;3DiewLsRLTbR1jJPLxHVsdPzB6FnQvulTJu07+esx7+O+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ra5Tm0wAAAAUBAAAPAAAAAAAAAAEAIAAAACIAAABkcnMvZG93bnJldi54bWxQSwECFAAUAAAA&#10;CACHTuJA/zwyumUCAACCBAAADgAAAAAAAAABACAAAAAiAQAAZHJzL2Uyb0RvYy54bWxQSwUGAAAA&#10;AAYABgBZAQAA+QUAAAAA&#10;">
                        <v:fill on="f" focussize="0,0"/>
                        <v:stroke on="f" weight="1pt" miterlimit="8" joinstyle="miter"/>
                        <v:imagedata o:title=""/>
                        <o:lock v:ext="edit" aspectratio="f"/>
                        <v:textbo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486</w:t>
                              </w:r>
                            </w:p>
                          </w:txbxContent>
                        </v:textbox>
                      </v:shape>
                      <v:shape id="_x0000_s1026" o:spid="_x0000_s1026" o:spt="109" type="#_x0000_t109" style="position:absolute;left:1960880;top:95250;height:342900;width:867410;v-text-anchor:middle;" filled="f" stroked="f" coordsize="21600,21600" o:gfxdata="UEsDBAoAAAAAAIdO4kAAAAAAAAAAAAAAAAAEAAAAZHJzL1BLAwQUAAAACACHTuJA62uU5tMAAAAF&#10;AQAADwAAAGRycy9kb3ducmV2LnhtbE2PS0/DMBCE70j8B2uRuCBqt4LKCnF6qMTrSJsLNzdekij2&#10;OoqdPv49Cxe4rDSa0ew35eYcvDjilPpIBpYLBQKpia6n1kC9f77XIFK25KyPhAYumGBTXV+VtnDx&#10;RB943OVWcAmlwhroch4LKVPTYbBpEUck9r7iFGxmObXSTfbE5cHLlVJrGWxP/KGzI247bIbdHAwM&#10;zfC+evtsZ13rV3/nXrb1SBdjbm+W6glExnP+C8MPPqNDxUyHOJNLwhvgIfn3sqfXDywPHHpUGmRV&#10;yv/01TdQSwMEFAAAAAgAh07iQKbhRSJkAgAAgQQAAA4AAABkcnMvZTJvRG9jLnhtbK1UzW4TMRC+&#10;I/EOlu90k5C0SdRNFbUqQqpopII4O15v1pL/sJ1syo0TBx6BF+AFuMLT8PMYfPZu2wg4IfbgnfHM&#10;fp75/M2enu21Ijvhg7SmpMOjASXCcFtJsynpq5eXT6aUhMhMxZQ1oqS3ItCzxeNHp62bi5FtrKqE&#10;JwAxYd66kjYxunlRBN4IzcKRdcIgWFuvWYTrN0XlWQt0rYrRYHBctNZXzlsuQsDuRReki4xf14LH&#10;67oOIhJVUtQW8+rzuk5rsThl841nrpG8L4P9QxWaSYND76EuWGRk6+UfUFpyb4Ot4xG3urB1LbnI&#10;PaCb4eC3bm4a5kTuBeQEd09T+H+w/MVu5YmsSjoZUmKYxh19//zux6cP3z5+mZOfX9/DJIiBqNaF&#10;OfJv3Mr3XoCZut7XXqc3+iF7yGB2PJhOQfdtSWeT0aSnWewj4QhPj0/GQ0Q5wk/Ho9kgx4sHGOdD&#10;fCasJskoaa1se94wH1fdPWei2e4qRJSBz+7SUwXGXkql8q0qQ1rUMjoBPuEM4qoVizC1Q7vBbChh&#10;agPV8ugz5MG3CfKChYbsGIQTrJJVJxUtI/SqpEYbg/SkbdSgDF6JoI6SZMX9et/ztLbVLWj2ttNf&#10;cPxS4oQrFuKKeQgOFWKI4jWW1G1JbW9R0lj/9m/7KR86QJSSFgJGmW+2zAtK1HMDhcyG4zFgY3bG&#10;k5MRHH8YWR9GzFafW7QKEaC6bKb8qO7M2lv9GrO2TKcixAzH2R15vXMeu8HCtHKxXOY0qNyxeGVu&#10;HE/g3RUtt9HWMt9eIqpjp+cPOs+E9jOZBunQz1kPf47F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trlObTAAAABQEAAA8AAAAAAAAAAQAgAAAAIgAAAGRycy9kb3ducmV2LnhtbFBLAQIUABQAAAAI&#10;AIdO4kCm4UUiZAIAAIEEAAAOAAAAAAAAAAEAIAAAACIBAABkcnMvZTJvRG9jLnhtbFBLBQYAAAAA&#10;BgAGAFkBAAD4BQAAAAA=&#10;">
                        <v:fill on="f" focussize="0,0"/>
                        <v:stroke on="f" weight="1pt" miterlimit="8" joinstyle="miter"/>
                        <v:imagedata o:title=""/>
                        <o:lock v:ext="edit" aspectratio="f"/>
                        <v:textbox>
                          <w:txbxContent>
                            <w:p>
                              <w:pPr>
                                <w:jc w:val="center"/>
                                <w:rPr>
                                  <w:rFonts w:hint="default"/>
                                  <w:color w:val="000000" w:themeColor="text1"/>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54</w:t>
                              </w:r>
                            </w:p>
                          </w:txbxContent>
                        </v:textbox>
                      </v:shape>
                      <w10:wrap type="none"/>
                      <w10:anchorlock/>
                    </v:group>
                  </w:pict>
                </mc:Fallback>
              </mc:AlternateContent>
            </w:r>
          </w:p>
          <w:p>
            <w:pPr>
              <w:tabs>
                <w:tab w:val="left" w:pos="6442"/>
              </w:tabs>
              <w:spacing w:line="348" w:lineRule="auto"/>
              <w:jc w:val="center"/>
              <w:rPr>
                <w:rFonts w:hint="default" w:ascii="Times New Roman" w:hAnsi="Times New Roman" w:eastAsia="宋体" w:cs="Times New Roman"/>
                <w:b/>
                <w:color w:val="auto"/>
                <w:spacing w:val="8"/>
                <w:sz w:val="21"/>
                <w:szCs w:val="21"/>
                <w:lang w:val="en-US" w:eastAsia="zh-CN"/>
              </w:rPr>
            </w:pPr>
            <w:r>
              <w:rPr>
                <w:rFonts w:hint="eastAsia" w:cs="Times New Roman"/>
                <w:b/>
                <w:color w:val="auto"/>
                <w:spacing w:val="8"/>
                <w:sz w:val="21"/>
                <w:szCs w:val="21"/>
                <w:lang w:eastAsia="zh-CN"/>
              </w:rPr>
              <w:t>图</w:t>
            </w:r>
            <w:r>
              <w:rPr>
                <w:rFonts w:hint="eastAsia" w:cs="Times New Roman"/>
                <w:b/>
                <w:color w:val="auto"/>
                <w:spacing w:val="8"/>
                <w:sz w:val="21"/>
                <w:szCs w:val="21"/>
                <w:lang w:val="en-US" w:eastAsia="zh-CN"/>
              </w:rPr>
              <w:t>1-1 本项目水平衡图（t/a）</w:t>
            </w:r>
          </w:p>
          <w:p>
            <w:pPr>
              <w:tabs>
                <w:tab w:val="left" w:pos="6442"/>
              </w:tabs>
              <w:spacing w:line="348" w:lineRule="auto"/>
              <w:ind w:firstLine="514" w:firstLineChars="200"/>
              <w:rPr>
                <w:rFonts w:hint="default" w:ascii="Times New Roman" w:hAnsi="Times New Roman" w:cs="Times New Roman"/>
                <w:b/>
                <w:color w:val="auto"/>
                <w:spacing w:val="8"/>
                <w:sz w:val="24"/>
              </w:rPr>
            </w:pPr>
            <w:r>
              <w:rPr>
                <w:rFonts w:hint="default" w:ascii="Times New Roman" w:hAnsi="Times New Roman" w:cs="Times New Roman"/>
                <w:b/>
                <w:color w:val="auto"/>
                <w:spacing w:val="8"/>
                <w:sz w:val="24"/>
              </w:rPr>
              <w:t>8、项目选址及四周情况</w:t>
            </w:r>
            <w:r>
              <w:rPr>
                <w:rFonts w:hint="default" w:ascii="Times New Roman" w:hAnsi="Times New Roman" w:cs="Times New Roman"/>
                <w:b/>
                <w:color w:val="auto"/>
                <w:spacing w:val="8"/>
                <w:sz w:val="24"/>
              </w:rPr>
              <w:tab/>
            </w:r>
          </w:p>
          <w:p>
            <w:pPr>
              <w:spacing w:line="348" w:lineRule="auto"/>
              <w:ind w:firstLine="512" w:firstLineChars="200"/>
              <w:rPr>
                <w:rFonts w:hint="eastAsia" w:ascii="Times New Roman" w:hAnsi="Times New Roman" w:eastAsia="宋体" w:cs="Times New Roman"/>
                <w:color w:val="auto"/>
                <w:spacing w:val="8"/>
                <w:sz w:val="24"/>
                <w:lang w:eastAsia="zh-CN"/>
              </w:rPr>
            </w:pPr>
            <w:r>
              <w:rPr>
                <w:rFonts w:hint="default" w:ascii="Times New Roman" w:hAnsi="Times New Roman" w:cs="Times New Roman"/>
                <w:bCs/>
                <w:color w:val="auto"/>
                <w:spacing w:val="8"/>
                <w:sz w:val="24"/>
              </w:rPr>
              <w:t>项目位于</w:t>
            </w:r>
            <w:r>
              <w:rPr>
                <w:rFonts w:hint="default" w:ascii="Times New Roman" w:hAnsi="Times New Roman" w:cs="Times New Roman"/>
                <w:bCs/>
                <w:color w:val="auto"/>
                <w:spacing w:val="8"/>
                <w:sz w:val="24"/>
                <w:lang w:eastAsia="zh-CN"/>
              </w:rPr>
              <w:t>普宁市梅塘镇新光村镇政府西侧</w:t>
            </w:r>
            <w:r>
              <w:rPr>
                <w:rFonts w:hint="default" w:ascii="Times New Roman" w:hAnsi="Times New Roman" w:cs="Times New Roman"/>
                <w:color w:val="auto"/>
                <w:spacing w:val="8"/>
                <w:sz w:val="24"/>
              </w:rPr>
              <w:t>，地理中心坐标为北纬23°2</w:t>
            </w:r>
            <w:r>
              <w:rPr>
                <w:rFonts w:hint="eastAsia" w:cs="Times New Roman"/>
                <w:color w:val="auto"/>
                <w:spacing w:val="8"/>
                <w:sz w:val="24"/>
                <w:lang w:val="en-US" w:eastAsia="zh-CN"/>
              </w:rPr>
              <w:t>1</w:t>
            </w:r>
            <w:r>
              <w:rPr>
                <w:rFonts w:hint="default" w:ascii="Times New Roman" w:hAnsi="Times New Roman" w:cs="Times New Roman"/>
                <w:color w:val="auto"/>
                <w:spacing w:val="8"/>
                <w:sz w:val="24"/>
              </w:rPr>
              <w:t>'25"，东经11</w:t>
            </w:r>
            <w:r>
              <w:rPr>
                <w:rFonts w:hint="eastAsia" w:cs="Times New Roman"/>
                <w:color w:val="auto"/>
                <w:spacing w:val="8"/>
                <w:sz w:val="24"/>
                <w:lang w:val="en-US" w:eastAsia="zh-CN"/>
              </w:rPr>
              <w:t>6</w:t>
            </w:r>
            <w:r>
              <w:rPr>
                <w:rFonts w:hint="default" w:ascii="Times New Roman" w:hAnsi="Times New Roman" w:cs="Times New Roman"/>
                <w:color w:val="auto"/>
                <w:spacing w:val="8"/>
                <w:szCs w:val="21"/>
              </w:rPr>
              <w:t>°</w:t>
            </w:r>
            <w:r>
              <w:rPr>
                <w:rFonts w:hint="eastAsia" w:cs="Times New Roman"/>
                <w:color w:val="auto"/>
                <w:spacing w:val="8"/>
                <w:sz w:val="24"/>
                <w:lang w:val="en-US" w:eastAsia="zh-CN"/>
              </w:rPr>
              <w:t>4</w:t>
            </w:r>
            <w:r>
              <w:rPr>
                <w:rFonts w:hint="default" w:ascii="Times New Roman" w:hAnsi="Times New Roman" w:cs="Times New Roman"/>
                <w:color w:val="auto"/>
                <w:spacing w:val="8"/>
                <w:sz w:val="24"/>
              </w:rPr>
              <w:t>'</w:t>
            </w:r>
            <w:r>
              <w:rPr>
                <w:rFonts w:hint="eastAsia" w:cs="Times New Roman"/>
                <w:color w:val="auto"/>
                <w:spacing w:val="8"/>
                <w:sz w:val="24"/>
                <w:lang w:val="en-US" w:eastAsia="zh-CN"/>
              </w:rPr>
              <w:t>59</w:t>
            </w:r>
            <w:r>
              <w:rPr>
                <w:rFonts w:hint="default" w:ascii="Times New Roman" w:hAnsi="Times New Roman" w:cs="Times New Roman"/>
                <w:color w:val="auto"/>
                <w:spacing w:val="8"/>
                <w:sz w:val="24"/>
              </w:rPr>
              <w:t>"。</w:t>
            </w:r>
            <w:r>
              <w:rPr>
                <w:rFonts w:hint="default" w:ascii="Times New Roman" w:hAnsi="Times New Roman" w:cs="Times New Roman"/>
                <w:color w:val="FF0000"/>
                <w:spacing w:val="8"/>
                <w:sz w:val="24"/>
                <w:highlight w:val="none"/>
              </w:rPr>
              <w:t>项目</w:t>
            </w:r>
            <w:r>
              <w:rPr>
                <w:rFonts w:hint="eastAsia" w:cs="Times New Roman"/>
                <w:color w:val="FF0000"/>
                <w:spacing w:val="8"/>
                <w:sz w:val="24"/>
                <w:highlight w:val="none"/>
                <w:lang w:eastAsia="zh-CN"/>
              </w:rPr>
              <w:t>南侧</w:t>
            </w:r>
            <w:r>
              <w:rPr>
                <w:rFonts w:hint="eastAsia" w:cs="Times New Roman"/>
                <w:color w:val="FF0000"/>
                <w:spacing w:val="8"/>
                <w:sz w:val="24"/>
                <w:highlight w:val="none"/>
                <w:lang w:val="en-US" w:eastAsia="zh-CN"/>
              </w:rPr>
              <w:t>20m处</w:t>
            </w:r>
            <w:r>
              <w:rPr>
                <w:rFonts w:hint="eastAsia" w:cs="Times New Roman"/>
                <w:color w:val="FF0000"/>
                <w:spacing w:val="8"/>
                <w:sz w:val="24"/>
                <w:highlight w:val="none"/>
                <w:lang w:eastAsia="zh-CN"/>
              </w:rPr>
              <w:t>为引榕总干渠</w:t>
            </w:r>
            <w:r>
              <w:rPr>
                <w:rFonts w:hint="default" w:ascii="Times New Roman" w:hAnsi="Times New Roman" w:cs="Times New Roman"/>
                <w:color w:val="FF0000"/>
                <w:spacing w:val="8"/>
                <w:sz w:val="24"/>
                <w:highlight w:val="none"/>
              </w:rPr>
              <w:t>，</w:t>
            </w:r>
            <w:r>
              <w:rPr>
                <w:rFonts w:hint="eastAsia" w:cs="Times New Roman"/>
                <w:color w:val="FF0000"/>
                <w:spacing w:val="8"/>
                <w:sz w:val="24"/>
                <w:lang w:eastAsia="zh-CN"/>
              </w:rPr>
              <w:t>东、西、北侧</w:t>
            </w:r>
            <w:r>
              <w:rPr>
                <w:rFonts w:hint="eastAsia" w:cs="Times New Roman"/>
                <w:color w:val="FF0000"/>
                <w:spacing w:val="8"/>
                <w:sz w:val="24"/>
                <w:lang w:val="en-US" w:eastAsia="zh-CN"/>
              </w:rPr>
              <w:t>10m</w:t>
            </w:r>
            <w:r>
              <w:rPr>
                <w:rFonts w:hint="eastAsia" w:cs="Times New Roman"/>
                <w:color w:val="FF0000"/>
                <w:spacing w:val="8"/>
                <w:sz w:val="24"/>
                <w:lang w:eastAsia="zh-CN"/>
              </w:rPr>
              <w:t>为新光村的</w:t>
            </w:r>
            <w:r>
              <w:rPr>
                <w:rFonts w:hint="eastAsia" w:cs="Times New Roman"/>
                <w:color w:val="FF0000"/>
                <w:spacing w:val="8"/>
                <w:sz w:val="24"/>
                <w:highlight w:val="none"/>
                <w:lang w:eastAsia="zh-CN"/>
              </w:rPr>
              <w:t>商住楼</w:t>
            </w:r>
            <w:r>
              <w:rPr>
                <w:rFonts w:hint="eastAsia" w:cs="Times New Roman"/>
                <w:color w:val="auto"/>
                <w:spacing w:val="8"/>
                <w:sz w:val="24"/>
                <w:highlight w:val="none"/>
                <w:lang w:eastAsia="zh-CN"/>
              </w:rPr>
              <w:t>，</w:t>
            </w:r>
            <w:r>
              <w:rPr>
                <w:rFonts w:hint="default" w:ascii="Times New Roman" w:hAnsi="Times New Roman" w:cs="Times New Roman"/>
                <w:color w:val="auto"/>
                <w:spacing w:val="8"/>
                <w:sz w:val="24"/>
                <w:highlight w:val="none"/>
              </w:rPr>
              <w:t>详见附图2。</w:t>
            </w:r>
          </w:p>
          <w:p>
            <w:pPr>
              <w:spacing w:line="348" w:lineRule="auto"/>
              <w:ind w:firstLine="514" w:firstLineChars="200"/>
              <w:rPr>
                <w:rFonts w:hint="default" w:ascii="Times New Roman" w:hAnsi="Times New Roman" w:cs="Times New Roman"/>
                <w:b/>
                <w:color w:val="auto"/>
                <w:spacing w:val="8"/>
                <w:sz w:val="24"/>
              </w:rPr>
            </w:pPr>
            <w:r>
              <w:rPr>
                <w:rFonts w:hint="default" w:ascii="Times New Roman" w:hAnsi="Times New Roman" w:cs="Times New Roman"/>
                <w:b/>
                <w:color w:val="auto"/>
                <w:spacing w:val="8"/>
                <w:sz w:val="24"/>
              </w:rPr>
              <w:t>9、平面布局合理性分析</w:t>
            </w:r>
          </w:p>
          <w:p>
            <w:pPr>
              <w:spacing w:line="348" w:lineRule="auto"/>
              <w:ind w:firstLine="512" w:firstLineChars="200"/>
              <w:rPr>
                <w:rFonts w:hint="eastAsia" w:ascii="Times New Roman" w:hAnsi="Times New Roman" w:eastAsia="宋体" w:cs="Times New Roman"/>
                <w:color w:val="auto"/>
                <w:spacing w:val="8"/>
                <w:sz w:val="24"/>
                <w:lang w:eastAsia="zh-CN"/>
              </w:rPr>
            </w:pPr>
            <w:r>
              <w:rPr>
                <w:rFonts w:hint="default" w:ascii="Times New Roman" w:hAnsi="Times New Roman" w:cs="Times New Roman"/>
                <w:color w:val="auto"/>
                <w:spacing w:val="8"/>
                <w:sz w:val="24"/>
              </w:rPr>
              <w:t>项目厂区内</w:t>
            </w:r>
            <w:r>
              <w:rPr>
                <w:rFonts w:hint="eastAsia" w:cs="Times New Roman"/>
                <w:color w:val="auto"/>
                <w:spacing w:val="8"/>
                <w:sz w:val="24"/>
                <w:lang w:eastAsia="zh-CN"/>
              </w:rPr>
              <w:t>原料仓库</w:t>
            </w:r>
            <w:r>
              <w:rPr>
                <w:rFonts w:hint="eastAsia" w:cs="Times New Roman"/>
                <w:color w:val="auto"/>
                <w:spacing w:val="8"/>
                <w:sz w:val="24"/>
                <w:lang w:val="en-US" w:eastAsia="zh-CN"/>
              </w:rPr>
              <w:t>1</w:t>
            </w:r>
            <w:r>
              <w:rPr>
                <w:rFonts w:hint="default" w:ascii="Times New Roman" w:hAnsi="Times New Roman" w:cs="Times New Roman"/>
                <w:color w:val="auto"/>
                <w:spacing w:val="8"/>
                <w:sz w:val="24"/>
              </w:rPr>
              <w:t>设置在西</w:t>
            </w:r>
            <w:r>
              <w:rPr>
                <w:rFonts w:hint="eastAsia" w:cs="Times New Roman"/>
                <w:color w:val="auto"/>
                <w:spacing w:val="8"/>
                <w:sz w:val="24"/>
                <w:lang w:eastAsia="zh-CN"/>
              </w:rPr>
              <w:t>南</w:t>
            </w:r>
            <w:r>
              <w:rPr>
                <w:rFonts w:hint="default" w:ascii="Times New Roman" w:hAnsi="Times New Roman" w:cs="Times New Roman"/>
                <w:color w:val="auto"/>
                <w:spacing w:val="8"/>
                <w:sz w:val="24"/>
              </w:rPr>
              <w:t>侧，靠近出入口，便于车辆进出，</w:t>
            </w:r>
            <w:r>
              <w:rPr>
                <w:rFonts w:hint="eastAsia" w:cs="Times New Roman"/>
                <w:color w:val="auto"/>
                <w:spacing w:val="8"/>
                <w:sz w:val="24"/>
                <w:lang w:eastAsia="zh-CN"/>
              </w:rPr>
              <w:t>生产车间设置在南侧，原料仓库</w:t>
            </w:r>
            <w:r>
              <w:rPr>
                <w:rFonts w:hint="eastAsia" w:cs="Times New Roman"/>
                <w:color w:val="auto"/>
                <w:spacing w:val="8"/>
                <w:sz w:val="24"/>
                <w:lang w:val="en-US" w:eastAsia="zh-CN"/>
              </w:rPr>
              <w:t>2、3</w:t>
            </w:r>
            <w:r>
              <w:rPr>
                <w:rFonts w:hint="default" w:ascii="Times New Roman" w:hAnsi="Times New Roman" w:cs="Times New Roman"/>
                <w:color w:val="auto"/>
                <w:spacing w:val="8"/>
                <w:sz w:val="24"/>
              </w:rPr>
              <w:t>设置在</w:t>
            </w:r>
            <w:r>
              <w:rPr>
                <w:rFonts w:hint="eastAsia" w:cs="Times New Roman"/>
                <w:color w:val="auto"/>
                <w:spacing w:val="8"/>
                <w:sz w:val="24"/>
                <w:lang w:eastAsia="zh-CN"/>
              </w:rPr>
              <w:t>生产车间北侧</w:t>
            </w:r>
            <w:r>
              <w:rPr>
                <w:rFonts w:hint="default" w:ascii="Times New Roman" w:hAnsi="Times New Roman" w:cs="Times New Roman"/>
                <w:color w:val="auto"/>
                <w:spacing w:val="8"/>
                <w:sz w:val="24"/>
              </w:rPr>
              <w:t>，</w:t>
            </w:r>
            <w:r>
              <w:rPr>
                <w:rFonts w:hint="eastAsia" w:cs="Times New Roman"/>
                <w:color w:val="auto"/>
                <w:spacing w:val="8"/>
                <w:sz w:val="24"/>
                <w:lang w:eastAsia="zh-CN"/>
              </w:rPr>
              <w:t>便于原料进厂后进行生产</w:t>
            </w:r>
            <w:r>
              <w:rPr>
                <w:rFonts w:hint="default" w:ascii="Times New Roman" w:hAnsi="Times New Roman" w:cs="Times New Roman"/>
                <w:color w:val="auto"/>
                <w:spacing w:val="8"/>
                <w:sz w:val="24"/>
              </w:rPr>
              <w:t>，</w:t>
            </w:r>
            <w:r>
              <w:rPr>
                <w:rFonts w:hint="eastAsia" w:cs="Times New Roman"/>
                <w:color w:val="auto"/>
                <w:spacing w:val="8"/>
                <w:sz w:val="24"/>
                <w:lang w:eastAsia="zh-CN"/>
              </w:rPr>
              <w:t>成品仓库位于生产车间东侧，经生产车间加工生产的产品可直接运至东侧成品仓库存放</w:t>
            </w:r>
            <w:r>
              <w:rPr>
                <w:rFonts w:hint="default" w:ascii="Times New Roman" w:hAnsi="Times New Roman" w:cs="Times New Roman"/>
                <w:color w:val="auto"/>
                <w:spacing w:val="8"/>
                <w:sz w:val="24"/>
              </w:rPr>
              <w:t>。</w:t>
            </w:r>
            <w:r>
              <w:rPr>
                <w:rFonts w:hint="eastAsia" w:cs="Times New Roman"/>
                <w:color w:val="auto"/>
                <w:spacing w:val="8"/>
                <w:sz w:val="24"/>
                <w:lang w:eastAsia="zh-CN"/>
              </w:rPr>
              <w:t>办公综合楼位于厂内西北侧，远离生产车间。</w:t>
            </w:r>
          </w:p>
          <w:p>
            <w:pPr>
              <w:spacing w:line="348" w:lineRule="auto"/>
              <w:ind w:firstLine="512" w:firstLineChars="200"/>
              <w:rPr>
                <w:rFonts w:hint="default" w:ascii="Times New Roman" w:hAnsi="Times New Roman" w:cs="Times New Roman"/>
                <w:color w:val="auto"/>
                <w:spacing w:val="8"/>
                <w:sz w:val="24"/>
              </w:rPr>
            </w:pPr>
            <w:r>
              <w:rPr>
                <w:rFonts w:hint="eastAsia" w:cs="Times New Roman"/>
                <w:color w:val="auto"/>
                <w:spacing w:val="8"/>
                <w:sz w:val="24"/>
                <w:lang w:eastAsia="zh-CN"/>
              </w:rPr>
              <w:t>项目生产车间内布局依照生产工艺流程布置，各功能分区明确，工艺流程通畅，保证了产品生产和货料畅通运输；高噪声生产设备布置考虑了生产工艺的同事也兼顾分散布置，最大化的减少设备运行噪声，项目总平面布置根据生产工艺流程、建筑防火、安全生产、交通运输等各类设计规范要求和原则，结合场地现状进行总体规划，综合考虑各个因素，具有一定的科学性。因此，该项目</w:t>
            </w:r>
            <w:r>
              <w:rPr>
                <w:rFonts w:hint="default" w:ascii="Times New Roman" w:hAnsi="Times New Roman" w:cs="Times New Roman"/>
                <w:color w:val="auto"/>
                <w:spacing w:val="8"/>
                <w:sz w:val="24"/>
              </w:rPr>
              <w:t>平面布局基本合理，厂区规划布局图详</w:t>
            </w:r>
            <w:r>
              <w:rPr>
                <w:rFonts w:hint="default" w:ascii="Times New Roman" w:hAnsi="Times New Roman" w:cs="Times New Roman"/>
                <w:color w:val="auto"/>
                <w:spacing w:val="8"/>
                <w:sz w:val="24"/>
                <w:highlight w:val="none"/>
              </w:rPr>
              <w:t>见附</w:t>
            </w:r>
            <w:r>
              <w:rPr>
                <w:rFonts w:hint="eastAsia" w:cs="Times New Roman"/>
                <w:color w:val="auto"/>
                <w:spacing w:val="8"/>
                <w:sz w:val="24"/>
                <w:highlight w:val="none"/>
                <w:lang w:eastAsia="zh-CN"/>
              </w:rPr>
              <w:t>图</w:t>
            </w:r>
            <w:r>
              <w:rPr>
                <w:rFonts w:hint="eastAsia" w:cs="Times New Roman"/>
                <w:color w:val="auto"/>
                <w:spacing w:val="8"/>
                <w:sz w:val="24"/>
                <w:highlight w:val="none"/>
                <w:lang w:val="en-US" w:eastAsia="zh-CN"/>
              </w:rPr>
              <w:t>3</w:t>
            </w:r>
            <w:r>
              <w:rPr>
                <w:rFonts w:hint="default" w:ascii="Times New Roman" w:hAnsi="Times New Roman" w:cs="Times New Roman"/>
                <w:color w:val="auto"/>
                <w:spacing w:val="8"/>
                <w:sz w:val="24"/>
                <w:highlight w:val="none"/>
              </w:rPr>
              <w:t>。</w:t>
            </w:r>
          </w:p>
          <w:p>
            <w:pPr>
              <w:spacing w:line="348" w:lineRule="auto"/>
              <w:ind w:firstLine="514" w:firstLineChars="200"/>
              <w:rPr>
                <w:rFonts w:hint="default" w:ascii="Times New Roman" w:hAnsi="Times New Roman" w:cs="Times New Roman"/>
                <w:b/>
                <w:color w:val="auto"/>
                <w:spacing w:val="8"/>
                <w:sz w:val="24"/>
              </w:rPr>
            </w:pPr>
            <w:r>
              <w:rPr>
                <w:rFonts w:hint="eastAsia" w:cs="Times New Roman"/>
                <w:b/>
                <w:color w:val="auto"/>
                <w:spacing w:val="8"/>
                <w:sz w:val="24"/>
                <w:lang w:val="en-US" w:eastAsia="zh-CN"/>
              </w:rPr>
              <w:t>10</w:t>
            </w:r>
            <w:r>
              <w:rPr>
                <w:rFonts w:hint="default" w:ascii="Times New Roman" w:hAnsi="Times New Roman" w:cs="Times New Roman"/>
                <w:b/>
                <w:color w:val="auto"/>
                <w:spacing w:val="8"/>
                <w:sz w:val="24"/>
              </w:rPr>
              <w:t>、项目建设计划</w:t>
            </w:r>
          </w:p>
          <w:p>
            <w:pPr>
              <w:pStyle w:val="46"/>
              <w:adjustRightInd w:val="0"/>
              <w:ind w:firstLine="512" w:firstLineChars="200"/>
              <w:rPr>
                <w:rFonts w:hint="default" w:ascii="Times New Roman" w:hAnsi="Times New Roman" w:cs="Times New Roman"/>
                <w:color w:val="auto"/>
                <w:spacing w:val="8"/>
              </w:rPr>
            </w:pPr>
            <w:r>
              <w:rPr>
                <w:rFonts w:hint="default" w:ascii="Times New Roman" w:hAnsi="Times New Roman" w:cs="Times New Roman"/>
                <w:color w:val="FF0000"/>
                <w:spacing w:val="8"/>
              </w:rPr>
              <w:t>现申请办理新建项目环保审批手续，拟于2019年</w:t>
            </w:r>
            <w:r>
              <w:rPr>
                <w:rFonts w:hint="eastAsia" w:ascii="Times New Roman" w:cs="Times New Roman"/>
                <w:color w:val="FF0000"/>
                <w:spacing w:val="8"/>
                <w:lang w:val="en-US" w:eastAsia="zh-CN"/>
              </w:rPr>
              <w:t>9</w:t>
            </w:r>
            <w:r>
              <w:rPr>
                <w:rFonts w:hint="default" w:ascii="Times New Roman" w:hAnsi="Times New Roman" w:cs="Times New Roman"/>
                <w:color w:val="FF0000"/>
                <w:spacing w:val="8"/>
              </w:rPr>
              <w:t>月投入运营</w:t>
            </w:r>
            <w:r>
              <w:rPr>
                <w:rFonts w:hint="default" w:ascii="Times New Roman" w:hAnsi="Times New Roman" w:cs="Times New Roman"/>
                <w:color w:val="auto"/>
                <w:spacing w:val="8"/>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9484" w:type="dxa"/>
            <w:gridSpan w:val="10"/>
            <w:tcBorders>
              <w:bottom w:val="single" w:color="auto" w:sz="4" w:space="0"/>
            </w:tcBorders>
          </w:tcPr>
          <w:p>
            <w:pPr>
              <w:spacing w:line="360" w:lineRule="auto"/>
              <w:rPr>
                <w:rFonts w:hint="default" w:ascii="Times New Roman" w:hAnsi="Times New Roman" w:cs="Times New Roman"/>
                <w:b/>
                <w:color w:val="auto"/>
                <w:sz w:val="28"/>
              </w:rPr>
            </w:pPr>
            <w:r>
              <w:rPr>
                <w:rFonts w:hint="default" w:ascii="Times New Roman" w:hAnsi="Times New Roman" w:cs="Times New Roman"/>
                <w:b/>
                <w:color w:val="auto"/>
                <w:sz w:val="28"/>
              </w:rPr>
              <w:t>与本项目有关的污染情况及主要环境问题：</w:t>
            </w:r>
          </w:p>
          <w:p>
            <w:pPr>
              <w:spacing w:line="360" w:lineRule="auto"/>
              <w:ind w:firstLine="480" w:firstLineChars="200"/>
              <w:rPr>
                <w:rFonts w:hint="default" w:ascii="Times New Roman" w:hAnsi="Times New Roman" w:cs="Times New Roman"/>
                <w:color w:val="FF0000"/>
                <w:sz w:val="24"/>
              </w:rPr>
            </w:pPr>
            <w:r>
              <w:rPr>
                <w:rFonts w:hint="default" w:ascii="Times New Roman" w:hAnsi="Times New Roman" w:cs="Times New Roman"/>
                <w:color w:val="auto"/>
                <w:sz w:val="24"/>
              </w:rPr>
              <w:t>本项目租用位于</w:t>
            </w:r>
            <w:r>
              <w:rPr>
                <w:rFonts w:hint="default" w:ascii="Times New Roman" w:hAnsi="Times New Roman" w:cs="Times New Roman"/>
                <w:color w:val="auto"/>
                <w:sz w:val="24"/>
                <w:lang w:eastAsia="zh-CN"/>
              </w:rPr>
              <w:t>普宁市梅塘镇新光村镇政府西侧</w:t>
            </w:r>
            <w:r>
              <w:rPr>
                <w:rFonts w:hint="default" w:ascii="Times New Roman" w:hAnsi="Times New Roman" w:cs="Times New Roman"/>
                <w:color w:val="auto"/>
                <w:sz w:val="24"/>
              </w:rPr>
              <w:t>的场地作为生产车间，项目为新建项目，因此，不存在与本项目有关的原有环境污染问题。</w:t>
            </w:r>
            <w:r>
              <w:rPr>
                <w:rFonts w:hint="default" w:ascii="Times New Roman" w:hAnsi="Times New Roman" w:cs="Times New Roman"/>
                <w:color w:val="FF0000"/>
                <w:spacing w:val="8"/>
                <w:sz w:val="24"/>
                <w:highlight w:val="none"/>
              </w:rPr>
              <w:t>项目</w:t>
            </w:r>
            <w:r>
              <w:rPr>
                <w:rFonts w:hint="eastAsia" w:cs="Times New Roman"/>
                <w:color w:val="FF0000"/>
                <w:spacing w:val="8"/>
                <w:sz w:val="24"/>
                <w:highlight w:val="none"/>
                <w:lang w:eastAsia="zh-CN"/>
              </w:rPr>
              <w:t>南侧</w:t>
            </w:r>
            <w:r>
              <w:rPr>
                <w:rFonts w:hint="eastAsia" w:cs="Times New Roman"/>
                <w:color w:val="FF0000"/>
                <w:spacing w:val="8"/>
                <w:sz w:val="24"/>
                <w:highlight w:val="none"/>
                <w:lang w:val="en-US" w:eastAsia="zh-CN"/>
              </w:rPr>
              <w:t>20m处</w:t>
            </w:r>
            <w:r>
              <w:rPr>
                <w:rFonts w:hint="eastAsia" w:cs="Times New Roman"/>
                <w:color w:val="FF0000"/>
                <w:spacing w:val="8"/>
                <w:sz w:val="24"/>
                <w:highlight w:val="none"/>
                <w:lang w:eastAsia="zh-CN"/>
              </w:rPr>
              <w:t>为引榕总干渠</w:t>
            </w:r>
            <w:r>
              <w:rPr>
                <w:rFonts w:hint="default" w:ascii="Times New Roman" w:hAnsi="Times New Roman" w:cs="Times New Roman"/>
                <w:color w:val="FF0000"/>
                <w:spacing w:val="8"/>
                <w:sz w:val="24"/>
                <w:highlight w:val="none"/>
              </w:rPr>
              <w:t>，</w:t>
            </w:r>
            <w:r>
              <w:rPr>
                <w:rFonts w:hint="eastAsia" w:cs="Times New Roman"/>
                <w:color w:val="FF0000"/>
                <w:spacing w:val="8"/>
                <w:sz w:val="24"/>
                <w:lang w:eastAsia="zh-CN"/>
              </w:rPr>
              <w:t>东、西、北侧</w:t>
            </w:r>
            <w:r>
              <w:rPr>
                <w:rFonts w:hint="eastAsia" w:cs="Times New Roman"/>
                <w:color w:val="FF0000"/>
                <w:spacing w:val="8"/>
                <w:sz w:val="24"/>
                <w:lang w:val="en-US" w:eastAsia="zh-CN"/>
              </w:rPr>
              <w:t>10m</w:t>
            </w:r>
            <w:r>
              <w:rPr>
                <w:rFonts w:hint="eastAsia" w:cs="Times New Roman"/>
                <w:color w:val="FF0000"/>
                <w:spacing w:val="8"/>
                <w:sz w:val="24"/>
                <w:lang w:eastAsia="zh-CN"/>
              </w:rPr>
              <w:t>为新光村的</w:t>
            </w:r>
            <w:r>
              <w:rPr>
                <w:rFonts w:hint="eastAsia" w:cs="Times New Roman"/>
                <w:color w:val="FF0000"/>
                <w:spacing w:val="8"/>
                <w:sz w:val="24"/>
                <w:highlight w:val="none"/>
                <w:lang w:eastAsia="zh-CN"/>
              </w:rPr>
              <w:t>商住楼，项目周边污染主要为生活污水、生活废气和生活噪声。</w:t>
            </w:r>
          </w:p>
          <w:p>
            <w:pPr>
              <w:spacing w:line="360" w:lineRule="auto"/>
              <w:ind w:firstLine="480" w:firstLineChars="200"/>
              <w:rPr>
                <w:rFonts w:hint="default" w:ascii="Times New Roman" w:hAnsi="Times New Roman" w:eastAsia="黑体" w:cs="Times New Roman"/>
                <w:color w:val="auto"/>
                <w:sz w:val="24"/>
              </w:rPr>
            </w:pPr>
          </w:p>
          <w:p>
            <w:pPr>
              <w:spacing w:line="360" w:lineRule="auto"/>
              <w:ind w:firstLine="480" w:firstLineChars="200"/>
              <w:rPr>
                <w:rFonts w:hint="default" w:ascii="Times New Roman" w:hAnsi="Times New Roman" w:eastAsia="黑体" w:cs="Times New Roman"/>
                <w:color w:val="auto"/>
                <w:sz w:val="24"/>
              </w:rPr>
            </w:pPr>
          </w:p>
        </w:tc>
      </w:tr>
    </w:tbl>
    <w:p>
      <w:pPr>
        <w:rPr>
          <w:color w:val="auto"/>
        </w:rPr>
        <w:sectPr>
          <w:footerReference r:id="rId5" w:type="default"/>
          <w:pgSz w:w="11907" w:h="16840"/>
          <w:pgMar w:top="1304" w:right="1134" w:bottom="1134" w:left="1304" w:header="964" w:footer="964" w:gutter="0"/>
          <w:pgBorders>
            <w:top w:val="none" w:sz="0" w:space="0"/>
            <w:left w:val="none" w:sz="0" w:space="0"/>
            <w:bottom w:val="none" w:sz="0" w:space="0"/>
            <w:right w:val="none" w:sz="0" w:space="0"/>
          </w:pgBorders>
          <w:pgNumType w:start="1"/>
          <w:cols w:space="720" w:num="1"/>
          <w:docGrid w:type="lines" w:linePitch="334" w:charSpace="6716"/>
        </w:sectPr>
      </w:pPr>
    </w:p>
    <w:p>
      <w:pPr>
        <w:pStyle w:val="3"/>
        <w:jc w:val="left"/>
        <w:rPr>
          <w:b/>
          <w:bCs/>
          <w:color w:val="auto"/>
        </w:rPr>
      </w:pPr>
      <w:r>
        <w:rPr>
          <w:b/>
          <w:bCs/>
          <w:color w:val="auto"/>
        </w:rPr>
        <w:t>建设项目所在地自然环境社会环境简况</w:t>
      </w:r>
    </w:p>
    <w:tbl>
      <w:tblPr>
        <w:tblStyle w:val="31"/>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47" w:type="dxa"/>
          </w:tcPr>
          <w:p>
            <w:pPr>
              <w:spacing w:line="360" w:lineRule="auto"/>
              <w:rPr>
                <w:b/>
                <w:color w:val="auto"/>
                <w:sz w:val="28"/>
              </w:rPr>
            </w:pPr>
            <w:r>
              <w:rPr>
                <w:b/>
                <w:color w:val="auto"/>
                <w:sz w:val="28"/>
              </w:rPr>
              <w:t>自然环境简况(地理位置、地形地貌、气象、水文、植被、生物多样性等)：</w:t>
            </w:r>
          </w:p>
          <w:p>
            <w:pPr>
              <w:spacing w:line="360" w:lineRule="auto"/>
              <w:ind w:firstLine="482" w:firstLineChars="200"/>
              <w:rPr>
                <w:b/>
                <w:bCs/>
                <w:color w:val="auto"/>
                <w:sz w:val="24"/>
              </w:rPr>
            </w:pPr>
            <w:r>
              <w:rPr>
                <w:b/>
                <w:bCs/>
                <w:color w:val="auto"/>
                <w:sz w:val="24"/>
              </w:rPr>
              <w:t>一、地理位置</w:t>
            </w:r>
          </w:p>
          <w:p>
            <w:pPr>
              <w:spacing w:line="360" w:lineRule="auto"/>
              <w:ind w:firstLine="480" w:firstLineChars="200"/>
              <w:rPr>
                <w:color w:val="auto"/>
                <w:sz w:val="24"/>
              </w:rPr>
            </w:pPr>
            <w:r>
              <w:rPr>
                <w:color w:val="auto"/>
                <w:sz w:val="24"/>
              </w:rPr>
              <w:t>普宁市位于广东省东南部、潮汕平原西缘，东毗汕头市潮南区，南邻惠来县，西南连陆丰市、陆河县，西北接揭西县，东北界榕城区。在东经115°43′10″-116°21′02″，北纬23°05′40″-23°31′48″之间。北回归线从市境北部通过。属南亚热带季风气候。国道324线、省道S236线、揭(阳)神(泉)线、长(布)池(尾)线在市区交汇，普惠高速、揭普高速经过普宁。市区流沙距广州市400km、深圳市300km、汕头市60km，揭阳榕城40km。境内主要河流有练江、榕江和龙江。</w:t>
            </w:r>
          </w:p>
          <w:p>
            <w:pPr>
              <w:spacing w:line="360" w:lineRule="auto"/>
              <w:ind w:firstLine="482" w:firstLineChars="200"/>
              <w:rPr>
                <w:color w:val="auto"/>
                <w:sz w:val="24"/>
              </w:rPr>
            </w:pPr>
            <w:r>
              <w:rPr>
                <w:b/>
                <w:color w:val="auto"/>
                <w:sz w:val="24"/>
              </w:rPr>
              <w:t>二、气候概况</w:t>
            </w:r>
          </w:p>
          <w:p>
            <w:pPr>
              <w:spacing w:line="360" w:lineRule="auto"/>
              <w:ind w:firstLine="480" w:firstLineChars="200"/>
              <w:rPr>
                <w:color w:val="auto"/>
                <w:sz w:val="24"/>
              </w:rPr>
            </w:pPr>
            <w:r>
              <w:rPr>
                <w:color w:val="auto"/>
                <w:sz w:val="24"/>
              </w:rPr>
              <w:t>普宁市气象台近20年的统计资料表明，项目所在区域日照充足气温高，夏长冬暖春来早。年日照时数在2084小时左右，平均每天约6小时，阳光充足，气温较高，年平均气温为22.1℃，极端最高温为38.1℃，极端最低温为0.4℃。夏季长达半年以上，一般在4月份开始，到10月中旬方见秋意。受海洋性气候影响，夏季气温高而无酷暑，在气温最高的7月份，日平均气温28℃左右，日最高气温≥35℃的酷热天数，每年在3天以内。冬季时间短，一般在每年12月到次年1月份。这一段时间里，本区受冷空气控制，降水量小，气温相对较低，但极少有严寒。最冷的1月份，日平均气温仍&gt;13℃，高于气象学以日平均气温≤10℃为冬季的标准。年平均降水量为2152.5mm，年降水量最多的2006年为3102.8mm，最少的2004年为1233.3mm，累年相对湿度平均为78%。</w:t>
            </w:r>
          </w:p>
          <w:p>
            <w:pPr>
              <w:spacing w:line="360" w:lineRule="auto"/>
              <w:ind w:firstLine="480" w:firstLineChars="200"/>
              <w:rPr>
                <w:color w:val="auto"/>
                <w:sz w:val="24"/>
              </w:rPr>
            </w:pPr>
            <w:r>
              <w:rPr>
                <w:color w:val="auto"/>
                <w:sz w:val="24"/>
              </w:rPr>
              <w:t>根据普宁市气象站近20年的统计资料表明，风的季节变化明显，全年以偏东气流为主（E~SE出现的频率占33%)，全年平均风速为2.0米/秒，全年静风日数（风速&lt;0.5m/s）在98天，频率达27%。夏、秋季常有台风侵袭。</w:t>
            </w:r>
          </w:p>
          <w:p>
            <w:pPr>
              <w:spacing w:line="360" w:lineRule="auto"/>
              <w:ind w:firstLine="480" w:firstLineChars="200"/>
              <w:rPr>
                <w:color w:val="auto"/>
                <w:sz w:val="24"/>
              </w:rPr>
            </w:pPr>
            <w:r>
              <w:rPr>
                <w:color w:val="auto"/>
                <w:sz w:val="24"/>
              </w:rPr>
              <w:t>普宁市地处亚热带季风区，受海洋性气候影响明显，是台风活动侵袭进过的地区之一。夏秋季节主要灾害性天气是台风带来的暴雨，易爆发山洪和涝灾，而非汛期月份由于降水量少，且流域内蓄水项目数量较多，规模较小，常易发生旱灾。主要气候灾害有有台风、干旱、霜冻、低温、“龙舟水”等。</w:t>
            </w:r>
          </w:p>
          <w:p>
            <w:pPr>
              <w:spacing w:line="360" w:lineRule="auto"/>
              <w:ind w:firstLine="480" w:firstLineChars="200"/>
              <w:rPr>
                <w:snapToGrid w:val="0"/>
                <w:color w:val="FF0000"/>
                <w:kern w:val="0"/>
                <w:sz w:val="24"/>
              </w:rPr>
            </w:pPr>
            <w:r>
              <w:rPr>
                <w:rFonts w:hint="eastAsia"/>
                <w:snapToGrid w:val="0"/>
                <w:color w:val="FF0000"/>
                <w:kern w:val="0"/>
                <w:sz w:val="24"/>
              </w:rPr>
              <w:t>普宁市</w:t>
            </w:r>
            <w:r>
              <w:rPr>
                <w:snapToGrid w:val="0"/>
                <w:color w:val="FF0000"/>
                <w:kern w:val="0"/>
                <w:sz w:val="24"/>
              </w:rPr>
              <w:t>气象站</w:t>
            </w:r>
            <w:r>
              <w:rPr>
                <w:rFonts w:hint="eastAsia"/>
                <w:snapToGrid w:val="0"/>
                <w:color w:val="FF0000"/>
                <w:kern w:val="0"/>
                <w:sz w:val="24"/>
                <w:lang w:val="en-US" w:eastAsia="zh-CN"/>
              </w:rPr>
              <w:t>1998年-2017年</w:t>
            </w:r>
            <w:r>
              <w:rPr>
                <w:snapToGrid w:val="0"/>
                <w:color w:val="FF0000"/>
                <w:kern w:val="0"/>
                <w:sz w:val="24"/>
              </w:rPr>
              <w:t>气象统计结果如表</w:t>
            </w:r>
            <w:r>
              <w:rPr>
                <w:rFonts w:hint="eastAsia"/>
                <w:snapToGrid w:val="0"/>
                <w:color w:val="FF0000"/>
                <w:kern w:val="0"/>
                <w:sz w:val="24"/>
                <w:lang w:val="en-US" w:eastAsia="zh-CN"/>
              </w:rPr>
              <w:t>2-1</w:t>
            </w:r>
            <w:r>
              <w:rPr>
                <w:snapToGrid w:val="0"/>
                <w:color w:val="FF0000"/>
                <w:kern w:val="0"/>
                <w:sz w:val="24"/>
              </w:rPr>
              <w:t>所示。多年风向玫瑰图见图</w:t>
            </w:r>
            <w:r>
              <w:rPr>
                <w:rFonts w:hint="eastAsia"/>
                <w:snapToGrid w:val="0"/>
                <w:color w:val="FF0000"/>
                <w:kern w:val="0"/>
                <w:sz w:val="24"/>
                <w:lang w:val="en-US" w:eastAsia="zh-CN"/>
              </w:rPr>
              <w:t>2-1</w:t>
            </w:r>
            <w:r>
              <w:rPr>
                <w:snapToGrid w:val="0"/>
                <w:color w:val="FF0000"/>
                <w:kern w:val="0"/>
                <w:sz w:val="24"/>
              </w:rPr>
              <w:t>。</w:t>
            </w:r>
          </w:p>
          <w:p>
            <w:pPr>
              <w:spacing w:line="360" w:lineRule="auto"/>
              <w:jc w:val="center"/>
              <w:rPr>
                <w:b/>
                <w:color w:val="FF0000"/>
                <w:szCs w:val="21"/>
              </w:rPr>
            </w:pPr>
            <w:r>
              <w:rPr>
                <w:b/>
                <w:color w:val="FF0000"/>
                <w:szCs w:val="21"/>
              </w:rPr>
              <w:t>表</w:t>
            </w:r>
            <w:r>
              <w:rPr>
                <w:rFonts w:hint="eastAsia"/>
                <w:b/>
                <w:color w:val="FF0000"/>
                <w:szCs w:val="21"/>
                <w:lang w:val="en-US" w:eastAsia="zh-CN"/>
              </w:rPr>
              <w:t>2-1</w:t>
            </w:r>
            <w:r>
              <w:rPr>
                <w:b/>
                <w:color w:val="FF0000"/>
                <w:szCs w:val="21"/>
              </w:rPr>
              <w:t xml:space="preserve"> </w:t>
            </w:r>
            <w:r>
              <w:rPr>
                <w:rFonts w:hint="eastAsia"/>
                <w:b/>
                <w:color w:val="FF0000"/>
                <w:szCs w:val="21"/>
              </w:rPr>
              <w:t>普宁市</w:t>
            </w:r>
            <w:r>
              <w:rPr>
                <w:b/>
                <w:color w:val="FF0000"/>
                <w:szCs w:val="21"/>
              </w:rPr>
              <w:t>气象站</w:t>
            </w:r>
            <w:r>
              <w:rPr>
                <w:rFonts w:hint="eastAsia"/>
                <w:b/>
                <w:color w:val="FF0000"/>
                <w:szCs w:val="21"/>
                <w:lang w:val="en-US" w:eastAsia="zh-CN"/>
              </w:rPr>
              <w:t>1998年-2017年</w:t>
            </w:r>
            <w:r>
              <w:rPr>
                <w:b/>
                <w:color w:val="FF0000"/>
                <w:szCs w:val="21"/>
              </w:rPr>
              <w:t>的主要气候资料统计表</w:t>
            </w:r>
          </w:p>
          <w:tbl>
            <w:tblPr>
              <w:tblStyle w:val="31"/>
              <w:tblW w:w="852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84"/>
              <w:gridCol w:w="493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b/>
                      <w:snapToGrid w:val="0"/>
                      <w:color w:val="FF0000"/>
                      <w:szCs w:val="21"/>
                    </w:rPr>
                  </w:pPr>
                  <w:r>
                    <w:rPr>
                      <w:b/>
                      <w:snapToGrid w:val="0"/>
                      <w:color w:val="FF0000"/>
                      <w:szCs w:val="21"/>
                    </w:rPr>
                    <w:t>项目</w:t>
                  </w:r>
                </w:p>
              </w:tc>
              <w:tc>
                <w:tcPr>
                  <w:tcW w:w="4938" w:type="dxa"/>
                  <w:noWrap w:val="0"/>
                  <w:vAlign w:val="center"/>
                </w:tcPr>
                <w:p>
                  <w:pPr>
                    <w:adjustRightInd w:val="0"/>
                    <w:snapToGrid w:val="0"/>
                    <w:jc w:val="center"/>
                    <w:rPr>
                      <w:b/>
                      <w:snapToGrid w:val="0"/>
                      <w:color w:val="FF0000"/>
                      <w:szCs w:val="21"/>
                    </w:rPr>
                  </w:pPr>
                  <w:r>
                    <w:rPr>
                      <w:b/>
                      <w:snapToGrid w:val="0"/>
                      <w:color w:val="FF0000"/>
                      <w:szCs w:val="21"/>
                    </w:rPr>
                    <w:t>数值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年平均风速(m/s)</w:t>
                  </w:r>
                </w:p>
              </w:tc>
              <w:tc>
                <w:tcPr>
                  <w:tcW w:w="4938"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最大风速(m/s)及出现的时间</w:t>
                  </w:r>
                </w:p>
              </w:tc>
              <w:tc>
                <w:tcPr>
                  <w:tcW w:w="4938"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20.5</w:t>
                  </w:r>
                </w:p>
                <w:p>
                  <w:pPr>
                    <w:adjustRightInd w:val="0"/>
                    <w:snapToGrid w:val="0"/>
                    <w:jc w:val="center"/>
                    <w:rPr>
                      <w:snapToGrid w:val="0"/>
                      <w:color w:val="FF0000"/>
                      <w:szCs w:val="21"/>
                    </w:rPr>
                  </w:pPr>
                  <w:r>
                    <w:rPr>
                      <w:snapToGrid w:val="0"/>
                      <w:color w:val="FF0000"/>
                      <w:szCs w:val="21"/>
                    </w:rPr>
                    <w:t>相应风向：</w:t>
                  </w:r>
                  <w:r>
                    <w:rPr>
                      <w:rFonts w:hint="eastAsia"/>
                      <w:snapToGrid w:val="0"/>
                      <w:color w:val="FF0000"/>
                      <w:szCs w:val="21"/>
                    </w:rPr>
                    <w:t>S</w:t>
                  </w:r>
                  <w:r>
                    <w:rPr>
                      <w:snapToGrid w:val="0"/>
                      <w:color w:val="FF0000"/>
                      <w:szCs w:val="21"/>
                    </w:rPr>
                    <w:t>E</w:t>
                  </w:r>
                </w:p>
                <w:p>
                  <w:pPr>
                    <w:adjustRightInd w:val="0"/>
                    <w:snapToGrid w:val="0"/>
                    <w:jc w:val="center"/>
                    <w:rPr>
                      <w:snapToGrid w:val="0"/>
                      <w:color w:val="FF0000"/>
                      <w:szCs w:val="21"/>
                    </w:rPr>
                  </w:pPr>
                  <w:r>
                    <w:rPr>
                      <w:snapToGrid w:val="0"/>
                      <w:color w:val="FF0000"/>
                      <w:szCs w:val="21"/>
                    </w:rPr>
                    <w:t>出现时间：20</w:t>
                  </w:r>
                  <w:r>
                    <w:rPr>
                      <w:rFonts w:hint="eastAsia"/>
                      <w:snapToGrid w:val="0"/>
                      <w:color w:val="FF0000"/>
                      <w:szCs w:val="21"/>
                    </w:rPr>
                    <w:t>1</w:t>
                  </w:r>
                  <w:r>
                    <w:rPr>
                      <w:rFonts w:hint="eastAsia"/>
                      <w:snapToGrid w:val="0"/>
                      <w:color w:val="FF0000"/>
                      <w:szCs w:val="21"/>
                      <w:lang w:val="en-US" w:eastAsia="zh-CN"/>
                    </w:rPr>
                    <w:t>3</w:t>
                  </w:r>
                  <w:r>
                    <w:rPr>
                      <w:snapToGrid w:val="0"/>
                      <w:color w:val="FF0000"/>
                      <w:szCs w:val="21"/>
                    </w:rPr>
                    <w:t>年</w:t>
                  </w:r>
                  <w:r>
                    <w:rPr>
                      <w:rFonts w:hint="eastAsia"/>
                      <w:snapToGrid w:val="0"/>
                      <w:color w:val="FF0000"/>
                      <w:szCs w:val="21"/>
                    </w:rPr>
                    <w:t>9</w:t>
                  </w:r>
                  <w:r>
                    <w:rPr>
                      <w:snapToGrid w:val="0"/>
                      <w:color w:val="FF0000"/>
                      <w:szCs w:val="21"/>
                    </w:rPr>
                    <w:t>月</w:t>
                  </w:r>
                  <w:r>
                    <w:rPr>
                      <w:rFonts w:hint="eastAsia"/>
                      <w:snapToGrid w:val="0"/>
                      <w:color w:val="FF0000"/>
                      <w:szCs w:val="21"/>
                    </w:rPr>
                    <w:t>22</w:t>
                  </w:r>
                  <w:r>
                    <w:rPr>
                      <w:snapToGrid w:val="0"/>
                      <w:color w:val="FF0000"/>
                      <w:szCs w:val="21"/>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年平均气温（℃）</w:t>
                  </w:r>
                </w:p>
              </w:tc>
              <w:tc>
                <w:tcPr>
                  <w:tcW w:w="4938" w:type="dxa"/>
                  <w:noWrap w:val="0"/>
                  <w:vAlign w:val="center"/>
                </w:tcPr>
                <w:p>
                  <w:pPr>
                    <w:adjustRightInd w:val="0"/>
                    <w:snapToGrid w:val="0"/>
                    <w:jc w:val="center"/>
                    <w:rPr>
                      <w:rFonts w:hint="eastAsia"/>
                      <w:snapToGrid w:val="0"/>
                      <w:color w:val="FF0000"/>
                      <w:szCs w:val="21"/>
                    </w:rPr>
                  </w:pPr>
                  <w:r>
                    <w:rPr>
                      <w:snapToGrid w:val="0"/>
                      <w:color w:val="FF0000"/>
                      <w:szCs w:val="21"/>
                    </w:rPr>
                    <w:t>22.</w:t>
                  </w:r>
                  <w:r>
                    <w:rPr>
                      <w:rFonts w:hint="eastAsia"/>
                      <w:snapToGrid w:val="0"/>
                      <w:color w:val="FF0000"/>
                      <w:szCs w:val="21"/>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极端最高气温（℃）及出现的时间</w:t>
                  </w:r>
                </w:p>
              </w:tc>
              <w:tc>
                <w:tcPr>
                  <w:tcW w:w="4938" w:type="dxa"/>
                  <w:noWrap w:val="0"/>
                  <w:vAlign w:val="center"/>
                </w:tcPr>
                <w:p>
                  <w:pPr>
                    <w:adjustRightInd w:val="0"/>
                    <w:snapToGrid w:val="0"/>
                    <w:jc w:val="center"/>
                    <w:rPr>
                      <w:rFonts w:hint="eastAsia"/>
                      <w:snapToGrid w:val="0"/>
                      <w:color w:val="FF0000"/>
                      <w:szCs w:val="21"/>
                    </w:rPr>
                  </w:pPr>
                  <w:r>
                    <w:rPr>
                      <w:snapToGrid w:val="0"/>
                      <w:color w:val="FF0000"/>
                      <w:szCs w:val="21"/>
                    </w:rPr>
                    <w:t>3</w:t>
                  </w:r>
                  <w:r>
                    <w:rPr>
                      <w:rFonts w:hint="eastAsia"/>
                      <w:snapToGrid w:val="0"/>
                      <w:color w:val="FF0000"/>
                      <w:szCs w:val="21"/>
                    </w:rPr>
                    <w:t>8.1</w:t>
                  </w:r>
                </w:p>
                <w:p>
                  <w:pPr>
                    <w:adjustRightInd w:val="0"/>
                    <w:snapToGrid w:val="0"/>
                    <w:jc w:val="center"/>
                    <w:rPr>
                      <w:snapToGrid w:val="0"/>
                      <w:color w:val="FF0000"/>
                      <w:szCs w:val="21"/>
                    </w:rPr>
                  </w:pPr>
                  <w:r>
                    <w:rPr>
                      <w:snapToGrid w:val="0"/>
                      <w:color w:val="FF0000"/>
                      <w:szCs w:val="21"/>
                    </w:rPr>
                    <w:t>出现时间：2005年7月18日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极端最低气温（℃）及出现的时间</w:t>
                  </w:r>
                </w:p>
              </w:tc>
              <w:tc>
                <w:tcPr>
                  <w:tcW w:w="4938" w:type="dxa"/>
                  <w:noWrap w:val="0"/>
                  <w:vAlign w:val="center"/>
                </w:tcPr>
                <w:p>
                  <w:pPr>
                    <w:adjustRightInd w:val="0"/>
                    <w:snapToGrid w:val="0"/>
                    <w:jc w:val="center"/>
                    <w:rPr>
                      <w:rFonts w:hint="eastAsia"/>
                      <w:snapToGrid w:val="0"/>
                      <w:color w:val="FF0000"/>
                      <w:szCs w:val="21"/>
                    </w:rPr>
                  </w:pPr>
                  <w:r>
                    <w:rPr>
                      <w:snapToGrid w:val="0"/>
                      <w:color w:val="FF0000"/>
                      <w:szCs w:val="21"/>
                    </w:rPr>
                    <w:t>0.</w:t>
                  </w:r>
                  <w:r>
                    <w:rPr>
                      <w:rFonts w:hint="eastAsia"/>
                      <w:snapToGrid w:val="0"/>
                      <w:color w:val="FF0000"/>
                      <w:szCs w:val="21"/>
                    </w:rPr>
                    <w:t>4</w:t>
                  </w:r>
                </w:p>
                <w:p>
                  <w:pPr>
                    <w:adjustRightInd w:val="0"/>
                    <w:snapToGrid w:val="0"/>
                    <w:jc w:val="center"/>
                    <w:rPr>
                      <w:snapToGrid w:val="0"/>
                      <w:color w:val="FF0000"/>
                      <w:szCs w:val="21"/>
                    </w:rPr>
                  </w:pPr>
                  <w:r>
                    <w:rPr>
                      <w:snapToGrid w:val="0"/>
                      <w:color w:val="FF0000"/>
                      <w:szCs w:val="21"/>
                    </w:rPr>
                    <w:t>出现时间：20</w:t>
                  </w:r>
                  <w:r>
                    <w:rPr>
                      <w:rFonts w:hint="eastAsia"/>
                      <w:snapToGrid w:val="0"/>
                      <w:color w:val="FF0000"/>
                      <w:szCs w:val="21"/>
                    </w:rPr>
                    <w:t>05</w:t>
                  </w:r>
                  <w:r>
                    <w:rPr>
                      <w:snapToGrid w:val="0"/>
                      <w:color w:val="FF0000"/>
                      <w:szCs w:val="21"/>
                    </w:rPr>
                    <w:t>年1月1日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年平均相对湿度（%）</w:t>
                  </w:r>
                </w:p>
              </w:tc>
              <w:tc>
                <w:tcPr>
                  <w:tcW w:w="4938"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77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年均降水量（mm）</w:t>
                  </w:r>
                </w:p>
              </w:tc>
              <w:tc>
                <w:tcPr>
                  <w:tcW w:w="4938"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2137.2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年平均降水日数（≥0.1mm）</w:t>
                  </w:r>
                </w:p>
              </w:tc>
              <w:tc>
                <w:tcPr>
                  <w:tcW w:w="4938"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141.1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年最大降水量（mm）及出现的时间</w:t>
                  </w:r>
                </w:p>
              </w:tc>
              <w:tc>
                <w:tcPr>
                  <w:tcW w:w="4938" w:type="dxa"/>
                  <w:noWrap w:val="0"/>
                  <w:vAlign w:val="center"/>
                </w:tcPr>
                <w:p>
                  <w:pPr>
                    <w:adjustRightInd w:val="0"/>
                    <w:snapToGrid w:val="0"/>
                    <w:jc w:val="center"/>
                    <w:rPr>
                      <w:snapToGrid w:val="0"/>
                      <w:color w:val="FF0000"/>
                      <w:szCs w:val="21"/>
                    </w:rPr>
                  </w:pPr>
                  <w:r>
                    <w:rPr>
                      <w:snapToGrid w:val="0"/>
                      <w:color w:val="FF0000"/>
                      <w:szCs w:val="21"/>
                    </w:rPr>
                    <w:t>最大值：</w:t>
                  </w:r>
                  <w:r>
                    <w:rPr>
                      <w:rFonts w:hint="eastAsia"/>
                      <w:snapToGrid w:val="0"/>
                      <w:color w:val="FF0000"/>
                      <w:szCs w:val="21"/>
                    </w:rPr>
                    <w:t>3153.8</w:t>
                  </w:r>
                  <w:r>
                    <w:rPr>
                      <w:snapToGrid w:val="0"/>
                      <w:color w:val="FF0000"/>
                      <w:szCs w:val="21"/>
                    </w:rPr>
                    <w:t>mm  出现时间：20</w:t>
                  </w:r>
                  <w:r>
                    <w:rPr>
                      <w:rFonts w:hint="eastAsia"/>
                      <w:snapToGrid w:val="0"/>
                      <w:color w:val="FF0000"/>
                      <w:szCs w:val="21"/>
                    </w:rPr>
                    <w:t>13</w:t>
                  </w:r>
                  <w:r>
                    <w:rPr>
                      <w:snapToGrid w:val="0"/>
                      <w:color w:val="FF0000"/>
                      <w:szCs w:val="21"/>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年最小降水量（mm）及出现的时间</w:t>
                  </w:r>
                </w:p>
              </w:tc>
              <w:tc>
                <w:tcPr>
                  <w:tcW w:w="4938" w:type="dxa"/>
                  <w:noWrap w:val="0"/>
                  <w:vAlign w:val="center"/>
                </w:tcPr>
                <w:p>
                  <w:pPr>
                    <w:adjustRightInd w:val="0"/>
                    <w:snapToGrid w:val="0"/>
                    <w:jc w:val="center"/>
                    <w:rPr>
                      <w:snapToGrid w:val="0"/>
                      <w:color w:val="FF0000"/>
                      <w:szCs w:val="21"/>
                    </w:rPr>
                  </w:pPr>
                  <w:r>
                    <w:rPr>
                      <w:snapToGrid w:val="0"/>
                      <w:color w:val="FF0000"/>
                      <w:szCs w:val="21"/>
                    </w:rPr>
                    <w:t>最小值：12</w:t>
                  </w:r>
                  <w:r>
                    <w:rPr>
                      <w:rFonts w:hint="eastAsia"/>
                      <w:snapToGrid w:val="0"/>
                      <w:color w:val="FF0000"/>
                      <w:szCs w:val="21"/>
                    </w:rPr>
                    <w:t>33.3</w:t>
                  </w:r>
                  <w:r>
                    <w:rPr>
                      <w:snapToGrid w:val="0"/>
                      <w:color w:val="FF0000"/>
                      <w:szCs w:val="21"/>
                    </w:rPr>
                    <w:t>mm  出现时间：20</w:t>
                  </w:r>
                  <w:r>
                    <w:rPr>
                      <w:rFonts w:hint="eastAsia"/>
                      <w:snapToGrid w:val="0"/>
                      <w:color w:val="FF0000"/>
                      <w:szCs w:val="21"/>
                    </w:rPr>
                    <w:t>04</w:t>
                  </w:r>
                  <w:r>
                    <w:rPr>
                      <w:snapToGrid w:val="0"/>
                      <w:color w:val="FF0000"/>
                      <w:szCs w:val="21"/>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3584" w:type="dxa"/>
                  <w:noWrap w:val="0"/>
                  <w:vAlign w:val="center"/>
                </w:tcPr>
                <w:p>
                  <w:pPr>
                    <w:adjustRightInd w:val="0"/>
                    <w:snapToGrid w:val="0"/>
                    <w:jc w:val="center"/>
                    <w:rPr>
                      <w:snapToGrid w:val="0"/>
                      <w:color w:val="FF0000"/>
                      <w:szCs w:val="21"/>
                    </w:rPr>
                  </w:pPr>
                  <w:r>
                    <w:rPr>
                      <w:snapToGrid w:val="0"/>
                      <w:color w:val="FF0000"/>
                      <w:szCs w:val="21"/>
                    </w:rPr>
                    <w:t>年平均日照时数（h）</w:t>
                  </w:r>
                </w:p>
              </w:tc>
              <w:tc>
                <w:tcPr>
                  <w:tcW w:w="4938" w:type="dxa"/>
                  <w:noWrap w:val="0"/>
                  <w:vAlign w:val="center"/>
                </w:tcPr>
                <w:p>
                  <w:pPr>
                    <w:adjustRightInd w:val="0"/>
                    <w:snapToGrid w:val="0"/>
                    <w:jc w:val="center"/>
                    <w:rPr>
                      <w:rFonts w:hint="eastAsia"/>
                      <w:snapToGrid w:val="0"/>
                      <w:color w:val="FF0000"/>
                      <w:szCs w:val="21"/>
                    </w:rPr>
                  </w:pPr>
                  <w:r>
                    <w:rPr>
                      <w:rFonts w:hint="eastAsia"/>
                      <w:snapToGrid w:val="0"/>
                      <w:color w:val="FF0000"/>
                      <w:szCs w:val="21"/>
                    </w:rPr>
                    <w:t>2132.7</w:t>
                  </w:r>
                </w:p>
              </w:tc>
            </w:tr>
          </w:tbl>
          <w:p>
            <w:pPr>
              <w:adjustRightInd w:val="0"/>
              <w:snapToGrid w:val="0"/>
              <w:spacing w:before="312" w:beforeLines="100" w:line="360" w:lineRule="auto"/>
              <w:jc w:val="center"/>
              <w:rPr>
                <w:color w:val="FF0000"/>
              </w:rPr>
            </w:pPr>
            <w:r>
              <w:rPr>
                <w:color w:val="FF0000"/>
              </w:rPr>
              <w:drawing>
                <wp:inline distT="0" distB="0" distL="114300" distR="114300">
                  <wp:extent cx="1791970" cy="1876425"/>
                  <wp:effectExtent l="0" t="0" r="17780" b="952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6"/>
                          <a:stretch>
                            <a:fillRect/>
                          </a:stretch>
                        </pic:blipFill>
                        <pic:spPr>
                          <a:xfrm>
                            <a:off x="0" y="0"/>
                            <a:ext cx="1791970" cy="1876425"/>
                          </a:xfrm>
                          <a:prstGeom prst="rect">
                            <a:avLst/>
                          </a:prstGeom>
                          <a:noFill/>
                          <a:ln>
                            <a:noFill/>
                          </a:ln>
                        </pic:spPr>
                      </pic:pic>
                    </a:graphicData>
                  </a:graphic>
                </wp:inline>
              </w:drawing>
            </w:r>
          </w:p>
          <w:p>
            <w:pPr>
              <w:spacing w:line="360" w:lineRule="auto"/>
              <w:jc w:val="center"/>
              <w:rPr>
                <w:b/>
                <w:color w:val="FF0000"/>
                <w:szCs w:val="21"/>
              </w:rPr>
            </w:pPr>
            <w:r>
              <w:rPr>
                <w:b/>
                <w:color w:val="FF0000"/>
                <w:szCs w:val="21"/>
              </w:rPr>
              <w:t xml:space="preserve">图2-1  </w:t>
            </w:r>
            <w:r>
              <w:rPr>
                <w:rFonts w:hint="eastAsia"/>
                <w:b/>
                <w:color w:val="FF0000"/>
                <w:szCs w:val="21"/>
              </w:rPr>
              <w:t>普宁市气象站</w:t>
            </w:r>
            <w:r>
              <w:rPr>
                <w:rFonts w:hint="eastAsia"/>
                <w:b/>
                <w:color w:val="FF0000"/>
                <w:szCs w:val="21"/>
                <w:lang w:val="en-US" w:eastAsia="zh-CN"/>
              </w:rPr>
              <w:t>1998年-2017年</w:t>
            </w:r>
            <w:r>
              <w:rPr>
                <w:b/>
                <w:color w:val="FF0000"/>
                <w:szCs w:val="21"/>
              </w:rPr>
              <w:t>风向玫瑰图</w:t>
            </w:r>
          </w:p>
          <w:p>
            <w:pPr>
              <w:spacing w:line="360" w:lineRule="auto"/>
              <w:ind w:firstLine="482" w:firstLineChars="200"/>
              <w:rPr>
                <w:b/>
                <w:bCs/>
                <w:color w:val="auto"/>
                <w:sz w:val="24"/>
              </w:rPr>
            </w:pPr>
            <w:r>
              <w:rPr>
                <w:b/>
                <w:color w:val="auto"/>
                <w:sz w:val="24"/>
              </w:rPr>
              <w:t>三、</w:t>
            </w:r>
            <w:r>
              <w:rPr>
                <w:b/>
                <w:bCs/>
                <w:color w:val="auto"/>
                <w:sz w:val="24"/>
              </w:rPr>
              <w:t>地形地貌和地质</w:t>
            </w:r>
          </w:p>
          <w:p>
            <w:pPr>
              <w:spacing w:line="360" w:lineRule="auto"/>
              <w:ind w:firstLine="480" w:firstLineChars="200"/>
              <w:rPr>
                <w:color w:val="auto"/>
                <w:sz w:val="24"/>
              </w:rPr>
            </w:pPr>
            <w:r>
              <w:rPr>
                <w:color w:val="auto"/>
                <w:sz w:val="24"/>
              </w:rPr>
              <w:t>普宁市地处潮汕平原西缘，处于平原向丘陵、山区过度的地带。普宁市南部为大南山山地，西南部为峨嵋嶂山地和南阳山丘陵，东北部为铁山、洪山的低矮丘陵，中部为宽广平原，在平原与丘陵之间有台地分布。全市诸山为莲花山脉向东南延伸的支脉。地势自西南向东北倾斜。全市以丘陵地貌和平原为主，分别占全市总面积的54.20%和39.50%，丘陵地貌主要分布在其西南部及东部的榕江南岸地区，平原地貌主要为东南部的练江中下游冲积平原。平原区地面高程（黄基）最高为37.0m，最低为7.5m，一般在10.0m左右。西南部最高峰峨嵋峰，海拔980m。</w:t>
            </w:r>
          </w:p>
          <w:p>
            <w:pPr>
              <w:spacing w:line="360" w:lineRule="auto"/>
              <w:ind w:firstLine="480" w:firstLineChars="200"/>
              <w:rPr>
                <w:color w:val="auto"/>
                <w:sz w:val="24"/>
              </w:rPr>
            </w:pPr>
            <w:r>
              <w:rPr>
                <w:color w:val="auto"/>
                <w:sz w:val="24"/>
              </w:rPr>
              <w:t xml:space="preserve">普宁市位于东亚新华夏系构造带第二复式隆起带南段的潮汕断陷盆地西缘。丰良-惠来东西向构造体系南带的兵营-惠来东西向构造带，与汤坑-汕头新华夏系构造体系中带的潮安-普宁构造带相交于流沙附近，地质构造复杂。晚近期新构造运动强烈，地壳升降运动明显，温泉发育。普宁市出露地层较少，以新生界第四系陆相沉积最为发育，主要分布于练江平原和榕江平原，分布面积占全市总面积的三分之一。上三迭统砂页岩、下侏罗统煤系和上侏罗同火山碎屑沉积岩零星分布。普宁的岩浆岩以花岗岩类岩石为主。普宁市构造以断裂为主，褶皱构造均为主干断裂的派生构造。断裂以东北组和北西组最为明显，东西向构造常为隐伏构造。 </w:t>
            </w:r>
          </w:p>
          <w:p>
            <w:pPr>
              <w:spacing w:line="360" w:lineRule="auto"/>
              <w:ind w:firstLine="480" w:firstLineChars="200"/>
              <w:rPr>
                <w:color w:val="auto"/>
                <w:sz w:val="24"/>
              </w:rPr>
            </w:pPr>
            <w:r>
              <w:rPr>
                <w:color w:val="auto"/>
                <w:sz w:val="24"/>
              </w:rPr>
              <w:t>在地震分带上属华南地震区泉州-汕头地震带，东北向德泉州-汕头断裂从市境中部通过。普宁市地震基本烈度为八度，属地震设防区。</w:t>
            </w:r>
          </w:p>
          <w:p>
            <w:pPr>
              <w:spacing w:line="360" w:lineRule="auto"/>
              <w:ind w:firstLine="482" w:firstLineChars="200"/>
              <w:rPr>
                <w:color w:val="auto"/>
                <w:sz w:val="24"/>
              </w:rPr>
            </w:pPr>
            <w:r>
              <w:rPr>
                <w:b/>
                <w:bCs/>
                <w:color w:val="auto"/>
                <w:sz w:val="24"/>
              </w:rPr>
              <w:t>四、水文特征</w:t>
            </w:r>
          </w:p>
          <w:p>
            <w:pPr>
              <w:spacing w:line="360" w:lineRule="auto"/>
              <w:ind w:firstLine="480" w:firstLineChars="200"/>
              <w:rPr>
                <w:rFonts w:hint="eastAsia" w:eastAsia="宋体"/>
                <w:color w:val="FF0000"/>
                <w:sz w:val="24"/>
                <w:lang w:eastAsia="zh-CN"/>
              </w:rPr>
            </w:pPr>
            <w:r>
              <w:rPr>
                <w:color w:val="auto"/>
                <w:sz w:val="24"/>
              </w:rPr>
              <w:t>普宁市有练江、榕江、龙江三大水系，集水面积榕江占27.7%，练江占31.4%，龙江占40.9%。多年平均径流深1353mm，多年平均径流量21.535亿m</w:t>
            </w:r>
            <w:r>
              <w:rPr>
                <w:color w:val="auto"/>
                <w:sz w:val="24"/>
                <w:vertAlign w:val="superscript"/>
              </w:rPr>
              <w:t>3</w:t>
            </w:r>
            <w:r>
              <w:rPr>
                <w:color w:val="auto"/>
                <w:sz w:val="24"/>
              </w:rPr>
              <w:t>。</w:t>
            </w:r>
            <w:r>
              <w:rPr>
                <w:color w:val="00B050"/>
                <w:sz w:val="24"/>
              </w:rPr>
              <w:t>本项目周边水体为</w:t>
            </w:r>
            <w:r>
              <w:rPr>
                <w:rFonts w:hint="eastAsia"/>
                <w:color w:val="00B050"/>
                <w:sz w:val="24"/>
                <w:lang w:eastAsia="zh-CN"/>
              </w:rPr>
              <w:t>引榕总干渠</w:t>
            </w:r>
            <w:r>
              <w:rPr>
                <w:color w:val="00B050"/>
                <w:sz w:val="24"/>
              </w:rPr>
              <w:t>，</w:t>
            </w:r>
            <w:r>
              <w:rPr>
                <w:rFonts w:hint="eastAsia"/>
                <w:color w:val="00B050"/>
                <w:sz w:val="24"/>
              </w:rPr>
              <w:t>主要功能为工农业用水、灌溉用水和排水</w:t>
            </w:r>
            <w:r>
              <w:rPr>
                <w:rFonts w:hint="eastAsia"/>
                <w:color w:val="00B050"/>
                <w:sz w:val="24"/>
                <w:lang w:eastAsia="zh-CN"/>
              </w:rPr>
              <w:t>。总干渠由榕江引水，经里湖东流至梅塘溪桥村，长10.84km，从这里分成东、南、北干渠。总干渠及东、南、北3条干渠共长46km，分干、支、斗渠174条，长301km，农渠5864条，长240km。</w:t>
            </w:r>
          </w:p>
          <w:p>
            <w:pPr>
              <w:spacing w:line="360" w:lineRule="auto"/>
              <w:ind w:firstLine="480" w:firstLineChars="200"/>
              <w:rPr>
                <w:color w:val="auto"/>
                <w:sz w:val="24"/>
              </w:rPr>
            </w:pPr>
            <w:r>
              <w:rPr>
                <w:color w:val="auto"/>
                <w:sz w:val="24"/>
              </w:rPr>
              <w:t>榕江上游称南溪，发源于普宁市后溪林场南水凹738.5m高地东坡西南向东北流经陆河、揭西、普宁、榕城、揭东、潮阳，在汕头港牛田洋入南海，全长175km，坡降0.49‰，集水面积4408km</w:t>
            </w:r>
            <w:r>
              <w:rPr>
                <w:color w:val="auto"/>
                <w:sz w:val="24"/>
                <w:vertAlign w:val="superscript"/>
              </w:rPr>
              <w:t>2</w:t>
            </w:r>
            <w:r>
              <w:rPr>
                <w:color w:val="auto"/>
                <w:sz w:val="24"/>
              </w:rPr>
              <w:t>，多年平均径流量58亿m</w:t>
            </w:r>
            <w:r>
              <w:rPr>
                <w:color w:val="auto"/>
                <w:sz w:val="24"/>
                <w:vertAlign w:val="superscript"/>
              </w:rPr>
              <w:t>3</w:t>
            </w:r>
            <w:r>
              <w:rPr>
                <w:color w:val="auto"/>
                <w:sz w:val="24"/>
              </w:rPr>
              <w:t>。市境内集水面积447.78km</w:t>
            </w:r>
            <w:r>
              <w:rPr>
                <w:color w:val="auto"/>
                <w:sz w:val="24"/>
                <w:vertAlign w:val="superscript"/>
              </w:rPr>
              <w:t>2</w:t>
            </w:r>
            <w:r>
              <w:rPr>
                <w:color w:val="auto"/>
                <w:sz w:val="24"/>
              </w:rPr>
              <w:t>，多年平均径流量5.103亿m</w:t>
            </w:r>
            <w:r>
              <w:rPr>
                <w:color w:val="auto"/>
                <w:sz w:val="24"/>
                <w:vertAlign w:val="superscript"/>
              </w:rPr>
              <w:t>3</w:t>
            </w:r>
            <w:r>
              <w:rPr>
                <w:color w:val="auto"/>
                <w:sz w:val="24"/>
              </w:rPr>
              <w:t>。境内河段有乌石水闸和三洲水闸，在乌石水闸上游6km处，揭西县建有靴岭拦河闸，上游建有金山、五山、莲花山、横江等水库，金山水库库容较小，在普宁市境内，横江水库库容较大，在揭西县境内，属于揭阳市管辖。市境内汇入榕江的河流主要有大池水、石牌河、为</w:t>
            </w:r>
            <w:r>
              <w:rPr>
                <w:rFonts w:hint="eastAsia"/>
                <w:color w:val="auto"/>
                <w:sz w:val="24"/>
                <w:lang w:eastAsia="zh-CN"/>
              </w:rPr>
              <w:t>火</w:t>
            </w:r>
            <w:r>
              <w:rPr>
                <w:color w:val="auto"/>
                <w:sz w:val="24"/>
              </w:rPr>
              <w:t>烧溪、圆山河、洪阳河等。</w:t>
            </w:r>
          </w:p>
          <w:p>
            <w:pPr>
              <w:spacing w:line="360" w:lineRule="auto"/>
              <w:ind w:firstLine="482" w:firstLineChars="200"/>
              <w:rPr>
                <w:b/>
                <w:bCs/>
                <w:color w:val="auto"/>
                <w:sz w:val="24"/>
              </w:rPr>
            </w:pPr>
            <w:r>
              <w:rPr>
                <w:b/>
                <w:bCs/>
                <w:color w:val="auto"/>
                <w:sz w:val="24"/>
              </w:rPr>
              <w:t>五、地下水特征</w:t>
            </w:r>
          </w:p>
          <w:p>
            <w:pPr>
              <w:spacing w:line="360" w:lineRule="auto"/>
              <w:ind w:firstLine="480" w:firstLineChars="200"/>
              <w:rPr>
                <w:color w:val="auto"/>
                <w:sz w:val="24"/>
              </w:rPr>
            </w:pPr>
            <w:r>
              <w:rPr>
                <w:color w:val="auto"/>
                <w:sz w:val="24"/>
              </w:rPr>
              <w:t>（1）地下水含水层</w:t>
            </w:r>
          </w:p>
          <w:p>
            <w:pPr>
              <w:spacing w:line="360" w:lineRule="auto"/>
              <w:ind w:firstLine="480" w:firstLineChars="200"/>
              <w:rPr>
                <w:color w:val="auto"/>
                <w:sz w:val="24"/>
              </w:rPr>
            </w:pPr>
            <w:r>
              <w:rPr>
                <w:color w:val="auto"/>
                <w:sz w:val="24"/>
              </w:rPr>
              <w:t>地区地下水含水层包括潜水含水层和承压含水层。项目所在地地下水类型为松散岩类孔隙水和承压水。孔隙潜水与大气降水及地表水联系密切，赋存于第2土层粉质粘土层中，水量不大；粉质粘土的富水性及透水性弱，为孔隙潜水的赋存层位，并构成区内的隔水层位。承压水赋存于第3层中粗砂中，有一定水量，稳定水位埋深-2.5m。</w:t>
            </w:r>
          </w:p>
          <w:p>
            <w:pPr>
              <w:spacing w:line="360" w:lineRule="auto"/>
              <w:ind w:firstLine="480" w:firstLineChars="200"/>
              <w:rPr>
                <w:color w:val="auto"/>
                <w:sz w:val="24"/>
              </w:rPr>
            </w:pPr>
            <w:r>
              <w:rPr>
                <w:color w:val="auto"/>
                <w:sz w:val="24"/>
              </w:rPr>
              <w:t>（2）地下水的补给、径流和排泄</w:t>
            </w:r>
          </w:p>
          <w:p>
            <w:pPr>
              <w:spacing w:line="360" w:lineRule="auto"/>
              <w:ind w:firstLine="480" w:firstLineChars="200"/>
              <w:rPr>
                <w:color w:val="auto"/>
                <w:sz w:val="24"/>
              </w:rPr>
            </w:pPr>
            <w:r>
              <w:rPr>
                <w:color w:val="auto"/>
                <w:sz w:val="24"/>
              </w:rPr>
              <w:t>由于承压含水层上存在隔水层，不直接与包气带相接，所以承压水在其分布范围内主要通过承压水补给区补给，有少量通过地表水或潜水层的补给。承压水面承压，在压力和重力作用下，由补给区向排泄区流动，形成径流。自然条件下承压水的排泄方式有两种：一种是向下游径流，以泉、渗流等形式泄出地表或流入地表水体，这便是径流排泄；一种是通过侧向排泄补给下游含水层；人类取用地下水时，人工开采便成为第三种排泄方式。区域地下水的主要补给来源为承压水补给区。</w:t>
            </w:r>
          </w:p>
        </w:tc>
      </w:tr>
    </w:tbl>
    <w:p>
      <w:pPr>
        <w:rPr>
          <w:vanish/>
          <w:color w:val="auto"/>
        </w:rPr>
      </w:pPr>
    </w:p>
    <w:tbl>
      <w:tblPr>
        <w:tblStyle w:val="31"/>
        <w:tblW w:w="974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4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9747" w:type="dxa"/>
          </w:tcPr>
          <w:p>
            <w:pPr>
              <w:spacing w:line="360" w:lineRule="auto"/>
              <w:rPr>
                <w:b/>
                <w:color w:val="auto"/>
                <w:sz w:val="28"/>
              </w:rPr>
            </w:pPr>
            <w:r>
              <w:rPr>
                <w:b/>
                <w:color w:val="auto"/>
                <w:sz w:val="28"/>
              </w:rPr>
              <w:t>社会环境简况（社会经济结构、教育、文化、文物保护等）：</w:t>
            </w:r>
          </w:p>
          <w:p>
            <w:pPr>
              <w:spacing w:line="360" w:lineRule="auto"/>
              <w:ind w:firstLine="480" w:firstLineChars="200"/>
              <w:rPr>
                <w:sz w:val="24"/>
                <w:szCs w:val="24"/>
              </w:rPr>
            </w:pPr>
            <w:r>
              <w:rPr>
                <w:sz w:val="24"/>
                <w:szCs w:val="24"/>
              </w:rPr>
              <w:t>普宁市位于广东省东部偏南、潮汕平原西缘，东毗潮阳市，南邻惠来县，西南连陆丰市、陆河县，西北接揭西县，东北界榕城区。在东经115º43′10″—116º21′02″,北纬23º05′40″—23º31′48″之间。市境南部距离南海海岸30公里，北回归线从市境北部通过。属南亚热带季风气候。厦深调整铁路、普惠高速公路、揭普高速公路、国道324线、省道S236线、省道238线在市区交汇。</w:t>
            </w:r>
          </w:p>
          <w:p>
            <w:pPr>
              <w:widowControl/>
              <w:pBdr>
                <w:bottom w:val="single" w:color="F0F0FF" w:sz="6" w:space="0"/>
              </w:pBdr>
              <w:spacing w:line="360" w:lineRule="auto"/>
              <w:ind w:firstLine="482" w:firstLineChars="200"/>
              <w:rPr>
                <w:b/>
                <w:bCs/>
                <w:sz w:val="24"/>
                <w:szCs w:val="24"/>
              </w:rPr>
            </w:pPr>
            <w:r>
              <w:rPr>
                <w:b/>
                <w:bCs/>
                <w:sz w:val="24"/>
                <w:szCs w:val="24"/>
              </w:rPr>
              <w:t>一、行政区划</w:t>
            </w:r>
          </w:p>
          <w:p>
            <w:pPr>
              <w:widowControl/>
              <w:pBdr>
                <w:bottom w:val="single" w:color="F0F0FF" w:sz="6" w:space="0"/>
              </w:pBdr>
              <w:spacing w:line="360" w:lineRule="auto"/>
              <w:ind w:firstLine="480" w:firstLineChars="200"/>
              <w:rPr>
                <w:sz w:val="24"/>
                <w:szCs w:val="24"/>
              </w:rPr>
            </w:pPr>
            <w:r>
              <w:rPr>
                <w:sz w:val="24"/>
                <w:szCs w:val="24"/>
              </w:rPr>
              <w:t>普宁市全市面积1620km</w:t>
            </w:r>
            <w:r>
              <w:rPr>
                <w:sz w:val="24"/>
                <w:szCs w:val="24"/>
                <w:vertAlign w:val="superscript"/>
              </w:rPr>
              <w:t>2</w:t>
            </w:r>
            <w:r>
              <w:rPr>
                <w:sz w:val="24"/>
                <w:szCs w:val="24"/>
              </w:rPr>
              <w:t>，现设17个镇、7个街道办事处、1个乡、3个国营农场；有518 个村委会、</w:t>
            </w:r>
            <w:r>
              <w:rPr>
                <w:rFonts w:hint="eastAsia"/>
                <w:sz w:val="24"/>
                <w:szCs w:val="24"/>
              </w:rPr>
              <w:t>50</w:t>
            </w:r>
            <w:r>
              <w:rPr>
                <w:sz w:val="24"/>
                <w:szCs w:val="24"/>
              </w:rPr>
              <w:t>个社区居民委员会。区域面积1620.08平方公里，折243.01万亩，其中耕地50.</w:t>
            </w:r>
            <w:r>
              <w:rPr>
                <w:rFonts w:hint="eastAsia"/>
                <w:sz w:val="24"/>
                <w:szCs w:val="24"/>
              </w:rPr>
              <w:t>18</w:t>
            </w:r>
            <w:r>
              <w:rPr>
                <w:sz w:val="24"/>
                <w:szCs w:val="24"/>
              </w:rPr>
              <w:t>万亩，占20.</w:t>
            </w:r>
            <w:r>
              <w:rPr>
                <w:rFonts w:hint="eastAsia"/>
                <w:sz w:val="24"/>
                <w:szCs w:val="24"/>
              </w:rPr>
              <w:t>65</w:t>
            </w:r>
            <w:r>
              <w:rPr>
                <w:sz w:val="24"/>
                <w:szCs w:val="24"/>
              </w:rPr>
              <w:t>%；山地100.5</w:t>
            </w:r>
            <w:r>
              <w:rPr>
                <w:rFonts w:hint="eastAsia"/>
                <w:sz w:val="24"/>
                <w:szCs w:val="24"/>
              </w:rPr>
              <w:t>2</w:t>
            </w:r>
            <w:r>
              <w:rPr>
                <w:sz w:val="24"/>
                <w:szCs w:val="24"/>
              </w:rPr>
              <w:t>万亩，占41.3</w:t>
            </w:r>
            <w:r>
              <w:rPr>
                <w:rFonts w:hint="eastAsia"/>
                <w:sz w:val="24"/>
                <w:szCs w:val="24"/>
              </w:rPr>
              <w:t>6</w:t>
            </w:r>
            <w:r>
              <w:rPr>
                <w:sz w:val="24"/>
                <w:szCs w:val="24"/>
              </w:rPr>
              <w:t xml:space="preserve">%。 </w:t>
            </w:r>
          </w:p>
          <w:p>
            <w:pPr>
              <w:widowControl/>
              <w:pBdr>
                <w:bottom w:val="single" w:color="F0F0FF" w:sz="6" w:space="0"/>
              </w:pBdr>
              <w:spacing w:line="360" w:lineRule="auto"/>
              <w:ind w:firstLine="482" w:firstLineChars="200"/>
              <w:rPr>
                <w:b/>
                <w:bCs/>
                <w:sz w:val="24"/>
                <w:szCs w:val="24"/>
              </w:rPr>
            </w:pPr>
            <w:r>
              <w:rPr>
                <w:b/>
                <w:bCs/>
                <w:sz w:val="24"/>
                <w:szCs w:val="24"/>
              </w:rPr>
              <w:t>二、人口</w:t>
            </w:r>
          </w:p>
          <w:p>
            <w:pPr>
              <w:widowControl/>
              <w:pBdr>
                <w:bottom w:val="single" w:color="F0F0FF" w:sz="6" w:space="0"/>
              </w:pBdr>
              <w:spacing w:line="360" w:lineRule="auto"/>
              <w:ind w:firstLine="480" w:firstLineChars="200"/>
              <w:rPr>
                <w:sz w:val="24"/>
                <w:szCs w:val="24"/>
              </w:rPr>
            </w:pPr>
            <w:r>
              <w:rPr>
                <w:rFonts w:hint="eastAsia"/>
                <w:sz w:val="24"/>
                <w:szCs w:val="24"/>
              </w:rPr>
              <w:t>全市户籍人口242.9万人，其中农业人口135.8万人，非农人口107.1万人；市区常住人口56.9万人。</w:t>
            </w:r>
          </w:p>
          <w:p>
            <w:pPr>
              <w:widowControl/>
              <w:pBdr>
                <w:bottom w:val="single" w:color="F0F0FF" w:sz="6" w:space="0"/>
              </w:pBdr>
              <w:spacing w:line="360" w:lineRule="auto"/>
              <w:ind w:firstLine="482" w:firstLineChars="200"/>
              <w:rPr>
                <w:b/>
                <w:bCs/>
                <w:sz w:val="24"/>
                <w:szCs w:val="24"/>
              </w:rPr>
            </w:pPr>
            <w:r>
              <w:rPr>
                <w:b/>
                <w:bCs/>
                <w:sz w:val="24"/>
                <w:szCs w:val="24"/>
              </w:rPr>
              <w:t>三、通信</w:t>
            </w:r>
          </w:p>
          <w:p>
            <w:pPr>
              <w:widowControl/>
              <w:pBdr>
                <w:bottom w:val="single" w:color="F0F0FF" w:sz="6" w:space="0"/>
              </w:pBdr>
              <w:spacing w:line="360" w:lineRule="auto"/>
              <w:ind w:firstLine="480" w:firstLineChars="200"/>
              <w:rPr>
                <w:sz w:val="24"/>
                <w:szCs w:val="24"/>
              </w:rPr>
            </w:pPr>
            <w:r>
              <w:rPr>
                <w:sz w:val="24"/>
                <w:szCs w:val="24"/>
              </w:rPr>
              <w:t>全市有电信、移动、联通等电讯公司3家，邮政局1个，开通汽车邮路5条，投递邮路72条，总长4310km。全市固定电话30.03万门，移动通信用户130.12万户，具有功能较齐全的现代化通信网络。</w:t>
            </w:r>
          </w:p>
          <w:p>
            <w:pPr>
              <w:widowControl/>
              <w:pBdr>
                <w:bottom w:val="single" w:color="F0F0FF" w:sz="6" w:space="0"/>
              </w:pBdr>
              <w:spacing w:line="360" w:lineRule="auto"/>
              <w:ind w:firstLine="482" w:firstLineChars="200"/>
              <w:rPr>
                <w:b/>
                <w:bCs/>
                <w:sz w:val="24"/>
                <w:szCs w:val="24"/>
              </w:rPr>
            </w:pPr>
            <w:r>
              <w:rPr>
                <w:b/>
                <w:bCs/>
                <w:sz w:val="24"/>
                <w:szCs w:val="24"/>
              </w:rPr>
              <w:t>四、交通</w:t>
            </w:r>
          </w:p>
          <w:p>
            <w:pPr>
              <w:widowControl/>
              <w:pBdr>
                <w:bottom w:val="single" w:color="F0F0FF" w:sz="6" w:space="0"/>
              </w:pBdr>
              <w:spacing w:line="360" w:lineRule="auto"/>
              <w:ind w:firstLine="480" w:firstLineChars="200"/>
              <w:rPr>
                <w:sz w:val="24"/>
                <w:szCs w:val="24"/>
              </w:rPr>
            </w:pPr>
            <w:r>
              <w:rPr>
                <w:rFonts w:hint="eastAsia"/>
                <w:sz w:val="24"/>
                <w:szCs w:val="24"/>
              </w:rPr>
              <w:t>厦深高速铁路穿境而过，并在市区南部设普宁站，距深圳、厦门两个特区仅两小时车程，每日有98个班次在普宁站停靠，日均旅客出入量30000人次。市区距离揭阳潮汕机场40公里。全市拥有深汕、潮惠、揭惠、汕湛四条过境高速公路，其中揭惠、汕湛两条正在建设中，辖区内计划建成高速公路出入口将达10个。全市公路总里程166.9公里，其中高速公路70.4公里，国道45.1公里，省道101.0公里，县道189.4公里，乡镇村道1702.2公里（普宁大道21.9公里）。形成以市区为中心，高速公路、国道、省道为主轴，县道为基干，水泥公路延伸道各乡镇村庄的交通网络。</w:t>
            </w:r>
          </w:p>
          <w:p>
            <w:pPr>
              <w:widowControl/>
              <w:pBdr>
                <w:bottom w:val="single" w:color="F0F0FF" w:sz="6" w:space="0"/>
              </w:pBdr>
              <w:spacing w:line="360" w:lineRule="auto"/>
              <w:ind w:firstLine="482" w:firstLineChars="200"/>
              <w:rPr>
                <w:b/>
                <w:bCs/>
                <w:sz w:val="24"/>
                <w:szCs w:val="24"/>
              </w:rPr>
            </w:pPr>
            <w:r>
              <w:rPr>
                <w:b/>
                <w:bCs/>
                <w:sz w:val="24"/>
                <w:szCs w:val="24"/>
              </w:rPr>
              <w:t>五、能源</w:t>
            </w:r>
          </w:p>
          <w:p>
            <w:pPr>
              <w:widowControl/>
              <w:pBdr>
                <w:bottom w:val="single" w:color="F0F0FF" w:sz="6" w:space="0"/>
              </w:pBdr>
              <w:spacing w:line="360" w:lineRule="auto"/>
              <w:ind w:firstLine="480" w:firstLineChars="200"/>
              <w:rPr>
                <w:sz w:val="24"/>
                <w:szCs w:val="24"/>
              </w:rPr>
            </w:pPr>
            <w:r>
              <w:rPr>
                <w:sz w:val="24"/>
                <w:szCs w:val="24"/>
              </w:rPr>
              <w:t>全市共有变电站500千伏1座，220千伏4座、110千伏14座，主变总容量</w:t>
            </w:r>
            <w:r>
              <w:rPr>
                <w:rFonts w:hint="eastAsia"/>
                <w:sz w:val="24"/>
                <w:szCs w:val="24"/>
              </w:rPr>
              <w:t>457.2</w:t>
            </w:r>
            <w:r>
              <w:rPr>
                <w:sz w:val="24"/>
                <w:szCs w:val="24"/>
              </w:rPr>
              <w:t>万千伏安；并网小水电13</w:t>
            </w:r>
            <w:r>
              <w:rPr>
                <w:rFonts w:hint="eastAsia"/>
                <w:sz w:val="24"/>
                <w:szCs w:val="24"/>
              </w:rPr>
              <w:t>1</w:t>
            </w:r>
            <w:r>
              <w:rPr>
                <w:sz w:val="24"/>
                <w:szCs w:val="24"/>
              </w:rPr>
              <w:t>宗，总装机容量52</w:t>
            </w:r>
            <w:r>
              <w:rPr>
                <w:rFonts w:hint="eastAsia"/>
                <w:sz w:val="24"/>
                <w:szCs w:val="24"/>
              </w:rPr>
              <w:t>480</w:t>
            </w:r>
            <w:r>
              <w:rPr>
                <w:sz w:val="24"/>
                <w:szCs w:val="24"/>
              </w:rPr>
              <w:t>千瓦，年发电量1</w:t>
            </w:r>
            <w:r>
              <w:rPr>
                <w:rFonts w:hint="eastAsia"/>
                <w:sz w:val="24"/>
                <w:szCs w:val="24"/>
              </w:rPr>
              <w:t>5571</w:t>
            </w:r>
            <w:r>
              <w:rPr>
                <w:sz w:val="24"/>
                <w:szCs w:val="24"/>
              </w:rPr>
              <w:t>万千瓦时；电网覆盖率达100%。</w:t>
            </w:r>
          </w:p>
          <w:p>
            <w:pPr>
              <w:widowControl/>
              <w:pBdr>
                <w:bottom w:val="single" w:color="F0F0FF" w:sz="6" w:space="0"/>
              </w:pBdr>
              <w:spacing w:line="360" w:lineRule="auto"/>
              <w:ind w:firstLine="482" w:firstLineChars="200"/>
              <w:rPr>
                <w:b/>
                <w:bCs/>
                <w:sz w:val="24"/>
                <w:szCs w:val="24"/>
              </w:rPr>
            </w:pPr>
            <w:r>
              <w:rPr>
                <w:b/>
                <w:bCs/>
                <w:sz w:val="24"/>
                <w:szCs w:val="24"/>
              </w:rPr>
              <w:t>六、供水</w:t>
            </w:r>
          </w:p>
          <w:p>
            <w:pPr>
              <w:widowControl/>
              <w:pBdr>
                <w:bottom w:val="single" w:color="F0F0FF" w:sz="6" w:space="0"/>
              </w:pBdr>
              <w:spacing w:line="360" w:lineRule="auto"/>
              <w:ind w:firstLine="480" w:firstLineChars="200"/>
              <w:rPr>
                <w:sz w:val="24"/>
                <w:szCs w:val="24"/>
              </w:rPr>
            </w:pPr>
            <w:r>
              <w:rPr>
                <w:sz w:val="24"/>
                <w:szCs w:val="24"/>
              </w:rPr>
              <w:t>市内有榕江、练江、龙江三大河流，还有32</w:t>
            </w:r>
            <w:r>
              <w:rPr>
                <w:rFonts w:hint="eastAsia"/>
                <w:sz w:val="24"/>
                <w:szCs w:val="24"/>
              </w:rPr>
              <w:t>7</w:t>
            </w:r>
            <w:r>
              <w:rPr>
                <w:sz w:val="24"/>
                <w:szCs w:val="24"/>
              </w:rPr>
              <w:t>宗蓄水项目，有效总库容1.7亿m3。市大中型水厂4座，总制水能力日产3</w:t>
            </w:r>
            <w:r>
              <w:rPr>
                <w:rFonts w:hint="eastAsia"/>
                <w:sz w:val="24"/>
                <w:szCs w:val="24"/>
              </w:rPr>
              <w:t>0.</w:t>
            </w:r>
            <w:r>
              <w:rPr>
                <w:sz w:val="24"/>
                <w:szCs w:val="24"/>
              </w:rPr>
              <w:t>5万吨，供应市区及下架山、军埠、占陇等镇。</w:t>
            </w:r>
          </w:p>
          <w:p>
            <w:pPr>
              <w:widowControl/>
              <w:pBdr>
                <w:bottom w:val="single" w:color="F0F0FF" w:sz="6" w:space="0"/>
              </w:pBdr>
              <w:spacing w:line="360" w:lineRule="auto"/>
              <w:ind w:firstLine="482" w:firstLineChars="200"/>
              <w:rPr>
                <w:b/>
                <w:bCs/>
                <w:sz w:val="24"/>
                <w:szCs w:val="24"/>
              </w:rPr>
            </w:pPr>
            <w:r>
              <w:rPr>
                <w:b/>
                <w:bCs/>
                <w:sz w:val="24"/>
                <w:szCs w:val="24"/>
              </w:rPr>
              <w:t>七、市政</w:t>
            </w:r>
          </w:p>
          <w:p>
            <w:pPr>
              <w:widowControl/>
              <w:pBdr>
                <w:bottom w:val="single" w:color="F0F0FF" w:sz="6" w:space="0"/>
              </w:pBdr>
              <w:spacing w:line="360" w:lineRule="auto"/>
              <w:ind w:firstLine="480" w:firstLineChars="200"/>
              <w:rPr>
                <w:sz w:val="24"/>
                <w:szCs w:val="24"/>
              </w:rPr>
            </w:pPr>
            <w:r>
              <w:rPr>
                <w:rFonts w:hint="eastAsia"/>
                <w:sz w:val="24"/>
                <w:szCs w:val="24"/>
              </w:rPr>
              <w:t>市区规划建成区65.4平方公里，绿化覆盖面积1962公顷，公共绿地面积1845.3公顷，公园15座，面积261.2公顷；大小桥梁55座，排污管道519.7公里。建成庄世平博物馆、普宁广场、东埔环岛“铁山兰”城雕、普宁大道等一批标志性的城市景观。</w:t>
            </w:r>
          </w:p>
          <w:p>
            <w:pPr>
              <w:widowControl/>
              <w:pBdr>
                <w:bottom w:val="single" w:color="F0F0FF" w:sz="6" w:space="0"/>
              </w:pBdr>
              <w:spacing w:line="360" w:lineRule="auto"/>
              <w:ind w:firstLine="482" w:firstLineChars="200"/>
              <w:rPr>
                <w:b/>
                <w:bCs/>
                <w:sz w:val="24"/>
                <w:szCs w:val="24"/>
              </w:rPr>
            </w:pPr>
            <w:r>
              <w:rPr>
                <w:b/>
                <w:bCs/>
                <w:sz w:val="24"/>
                <w:szCs w:val="24"/>
              </w:rPr>
              <w:t>八、服务</w:t>
            </w:r>
          </w:p>
          <w:p>
            <w:pPr>
              <w:widowControl/>
              <w:pBdr>
                <w:bottom w:val="single" w:color="F0F0FF" w:sz="6" w:space="0"/>
              </w:pBdr>
              <w:spacing w:line="360" w:lineRule="auto"/>
              <w:ind w:firstLine="480" w:firstLineChars="200"/>
              <w:rPr>
                <w:sz w:val="24"/>
                <w:szCs w:val="24"/>
              </w:rPr>
            </w:pPr>
            <w:r>
              <w:rPr>
                <w:sz w:val="24"/>
                <w:szCs w:val="24"/>
              </w:rPr>
              <w:t xml:space="preserve">普宁享有相当于地级市的经济管理权限和山区、老区、侨乡等优惠政策。行政服务日趋优良，设立市政行政服务中心，金融服务功能齐全，配套有海关、出入境检验检疫等进出口检验机构，形成了洽谈、审批、引进、商务、报关、生产、运输、管理、结汇、核销一条龙服务体系。市委、市政府还制订了《关于扶持民营经济发展若干措施》、《普宁市引进外商生产性投资项目奖励暂行办法》、《普宁市科技工业园优惠措施》等一系列鼓励发展经济的政策措施。 </w:t>
            </w:r>
          </w:p>
          <w:p>
            <w:pPr>
              <w:widowControl/>
              <w:pBdr>
                <w:bottom w:val="single" w:color="F0F0FF" w:sz="6" w:space="0"/>
              </w:pBdr>
              <w:spacing w:line="360" w:lineRule="auto"/>
              <w:ind w:firstLine="482" w:firstLineChars="200"/>
              <w:rPr>
                <w:b/>
                <w:bCs/>
                <w:sz w:val="24"/>
                <w:szCs w:val="24"/>
              </w:rPr>
            </w:pPr>
            <w:r>
              <w:rPr>
                <w:b/>
                <w:bCs/>
                <w:sz w:val="24"/>
                <w:szCs w:val="24"/>
              </w:rPr>
              <w:t>九、社会文明</w:t>
            </w:r>
          </w:p>
          <w:p>
            <w:pPr>
              <w:widowControl/>
              <w:pBdr>
                <w:bottom w:val="single" w:color="F0F0FF" w:sz="6" w:space="0"/>
              </w:pBdr>
              <w:spacing w:line="360" w:lineRule="auto"/>
              <w:ind w:firstLine="480" w:firstLineChars="200"/>
              <w:rPr>
                <w:sz w:val="24"/>
                <w:szCs w:val="24"/>
              </w:rPr>
            </w:pPr>
            <w:r>
              <w:rPr>
                <w:rFonts w:hint="eastAsia"/>
                <w:sz w:val="24"/>
                <w:szCs w:val="24"/>
              </w:rPr>
              <w:t>普宁是潮汕有名的文化之乡，素有尊师重教的良好风气，人文素质较高。市文化馆、图书馆被文化部评为国家一级馆。全市有各类学校821所，是全国义务教育发展基本均衡市和省教育强市。普宁二中、华侨中学相继被评为国家级示范性普通高中，普宁职校被确定为国家中职教育改革发展示范学校。全市教职工32515人，在校学生47.17万人；扫除青壮年文盲和普及九年制义务教育全面达标。普宁属海陆丰革命老区有“八一馆”、“方方纪念馆”等一大批爱国主义教育基地，“庄世平博物馆”被评为“中国侨联爱国主义教育基地”和“广东统一战线基地”，市区日益净化、绿化、美化，跻身“广东省卫生先进城市”行列，全市有卫生机构860个，医院、卫生院32个，卫生专业技术人员7939人，市人民医院、华侨医院是卫生部评定的“三级甲等医院”。民间文化艺术丰富多彩，被文化部命名为“中国民间文化艺术之乡”；洪阳镇入选广东省历史文化名镇，洪阳德安里、燎原泥沟村被评为“广东省古村落”,虎头埔古窑址申报为省级文物保护单位；普宁英歌、普宁嵌瓷先后入选国家级非物质文化遗产名录，普宁豆酱制作工艺、广东汉乐、贵政山茶叶陶罐制作技艺被定为第三批省级非物质文化遗产名录代表作。普宁是全国体育先进县（市），被命名为“广东省篮球之乡”。</w:t>
            </w:r>
          </w:p>
          <w:p>
            <w:pPr>
              <w:widowControl/>
              <w:pBdr>
                <w:bottom w:val="single" w:color="F0F0FF" w:sz="6" w:space="0"/>
              </w:pBdr>
              <w:spacing w:line="360" w:lineRule="auto"/>
              <w:ind w:firstLine="482" w:firstLineChars="200"/>
              <w:rPr>
                <w:b/>
                <w:bCs/>
                <w:sz w:val="24"/>
                <w:szCs w:val="24"/>
              </w:rPr>
            </w:pPr>
            <w:r>
              <w:rPr>
                <w:b/>
                <w:bCs/>
                <w:sz w:val="24"/>
                <w:szCs w:val="24"/>
              </w:rPr>
              <w:t>十、经济概况</w:t>
            </w:r>
          </w:p>
          <w:p>
            <w:pPr>
              <w:widowControl/>
              <w:pBdr>
                <w:bottom w:val="single" w:color="F0F0FF" w:sz="6" w:space="0"/>
              </w:pBdr>
              <w:spacing w:line="360" w:lineRule="auto"/>
              <w:ind w:firstLine="480" w:firstLineChars="200"/>
              <w:rPr>
                <w:sz w:val="24"/>
                <w:szCs w:val="24"/>
              </w:rPr>
            </w:pPr>
            <w:r>
              <w:rPr>
                <w:sz w:val="24"/>
                <w:szCs w:val="24"/>
              </w:rPr>
              <w:t>普宁是闻名国内外的商贸名城，近年全市经济发展迅猛，中心城区规模不断扩大，区域辐射能力显著提升。2015年，由中国信息通信研究院发布的《2014年中国工业百强县（市）》中，普宁位居第80位，成为广东省唯一入围的县（市）。</w:t>
            </w:r>
          </w:p>
          <w:p>
            <w:pPr>
              <w:widowControl/>
              <w:pBdr>
                <w:bottom w:val="single" w:color="F0F0FF" w:sz="6" w:space="0"/>
              </w:pBdr>
              <w:spacing w:line="360" w:lineRule="auto"/>
              <w:ind w:firstLine="480" w:firstLineChars="200"/>
              <w:rPr>
                <w:sz w:val="24"/>
                <w:szCs w:val="24"/>
              </w:rPr>
            </w:pPr>
            <w:r>
              <w:rPr>
                <w:sz w:val="24"/>
                <w:szCs w:val="24"/>
              </w:rPr>
              <w:t>2016年，全市实现地区生产总值634.7亿元，比2015年增长（下同）6.5%；固定资产投资415.7亿元，增长12.6%；社会消费品零售总额326.2亿元，增长12.2%；纺织服装产业总产值达1066.5亿元，继续成为揭阳首个千亿产业集群；医药产业总产值250亿元，比增20.3%；工业技改投入达182.61亿元，增长34.8%；电子商务争先领跑，全年交易额达361.5亿元，增长36.9%；一般公共预算总库收入52.2亿元，税收收入45.9亿元，分别增长1.4%、1.8%，剔除上缴中央库及省库部分后，地方库收入20.2亿元，税收收入14.1亿元，分别比降0.7%、0.6%；完成出口总额51.47亿元，增长1.1%；实际利用外资1239万美元，增长126.1%。</w:t>
            </w:r>
          </w:p>
          <w:p>
            <w:pPr>
              <w:widowControl/>
              <w:pBdr>
                <w:bottom w:val="single" w:color="F0F0FF" w:sz="6" w:space="0"/>
              </w:pBdr>
              <w:spacing w:line="360" w:lineRule="auto"/>
              <w:ind w:firstLine="482" w:firstLineChars="200"/>
              <w:rPr>
                <w:b/>
                <w:color w:val="7030A0"/>
                <w:sz w:val="24"/>
                <w:szCs w:val="24"/>
              </w:rPr>
            </w:pPr>
            <w:r>
              <w:rPr>
                <w:b/>
                <w:color w:val="7030A0"/>
                <w:sz w:val="24"/>
                <w:szCs w:val="24"/>
              </w:rPr>
              <w:t>十</w:t>
            </w:r>
            <w:r>
              <w:rPr>
                <w:rFonts w:hint="eastAsia"/>
                <w:b/>
                <w:color w:val="7030A0"/>
                <w:sz w:val="24"/>
                <w:szCs w:val="24"/>
                <w:lang w:eastAsia="zh-CN"/>
              </w:rPr>
              <w:t>一</w:t>
            </w:r>
            <w:r>
              <w:rPr>
                <w:b/>
                <w:color w:val="7030A0"/>
                <w:sz w:val="24"/>
                <w:szCs w:val="24"/>
              </w:rPr>
              <w:t>、</w:t>
            </w:r>
            <w:r>
              <w:rPr>
                <w:rFonts w:hint="eastAsia"/>
                <w:b/>
                <w:color w:val="7030A0"/>
                <w:sz w:val="24"/>
                <w:szCs w:val="24"/>
                <w:lang w:eastAsia="zh-CN"/>
              </w:rPr>
              <w:t>垃圾填埋场</w:t>
            </w:r>
            <w:r>
              <w:rPr>
                <w:b/>
                <w:color w:val="7030A0"/>
                <w:sz w:val="24"/>
                <w:szCs w:val="24"/>
              </w:rPr>
              <w:t>概况</w:t>
            </w:r>
          </w:p>
          <w:p>
            <w:pPr>
              <w:widowControl/>
              <w:pBdr>
                <w:bottom w:val="single" w:color="F0F0FF" w:sz="6" w:space="0"/>
              </w:pBdr>
              <w:spacing w:line="360" w:lineRule="auto"/>
              <w:ind w:firstLine="480" w:firstLineChars="200"/>
              <w:rPr>
                <w:rFonts w:hint="eastAsia"/>
                <w:color w:val="7030A0"/>
                <w:sz w:val="24"/>
                <w:szCs w:val="24"/>
              </w:rPr>
            </w:pPr>
            <w:r>
              <w:rPr>
                <w:rFonts w:hint="eastAsia"/>
                <w:color w:val="7030A0"/>
                <w:sz w:val="24"/>
                <w:szCs w:val="24"/>
              </w:rPr>
              <w:t>普宁市垃圾填埋场位于普宁市云落镇红桥山，距市区中心18km。该垃圾填埋场占山地面积658亩，于2001年11月建成并投入使用，预计使用年限为20年，目前，该场日处理生活垃圾量约420吨，主要收集处理普宁市区的生活垃圾。</w:t>
            </w:r>
          </w:p>
          <w:p>
            <w:pPr>
              <w:widowControl/>
              <w:pBdr>
                <w:bottom w:val="single" w:color="F0F0FF" w:sz="6" w:space="0"/>
              </w:pBdr>
              <w:spacing w:line="360" w:lineRule="auto"/>
              <w:ind w:firstLine="480" w:firstLineChars="200"/>
            </w:pPr>
            <w:r>
              <w:rPr>
                <w:rFonts w:hint="eastAsia"/>
                <w:color w:val="7030A0"/>
                <w:sz w:val="24"/>
                <w:szCs w:val="24"/>
              </w:rPr>
              <w:t>普宁市生活垃圾环保处理中心作为练江流域综合整治的重要环保项目，是广东省政府民生工程、重点项目之一。选址于广东省揭阳市普宁市云落镇云楼村后山地，项目建设规模为日处理生活垃圾800吨，规划占地100.64亩，配置2台400吨/天机械炉排焚烧炉和1台15兆瓦凝汽式汽轮发电机组， 总投资约3.9亿元。2018年9月30日，该项目焚烧系统烘煮炉正式点火启动，意味着从设计到实施建设历时近18个月的普宁市首个生活垃圾处理项目工程进入设备联动调试阶段。</w:t>
            </w:r>
            <w:r>
              <w:rPr>
                <w:rFonts w:hint="eastAsia"/>
                <w:color w:val="00B050"/>
                <w:sz w:val="24"/>
                <w:szCs w:val="24"/>
              </w:rPr>
              <w:t> 该项目于2018年12月30日全面建成</w:t>
            </w:r>
            <w:r>
              <w:rPr>
                <w:rFonts w:hint="eastAsia"/>
                <w:color w:val="7030A0"/>
                <w:sz w:val="24"/>
                <w:szCs w:val="24"/>
              </w:rPr>
              <w:t>。该项目的建成，实现无害化、减量化和资源化，不仅对改善普宁市人民的宜居环境起到非常重要的作用。也对扎实推进练江流域综合整治，改善生态环境，保障经济社会可持续发展将发挥作用。</w:t>
            </w:r>
          </w:p>
        </w:tc>
      </w:tr>
    </w:tbl>
    <w:p>
      <w:pPr>
        <w:spacing w:line="300" w:lineRule="auto"/>
        <w:ind w:firstLine="454"/>
        <w:rPr>
          <w:color w:val="auto"/>
          <w:sz w:val="28"/>
        </w:rPr>
        <w:sectPr>
          <w:pgSz w:w="11907" w:h="16840"/>
          <w:pgMar w:top="1304" w:right="1134" w:bottom="1134" w:left="1304" w:header="964" w:footer="964" w:gutter="0"/>
          <w:pgBorders>
            <w:top w:val="none" w:sz="0" w:space="0"/>
            <w:left w:val="none" w:sz="0" w:space="0"/>
            <w:bottom w:val="none" w:sz="0" w:space="0"/>
            <w:right w:val="none" w:sz="0" w:space="0"/>
          </w:pgBorders>
          <w:cols w:space="720" w:num="1"/>
          <w:docGrid w:type="lines" w:linePitch="334" w:charSpace="6716"/>
        </w:sectPr>
      </w:pPr>
    </w:p>
    <w:p>
      <w:pPr>
        <w:pStyle w:val="3"/>
        <w:jc w:val="left"/>
        <w:rPr>
          <w:b/>
          <w:bCs/>
          <w:color w:val="auto"/>
          <w:szCs w:val="28"/>
        </w:rPr>
      </w:pPr>
      <w:r>
        <w:rPr>
          <w:b/>
          <w:bCs/>
          <w:color w:val="auto"/>
          <w:szCs w:val="28"/>
        </w:rPr>
        <w:t>环境质量状况</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984" w:hRule="atLeast"/>
        </w:trPr>
        <w:tc>
          <w:tcPr>
            <w:tcW w:w="9571" w:type="dxa"/>
            <w:tcBorders>
              <w:bottom w:val="single" w:color="auto" w:sz="4" w:space="0"/>
            </w:tcBorders>
          </w:tcPr>
          <w:p>
            <w:pPr>
              <w:spacing w:before="100" w:beforeAutospacing="1" w:line="360" w:lineRule="auto"/>
              <w:rPr>
                <w:b/>
                <w:color w:val="auto"/>
                <w:sz w:val="28"/>
              </w:rPr>
            </w:pPr>
            <w:r>
              <w:rPr>
                <w:b/>
                <w:color w:val="auto"/>
                <w:sz w:val="28"/>
              </w:rPr>
              <w:t>建设项目所在地区域环境现状及主要环境问题：</w:t>
            </w:r>
          </w:p>
          <w:p>
            <w:pPr>
              <w:pStyle w:val="46"/>
              <w:adjustRightInd w:val="0"/>
              <w:snapToGrid/>
              <w:ind w:firstLine="480" w:firstLineChars="200"/>
              <w:rPr>
                <w:rFonts w:ascii="Times New Roman" w:eastAsia="黑体"/>
                <w:bCs w:val="0"/>
                <w:color w:val="auto"/>
              </w:rPr>
            </w:pPr>
            <w:r>
              <w:rPr>
                <w:rFonts w:ascii="Times New Roman"/>
                <w:color w:val="auto"/>
                <w:szCs w:val="21"/>
              </w:rPr>
              <w:t>项目所在地环境功能属性如下表3-1所列：</w:t>
            </w:r>
          </w:p>
          <w:p>
            <w:pPr>
              <w:widowControl/>
              <w:tabs>
                <w:tab w:val="left" w:pos="945"/>
              </w:tabs>
              <w:autoSpaceDE w:val="0"/>
              <w:autoSpaceDN w:val="0"/>
              <w:jc w:val="center"/>
              <w:rPr>
                <w:b/>
                <w:color w:val="auto"/>
                <w:sz w:val="24"/>
              </w:rPr>
            </w:pPr>
            <w:r>
              <w:rPr>
                <w:b/>
                <w:color w:val="auto"/>
                <w:sz w:val="24"/>
              </w:rPr>
              <w:t>表3-1   建设项目所在地环境功能属性表</w:t>
            </w:r>
          </w:p>
          <w:tbl>
            <w:tblPr>
              <w:tblStyle w:val="31"/>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3543"/>
              <w:gridCol w:w="4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b/>
                      <w:color w:val="auto"/>
                      <w:szCs w:val="21"/>
                    </w:rPr>
                  </w:pPr>
                  <w:r>
                    <w:rPr>
                      <w:b/>
                      <w:color w:val="auto"/>
                      <w:szCs w:val="21"/>
                    </w:rPr>
                    <w:t>编号</w:t>
                  </w:r>
                </w:p>
              </w:tc>
              <w:tc>
                <w:tcPr>
                  <w:tcW w:w="3543" w:type="dxa"/>
                  <w:vAlign w:val="center"/>
                </w:tcPr>
                <w:p>
                  <w:pPr>
                    <w:pStyle w:val="60"/>
                    <w:jc w:val="center"/>
                    <w:rPr>
                      <w:rFonts w:ascii="Times New Roman" w:hAnsi="Times New Roman"/>
                      <w:b/>
                      <w:color w:val="auto"/>
                      <w:kern w:val="2"/>
                      <w:sz w:val="21"/>
                      <w:szCs w:val="21"/>
                    </w:rPr>
                  </w:pPr>
                  <w:r>
                    <w:rPr>
                      <w:rFonts w:ascii="Times New Roman" w:hAnsi="Times New Roman"/>
                      <w:b/>
                      <w:color w:val="auto"/>
                      <w:kern w:val="2"/>
                      <w:sz w:val="21"/>
                      <w:szCs w:val="21"/>
                    </w:rPr>
                    <w:t>项       目</w:t>
                  </w:r>
                </w:p>
              </w:tc>
              <w:tc>
                <w:tcPr>
                  <w:tcW w:w="4662" w:type="dxa"/>
                  <w:vAlign w:val="center"/>
                </w:tcPr>
                <w:p>
                  <w:pPr>
                    <w:pStyle w:val="60"/>
                    <w:ind w:firstLine="422"/>
                    <w:rPr>
                      <w:rFonts w:ascii="Times New Roman" w:hAnsi="Times New Roman"/>
                      <w:b/>
                      <w:color w:val="auto"/>
                      <w:kern w:val="2"/>
                      <w:sz w:val="21"/>
                      <w:szCs w:val="21"/>
                    </w:rPr>
                  </w:pPr>
                  <w:r>
                    <w:rPr>
                      <w:rFonts w:ascii="Times New Roman" w:hAnsi="Times New Roman"/>
                      <w:b/>
                      <w:color w:val="auto"/>
                      <w:kern w:val="2"/>
                      <w:sz w:val="21"/>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color w:val="auto"/>
                      <w:szCs w:val="21"/>
                    </w:rPr>
                  </w:pPr>
                  <w:r>
                    <w:rPr>
                      <w:color w:val="auto"/>
                      <w:szCs w:val="21"/>
                    </w:rPr>
                    <w:t>1</w:t>
                  </w:r>
                </w:p>
              </w:tc>
              <w:tc>
                <w:tcPr>
                  <w:tcW w:w="3543" w:type="dxa"/>
                  <w:vAlign w:val="center"/>
                </w:tcPr>
                <w:p>
                  <w:pPr>
                    <w:pStyle w:val="60"/>
                    <w:rPr>
                      <w:rFonts w:ascii="Times New Roman" w:hAnsi="Times New Roman"/>
                      <w:color w:val="auto"/>
                      <w:kern w:val="2"/>
                      <w:sz w:val="21"/>
                      <w:szCs w:val="21"/>
                    </w:rPr>
                  </w:pPr>
                  <w:r>
                    <w:rPr>
                      <w:rFonts w:hint="eastAsia" w:ascii="Times New Roman" w:hAnsi="Times New Roman"/>
                      <w:color w:val="auto"/>
                      <w:kern w:val="2"/>
                      <w:sz w:val="21"/>
                      <w:szCs w:val="21"/>
                      <w:lang w:eastAsia="zh-CN"/>
                    </w:rPr>
                    <w:t>地表</w:t>
                  </w:r>
                  <w:r>
                    <w:rPr>
                      <w:rFonts w:ascii="Times New Roman" w:hAnsi="Times New Roman"/>
                      <w:color w:val="auto"/>
                      <w:kern w:val="2"/>
                      <w:sz w:val="21"/>
                      <w:szCs w:val="21"/>
                    </w:rPr>
                    <w:t>水环境功能区</w:t>
                  </w:r>
                </w:p>
              </w:tc>
              <w:tc>
                <w:tcPr>
                  <w:tcW w:w="4662" w:type="dxa"/>
                  <w:vAlign w:val="center"/>
                </w:tcPr>
                <w:p>
                  <w:pPr>
                    <w:pStyle w:val="60"/>
                    <w:rPr>
                      <w:rFonts w:ascii="Times New Roman" w:hAnsi="Times New Roman"/>
                      <w:color w:val="auto"/>
                      <w:kern w:val="2"/>
                      <w:sz w:val="21"/>
                      <w:szCs w:val="21"/>
                      <w:highlight w:val="green"/>
                    </w:rPr>
                  </w:pPr>
                  <w:r>
                    <w:rPr>
                      <w:rFonts w:hint="eastAsia" w:ascii="Times New Roman" w:hAnsi="Times New Roman" w:cs="Times New Roman"/>
                      <w:bCs/>
                      <w:color w:val="auto"/>
                      <w:spacing w:val="8"/>
                      <w:sz w:val="21"/>
                      <w:szCs w:val="21"/>
                      <w:lang w:eastAsia="zh-CN"/>
                    </w:rPr>
                    <w:t>项目附近水体为引榕总干渠</w:t>
                  </w:r>
                  <w:r>
                    <w:rPr>
                      <w:rFonts w:hint="default" w:ascii="Times New Roman" w:hAnsi="Times New Roman" w:cs="Times New Roman"/>
                      <w:bCs/>
                      <w:color w:val="auto"/>
                      <w:spacing w:val="8"/>
                      <w:sz w:val="21"/>
                      <w:szCs w:val="21"/>
                    </w:rPr>
                    <w:t>，主要功能为工农业用水、灌溉用水和排水，下游汇入练江，执行《地表水环境质量标准》（GB3838-2002）中的</w:t>
                  </w:r>
                  <w:r>
                    <w:rPr>
                      <w:rFonts w:hint="default" w:ascii="Times New Roman" w:hAnsi="Times New Roman" w:cs="Times New Roman"/>
                      <w:bCs/>
                      <w:color w:val="auto"/>
                      <w:spacing w:val="8"/>
                      <w:sz w:val="21"/>
                      <w:szCs w:val="21"/>
                    </w:rPr>
                    <w:fldChar w:fldCharType="begin"/>
                  </w:r>
                  <w:r>
                    <w:rPr>
                      <w:rFonts w:hint="default" w:ascii="Times New Roman" w:hAnsi="Times New Roman" w:cs="Times New Roman"/>
                      <w:bCs/>
                      <w:color w:val="auto"/>
                      <w:spacing w:val="8"/>
                      <w:sz w:val="21"/>
                      <w:szCs w:val="21"/>
                    </w:rPr>
                    <w:instrText xml:space="preserve"> = 3 \* ROMAN </w:instrText>
                  </w:r>
                  <w:r>
                    <w:rPr>
                      <w:rFonts w:hint="default" w:ascii="Times New Roman" w:hAnsi="Times New Roman" w:cs="Times New Roman"/>
                      <w:bCs/>
                      <w:color w:val="auto"/>
                      <w:spacing w:val="8"/>
                      <w:sz w:val="21"/>
                      <w:szCs w:val="21"/>
                    </w:rPr>
                    <w:fldChar w:fldCharType="separate"/>
                  </w:r>
                  <w:r>
                    <w:rPr>
                      <w:rFonts w:hint="default" w:ascii="Times New Roman" w:hAnsi="Times New Roman" w:cs="Times New Roman"/>
                      <w:color w:val="auto"/>
                      <w:sz w:val="24"/>
                      <w:szCs w:val="22"/>
                    </w:rPr>
                    <w:t>V</w:t>
                  </w:r>
                  <w:r>
                    <w:rPr>
                      <w:rFonts w:hint="default" w:ascii="Times New Roman" w:hAnsi="Times New Roman" w:cs="Times New Roman"/>
                      <w:bCs/>
                      <w:color w:val="auto"/>
                      <w:spacing w:val="8"/>
                      <w:sz w:val="21"/>
                      <w:szCs w:val="21"/>
                    </w:rPr>
                    <w:fldChar w:fldCharType="end"/>
                  </w:r>
                  <w:r>
                    <w:rPr>
                      <w:rFonts w:hint="default" w:ascii="Times New Roman" w:hAnsi="Times New Roman" w:cs="Times New Roman"/>
                      <w:bCs/>
                      <w:color w:val="auto"/>
                      <w:spacing w:val="8"/>
                      <w:sz w:val="21"/>
                      <w:szCs w:val="21"/>
                      <w:lang w:eastAsia="zh-CN"/>
                    </w:rPr>
                    <w:t>类</w:t>
                  </w:r>
                  <w:r>
                    <w:rPr>
                      <w:rFonts w:hint="default" w:ascii="Times New Roman" w:hAnsi="Times New Roman" w:cs="Times New Roman"/>
                      <w:bCs/>
                      <w:color w:val="auto"/>
                      <w:spacing w:val="8"/>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856" w:type="dxa"/>
                  <w:vAlign w:val="center"/>
                </w:tcPr>
                <w:p>
                  <w:pPr>
                    <w:ind w:right="-3"/>
                    <w:jc w:val="center"/>
                    <w:rPr>
                      <w:color w:val="auto"/>
                      <w:szCs w:val="21"/>
                    </w:rPr>
                  </w:pPr>
                  <w:r>
                    <w:rPr>
                      <w:color w:val="auto"/>
                      <w:szCs w:val="21"/>
                    </w:rPr>
                    <w:t>2</w:t>
                  </w:r>
                </w:p>
              </w:tc>
              <w:tc>
                <w:tcPr>
                  <w:tcW w:w="3543"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环境空气功能区</w:t>
                  </w:r>
                </w:p>
              </w:tc>
              <w:tc>
                <w:tcPr>
                  <w:tcW w:w="4662"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属二类区域，执行《环境空气质量标准》（GB3095-2012）</w:t>
                  </w:r>
                  <w:r>
                    <w:rPr>
                      <w:rFonts w:hint="eastAsia" w:ascii="Times New Roman" w:hAnsi="Times New Roman"/>
                      <w:color w:val="auto"/>
                      <w:kern w:val="2"/>
                      <w:sz w:val="21"/>
                      <w:szCs w:val="21"/>
                      <w:lang w:eastAsia="zh-CN"/>
                    </w:rPr>
                    <w:t>及</w:t>
                  </w:r>
                  <w:r>
                    <w:rPr>
                      <w:rFonts w:hint="eastAsia" w:ascii="Times New Roman" w:hAnsi="Times New Roman"/>
                      <w:color w:val="FF0000"/>
                      <w:kern w:val="2"/>
                      <w:sz w:val="21"/>
                      <w:szCs w:val="21"/>
                      <w:lang w:val="en-US" w:eastAsia="zh-CN"/>
                    </w:rPr>
                    <w:t>2018年修改单</w:t>
                  </w:r>
                  <w:r>
                    <w:rPr>
                      <w:rFonts w:ascii="Times New Roman" w:hAnsi="Times New Roman"/>
                      <w:color w:val="auto"/>
                      <w:kern w:val="2"/>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856" w:type="dxa"/>
                  <w:vAlign w:val="center"/>
                </w:tcPr>
                <w:p>
                  <w:pPr>
                    <w:ind w:right="-3"/>
                    <w:jc w:val="center"/>
                    <w:rPr>
                      <w:color w:val="auto"/>
                      <w:szCs w:val="21"/>
                    </w:rPr>
                  </w:pPr>
                  <w:r>
                    <w:rPr>
                      <w:color w:val="auto"/>
                      <w:szCs w:val="21"/>
                    </w:rPr>
                    <w:t>3</w:t>
                  </w:r>
                </w:p>
              </w:tc>
              <w:tc>
                <w:tcPr>
                  <w:tcW w:w="3543"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环境噪声功能区</w:t>
                  </w:r>
                </w:p>
              </w:tc>
              <w:tc>
                <w:tcPr>
                  <w:tcW w:w="4662"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属2类区域，执行《声环境质量标准》（GB3096-2008）2类标准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color w:val="auto"/>
                      <w:szCs w:val="21"/>
                    </w:rPr>
                  </w:pPr>
                  <w:r>
                    <w:rPr>
                      <w:color w:val="auto"/>
                      <w:szCs w:val="21"/>
                    </w:rPr>
                    <w:t>4</w:t>
                  </w:r>
                </w:p>
              </w:tc>
              <w:tc>
                <w:tcPr>
                  <w:tcW w:w="3543"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基本农田保护区</w:t>
                  </w:r>
                </w:p>
              </w:tc>
              <w:tc>
                <w:tcPr>
                  <w:tcW w:w="4662" w:type="dxa"/>
                  <w:vAlign w:val="center"/>
                </w:tcPr>
                <w:p>
                  <w:pPr>
                    <w:pStyle w:val="60"/>
                    <w:snapToGrid w:val="0"/>
                    <w:rPr>
                      <w:rFonts w:ascii="Times New Roman" w:hAnsi="Times New Roman"/>
                      <w:color w:val="auto"/>
                      <w:kern w:val="2"/>
                      <w:sz w:val="21"/>
                      <w:szCs w:val="21"/>
                    </w:rPr>
                  </w:pPr>
                  <w:r>
                    <w:rPr>
                      <w:rFonts w:ascii="Times New Roman" w:hAnsi="Times New Roman"/>
                      <w:color w:val="auto"/>
                      <w:kern w:val="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color w:val="auto"/>
                      <w:szCs w:val="21"/>
                    </w:rPr>
                  </w:pPr>
                  <w:r>
                    <w:rPr>
                      <w:color w:val="auto"/>
                      <w:szCs w:val="21"/>
                    </w:rPr>
                    <w:t>5</w:t>
                  </w:r>
                </w:p>
              </w:tc>
              <w:tc>
                <w:tcPr>
                  <w:tcW w:w="3543"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风景名胜保护区</w:t>
                  </w:r>
                </w:p>
              </w:tc>
              <w:tc>
                <w:tcPr>
                  <w:tcW w:w="4662" w:type="dxa"/>
                  <w:vAlign w:val="center"/>
                </w:tcPr>
                <w:p>
                  <w:pPr>
                    <w:adjustRightInd w:val="0"/>
                    <w:snapToGrid w:val="0"/>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color w:val="auto"/>
                      <w:szCs w:val="21"/>
                    </w:rPr>
                  </w:pPr>
                  <w:r>
                    <w:rPr>
                      <w:color w:val="auto"/>
                      <w:szCs w:val="21"/>
                    </w:rPr>
                    <w:t>6</w:t>
                  </w:r>
                </w:p>
              </w:tc>
              <w:tc>
                <w:tcPr>
                  <w:tcW w:w="3543"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水库库区</w:t>
                  </w:r>
                </w:p>
              </w:tc>
              <w:tc>
                <w:tcPr>
                  <w:tcW w:w="4662" w:type="dxa"/>
                  <w:vAlign w:val="center"/>
                </w:tcPr>
                <w:p>
                  <w:pPr>
                    <w:adjustRightInd w:val="0"/>
                    <w:snapToGrid w:val="0"/>
                    <w:jc w:val="center"/>
                    <w:rPr>
                      <w:rFonts w:hint="eastAsia" w:eastAsia="宋体"/>
                      <w:color w:val="auto"/>
                      <w:szCs w:val="21"/>
                      <w:lang w:eastAsia="zh-CN"/>
                    </w:rPr>
                  </w:pPr>
                  <w:r>
                    <w:rPr>
                      <w:rFonts w:hint="eastAsia"/>
                      <w:color w:val="auto"/>
                      <w:szCs w:val="21"/>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6" w:type="dxa"/>
                  <w:vAlign w:val="center"/>
                </w:tcPr>
                <w:p>
                  <w:pPr>
                    <w:ind w:right="-3"/>
                    <w:jc w:val="center"/>
                    <w:rPr>
                      <w:color w:val="auto"/>
                      <w:szCs w:val="21"/>
                    </w:rPr>
                  </w:pPr>
                  <w:r>
                    <w:rPr>
                      <w:color w:val="auto"/>
                      <w:szCs w:val="21"/>
                    </w:rPr>
                    <w:t>7</w:t>
                  </w:r>
                </w:p>
              </w:tc>
              <w:tc>
                <w:tcPr>
                  <w:tcW w:w="3543" w:type="dxa"/>
                  <w:vAlign w:val="center"/>
                </w:tcPr>
                <w:p>
                  <w:pPr>
                    <w:pStyle w:val="60"/>
                    <w:rPr>
                      <w:rFonts w:ascii="Times New Roman" w:hAnsi="Times New Roman"/>
                      <w:color w:val="auto"/>
                      <w:kern w:val="2"/>
                      <w:sz w:val="21"/>
                      <w:szCs w:val="21"/>
                    </w:rPr>
                  </w:pPr>
                  <w:r>
                    <w:rPr>
                      <w:rFonts w:ascii="Times New Roman" w:hAnsi="Times New Roman"/>
                      <w:color w:val="auto"/>
                      <w:kern w:val="2"/>
                      <w:sz w:val="21"/>
                      <w:szCs w:val="21"/>
                    </w:rPr>
                    <w:t>城市污水处理厂集水范围</w:t>
                  </w:r>
                </w:p>
              </w:tc>
              <w:tc>
                <w:tcPr>
                  <w:tcW w:w="4662" w:type="dxa"/>
                  <w:vAlign w:val="center"/>
                </w:tcPr>
                <w:p>
                  <w:pPr>
                    <w:adjustRightInd w:val="0"/>
                    <w:snapToGrid w:val="0"/>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56" w:type="dxa"/>
                  <w:vAlign w:val="center"/>
                </w:tcPr>
                <w:p>
                  <w:pPr>
                    <w:ind w:right="-3"/>
                    <w:jc w:val="center"/>
                    <w:rPr>
                      <w:color w:val="auto"/>
                      <w:szCs w:val="21"/>
                    </w:rPr>
                  </w:pPr>
                  <w:r>
                    <w:rPr>
                      <w:color w:val="auto"/>
                      <w:szCs w:val="21"/>
                    </w:rPr>
                    <w:t>8</w:t>
                  </w:r>
                </w:p>
              </w:tc>
              <w:tc>
                <w:tcPr>
                  <w:tcW w:w="3543" w:type="dxa"/>
                  <w:vAlign w:val="center"/>
                </w:tcPr>
                <w:p>
                  <w:pPr>
                    <w:jc w:val="center"/>
                    <w:rPr>
                      <w:color w:val="auto"/>
                      <w:szCs w:val="21"/>
                    </w:rPr>
                  </w:pPr>
                  <w:r>
                    <w:rPr>
                      <w:color w:val="auto"/>
                      <w:szCs w:val="21"/>
                    </w:rPr>
                    <w:t>是否属煤气管道范围</w:t>
                  </w:r>
                </w:p>
              </w:tc>
              <w:tc>
                <w:tcPr>
                  <w:tcW w:w="4662" w:type="dxa"/>
                  <w:vAlign w:val="center"/>
                </w:tcPr>
                <w:p>
                  <w:pPr>
                    <w:adjustRightInd w:val="0"/>
                    <w:snapToGrid w:val="0"/>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 w:hRule="atLeast"/>
                <w:jc w:val="center"/>
              </w:trPr>
              <w:tc>
                <w:tcPr>
                  <w:tcW w:w="856" w:type="dxa"/>
                  <w:vAlign w:val="center"/>
                </w:tcPr>
                <w:p>
                  <w:pPr>
                    <w:ind w:right="-3"/>
                    <w:jc w:val="center"/>
                    <w:rPr>
                      <w:color w:val="auto"/>
                      <w:szCs w:val="21"/>
                    </w:rPr>
                  </w:pPr>
                  <w:r>
                    <w:rPr>
                      <w:color w:val="auto"/>
                      <w:szCs w:val="21"/>
                    </w:rPr>
                    <w:t>9</w:t>
                  </w:r>
                </w:p>
              </w:tc>
              <w:tc>
                <w:tcPr>
                  <w:tcW w:w="3543" w:type="dxa"/>
                  <w:vAlign w:val="center"/>
                </w:tcPr>
                <w:p>
                  <w:pPr>
                    <w:jc w:val="center"/>
                    <w:rPr>
                      <w:color w:val="auto"/>
                      <w:szCs w:val="21"/>
                    </w:rPr>
                  </w:pPr>
                  <w:r>
                    <w:rPr>
                      <w:color w:val="auto"/>
                      <w:szCs w:val="21"/>
                    </w:rPr>
                    <w:t>是否环境敏感区</w:t>
                  </w:r>
                </w:p>
              </w:tc>
              <w:tc>
                <w:tcPr>
                  <w:tcW w:w="4662" w:type="dxa"/>
                  <w:vAlign w:val="center"/>
                </w:tcPr>
                <w:p>
                  <w:pPr>
                    <w:adjustRightInd w:val="0"/>
                    <w:snapToGrid w:val="0"/>
                    <w:jc w:val="center"/>
                    <w:rPr>
                      <w:color w:val="auto"/>
                      <w:szCs w:val="21"/>
                    </w:rPr>
                  </w:pPr>
                  <w:r>
                    <w:rPr>
                      <w:color w:val="auto"/>
                      <w:szCs w:val="21"/>
                    </w:rPr>
                    <w:t>否</w:t>
                  </w:r>
                </w:p>
              </w:tc>
            </w:tr>
          </w:tbl>
          <w:p>
            <w:pPr>
              <w:pStyle w:val="46"/>
              <w:adjustRightInd w:val="0"/>
              <w:snapToGrid/>
              <w:ind w:firstLine="482" w:firstLineChars="200"/>
              <w:rPr>
                <w:rFonts w:ascii="Times New Roman"/>
                <w:b/>
                <w:color w:val="auto"/>
                <w:szCs w:val="21"/>
                <w:highlight w:val="none"/>
              </w:rPr>
            </w:pPr>
            <w:r>
              <w:rPr>
                <w:rFonts w:ascii="Times New Roman"/>
                <w:b/>
                <w:color w:val="auto"/>
                <w:szCs w:val="21"/>
                <w:highlight w:val="none"/>
              </w:rPr>
              <w:t>一、环境空气质量现状</w:t>
            </w:r>
          </w:p>
          <w:p>
            <w:pPr>
              <w:pStyle w:val="46"/>
              <w:adjustRightInd w:val="0"/>
              <w:snapToGrid/>
              <w:ind w:firstLine="480" w:firstLineChars="200"/>
              <w:rPr>
                <w:rFonts w:ascii="Times New Roman"/>
                <w:color w:val="auto"/>
                <w:szCs w:val="21"/>
              </w:rPr>
            </w:pPr>
            <w:r>
              <w:rPr>
                <w:rFonts w:ascii="Times New Roman"/>
                <w:color w:val="auto"/>
                <w:szCs w:val="21"/>
              </w:rPr>
              <w:t>项目位于</w:t>
            </w:r>
            <w:r>
              <w:rPr>
                <w:rFonts w:hint="eastAsia" w:ascii="Times New Roman"/>
                <w:color w:val="auto"/>
                <w:szCs w:val="21"/>
                <w:lang w:eastAsia="zh-CN"/>
              </w:rPr>
              <w:t>普宁市梅塘镇新光村镇政府西侧</w:t>
            </w:r>
            <w:r>
              <w:rPr>
                <w:rFonts w:ascii="Times New Roman"/>
                <w:color w:val="auto"/>
                <w:szCs w:val="21"/>
              </w:rPr>
              <w:t>，根据</w:t>
            </w:r>
            <w:r>
              <w:rPr>
                <w:rFonts w:hint="default" w:ascii="Times New Roman"/>
                <w:color w:val="auto"/>
                <w:szCs w:val="21"/>
              </w:rPr>
              <w:t>深圳市清华环科检测技术有限公司</w:t>
            </w:r>
            <w:r>
              <w:rPr>
                <w:rFonts w:ascii="Times New Roman"/>
                <w:color w:val="auto"/>
                <w:szCs w:val="21"/>
              </w:rPr>
              <w:t>于201</w:t>
            </w:r>
            <w:r>
              <w:rPr>
                <w:rFonts w:hint="eastAsia" w:ascii="Times New Roman"/>
                <w:color w:val="auto"/>
                <w:szCs w:val="21"/>
                <w:lang w:val="en-US" w:eastAsia="zh-CN"/>
              </w:rPr>
              <w:t>9</w:t>
            </w:r>
            <w:r>
              <w:rPr>
                <w:rFonts w:ascii="Times New Roman"/>
                <w:color w:val="auto"/>
                <w:szCs w:val="21"/>
              </w:rPr>
              <w:t>年</w:t>
            </w:r>
            <w:r>
              <w:rPr>
                <w:rFonts w:hint="eastAsia" w:ascii="Times New Roman"/>
                <w:color w:val="auto"/>
                <w:szCs w:val="21"/>
                <w:lang w:val="en-US" w:eastAsia="zh-CN"/>
              </w:rPr>
              <w:t>3</w:t>
            </w:r>
            <w:r>
              <w:rPr>
                <w:rFonts w:ascii="Times New Roman"/>
                <w:color w:val="auto"/>
                <w:szCs w:val="21"/>
              </w:rPr>
              <w:t>月</w:t>
            </w:r>
            <w:r>
              <w:rPr>
                <w:rFonts w:hint="eastAsia" w:ascii="Times New Roman"/>
                <w:color w:val="auto"/>
                <w:szCs w:val="21"/>
                <w:lang w:val="en-US" w:eastAsia="zh-CN"/>
              </w:rPr>
              <w:t>4</w:t>
            </w:r>
            <w:r>
              <w:rPr>
                <w:rFonts w:ascii="Times New Roman"/>
                <w:color w:val="auto"/>
                <w:szCs w:val="21"/>
              </w:rPr>
              <w:t>－</w:t>
            </w:r>
            <w:r>
              <w:rPr>
                <w:rFonts w:hint="eastAsia" w:ascii="Times New Roman"/>
                <w:color w:val="auto"/>
                <w:szCs w:val="21"/>
                <w:lang w:val="en-US" w:eastAsia="zh-CN"/>
              </w:rPr>
              <w:t>6</w:t>
            </w:r>
            <w:r>
              <w:rPr>
                <w:rFonts w:ascii="Times New Roman"/>
                <w:color w:val="auto"/>
                <w:szCs w:val="21"/>
              </w:rPr>
              <w:t>日对项目所在地进行现场实测，</w:t>
            </w:r>
            <w:r>
              <w:rPr>
                <w:rFonts w:hint="eastAsia" w:ascii="Times New Roman"/>
                <w:color w:val="auto"/>
                <w:szCs w:val="21"/>
              </w:rPr>
              <w:t>监测点位示意图见附图</w:t>
            </w:r>
            <w:r>
              <w:rPr>
                <w:rFonts w:hint="eastAsia" w:ascii="Times New Roman"/>
                <w:color w:val="auto"/>
                <w:szCs w:val="21"/>
                <w:lang w:val="en-US" w:eastAsia="zh-CN"/>
              </w:rPr>
              <w:t>11</w:t>
            </w:r>
            <w:r>
              <w:rPr>
                <w:rFonts w:hint="eastAsia" w:ascii="Times New Roman"/>
                <w:color w:val="auto"/>
                <w:szCs w:val="21"/>
              </w:rPr>
              <w:t>，</w:t>
            </w:r>
            <w:r>
              <w:rPr>
                <w:rFonts w:ascii="Times New Roman"/>
                <w:color w:val="auto"/>
                <w:szCs w:val="21"/>
              </w:rPr>
              <w:t>监测结果如下表3-2：</w:t>
            </w:r>
          </w:p>
          <w:p>
            <w:pPr>
              <w:widowControl/>
              <w:tabs>
                <w:tab w:val="left" w:pos="945"/>
              </w:tabs>
              <w:autoSpaceDE w:val="0"/>
              <w:autoSpaceDN w:val="0"/>
              <w:jc w:val="center"/>
              <w:rPr>
                <w:b/>
                <w:color w:val="auto"/>
                <w:sz w:val="24"/>
              </w:rPr>
            </w:pPr>
            <w:r>
              <w:rPr>
                <w:b/>
                <w:color w:val="auto"/>
                <w:sz w:val="24"/>
              </w:rPr>
              <w:t>表3-2  空气环境质量现状表</w:t>
            </w:r>
          </w:p>
          <w:tbl>
            <w:tblPr>
              <w:tblStyle w:val="32"/>
              <w:tblW w:w="93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134"/>
              <w:gridCol w:w="1701"/>
              <w:gridCol w:w="992"/>
              <w:gridCol w:w="993"/>
              <w:gridCol w:w="850"/>
              <w:gridCol w:w="851"/>
              <w:gridCol w:w="850"/>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restart"/>
                  <w:vAlign w:val="center"/>
                </w:tcPr>
                <w:p>
                  <w:pPr>
                    <w:tabs>
                      <w:tab w:val="left" w:pos="1770"/>
                    </w:tabs>
                    <w:adjustRightInd w:val="0"/>
                    <w:snapToGrid w:val="0"/>
                    <w:jc w:val="center"/>
                    <w:rPr>
                      <w:b/>
                      <w:color w:val="auto"/>
                      <w:szCs w:val="21"/>
                    </w:rPr>
                  </w:pPr>
                  <w:r>
                    <w:rPr>
                      <w:rFonts w:hint="eastAsia"/>
                      <w:b/>
                      <w:color w:val="auto"/>
                      <w:szCs w:val="21"/>
                    </w:rPr>
                    <w:t>检测点位</w:t>
                  </w:r>
                </w:p>
              </w:tc>
              <w:tc>
                <w:tcPr>
                  <w:tcW w:w="1134" w:type="dxa"/>
                  <w:vMerge w:val="restart"/>
                  <w:vAlign w:val="center"/>
                </w:tcPr>
                <w:p>
                  <w:pPr>
                    <w:tabs>
                      <w:tab w:val="left" w:pos="1770"/>
                    </w:tabs>
                    <w:adjustRightInd w:val="0"/>
                    <w:snapToGrid w:val="0"/>
                    <w:jc w:val="center"/>
                    <w:rPr>
                      <w:b/>
                      <w:color w:val="auto"/>
                      <w:szCs w:val="21"/>
                    </w:rPr>
                  </w:pPr>
                  <w:r>
                    <w:rPr>
                      <w:rFonts w:hint="eastAsia"/>
                      <w:b/>
                      <w:color w:val="auto"/>
                      <w:szCs w:val="21"/>
                    </w:rPr>
                    <w:t>检测日期</w:t>
                  </w:r>
                </w:p>
              </w:tc>
              <w:tc>
                <w:tcPr>
                  <w:tcW w:w="1701" w:type="dxa"/>
                  <w:vMerge w:val="restart"/>
                  <w:vAlign w:val="center"/>
                </w:tcPr>
                <w:p>
                  <w:pPr>
                    <w:tabs>
                      <w:tab w:val="left" w:pos="1770"/>
                    </w:tabs>
                    <w:adjustRightInd w:val="0"/>
                    <w:snapToGrid w:val="0"/>
                    <w:jc w:val="center"/>
                    <w:rPr>
                      <w:b/>
                      <w:color w:val="auto"/>
                      <w:szCs w:val="21"/>
                    </w:rPr>
                  </w:pPr>
                  <w:r>
                    <w:rPr>
                      <w:rFonts w:hint="eastAsia"/>
                      <w:b/>
                      <w:color w:val="auto"/>
                      <w:szCs w:val="21"/>
                    </w:rPr>
                    <w:t>采样时段</w:t>
                  </w:r>
                </w:p>
              </w:tc>
              <w:tc>
                <w:tcPr>
                  <w:tcW w:w="5359" w:type="dxa"/>
                  <w:gridSpan w:val="6"/>
                  <w:vAlign w:val="center"/>
                </w:tcPr>
                <w:p>
                  <w:pPr>
                    <w:tabs>
                      <w:tab w:val="left" w:pos="1770"/>
                    </w:tabs>
                    <w:adjustRightInd w:val="0"/>
                    <w:snapToGrid w:val="0"/>
                    <w:jc w:val="center"/>
                    <w:rPr>
                      <w:b/>
                      <w:color w:val="auto"/>
                      <w:szCs w:val="21"/>
                    </w:rPr>
                  </w:pPr>
                  <w:r>
                    <w:rPr>
                      <w:rFonts w:hint="eastAsia"/>
                      <w:b/>
                      <w:color w:val="auto"/>
                      <w:szCs w:val="21"/>
                    </w:rPr>
                    <w:t>检测项目及检测结果（单位：μg</w:t>
                  </w:r>
                  <w:r>
                    <w:rPr>
                      <w:b/>
                      <w:color w:val="auto"/>
                      <w:szCs w:val="21"/>
                    </w:rPr>
                    <w:t>/</w:t>
                  </w:r>
                  <w:r>
                    <w:rPr>
                      <w:rFonts w:hint="eastAsia"/>
                      <w:b/>
                      <w:color w:val="auto"/>
                      <w:szCs w:val="21"/>
                    </w:rPr>
                    <w:t>m</w:t>
                  </w:r>
                  <w:r>
                    <w:rPr>
                      <w:b/>
                      <w:color w:val="auto"/>
                      <w:szCs w:val="21"/>
                      <w:vertAlign w:val="superscript"/>
                    </w:rPr>
                    <w:t>3</w:t>
                  </w:r>
                  <w:r>
                    <w:rPr>
                      <w:rFonts w:hint="eastAsia"/>
                      <w:b/>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b/>
                      <w:color w:val="auto"/>
                      <w:szCs w:val="21"/>
                    </w:rPr>
                  </w:pPr>
                </w:p>
              </w:tc>
              <w:tc>
                <w:tcPr>
                  <w:tcW w:w="1134" w:type="dxa"/>
                  <w:vMerge w:val="continue"/>
                  <w:vAlign w:val="center"/>
                </w:tcPr>
                <w:p>
                  <w:pPr>
                    <w:tabs>
                      <w:tab w:val="left" w:pos="1770"/>
                    </w:tabs>
                    <w:adjustRightInd w:val="0"/>
                    <w:snapToGrid w:val="0"/>
                    <w:jc w:val="center"/>
                    <w:rPr>
                      <w:b/>
                      <w:color w:val="auto"/>
                      <w:szCs w:val="21"/>
                    </w:rPr>
                  </w:pPr>
                </w:p>
              </w:tc>
              <w:tc>
                <w:tcPr>
                  <w:tcW w:w="1701" w:type="dxa"/>
                  <w:vMerge w:val="continue"/>
                  <w:vAlign w:val="center"/>
                </w:tcPr>
                <w:p>
                  <w:pPr>
                    <w:tabs>
                      <w:tab w:val="left" w:pos="1770"/>
                    </w:tabs>
                    <w:adjustRightInd w:val="0"/>
                    <w:snapToGrid w:val="0"/>
                    <w:jc w:val="center"/>
                    <w:rPr>
                      <w:b/>
                      <w:color w:val="auto"/>
                      <w:szCs w:val="21"/>
                    </w:rPr>
                  </w:pPr>
                </w:p>
              </w:tc>
              <w:tc>
                <w:tcPr>
                  <w:tcW w:w="1985" w:type="dxa"/>
                  <w:gridSpan w:val="2"/>
                  <w:vAlign w:val="center"/>
                </w:tcPr>
                <w:p>
                  <w:pPr>
                    <w:tabs>
                      <w:tab w:val="left" w:pos="1770"/>
                    </w:tabs>
                    <w:adjustRightInd w:val="0"/>
                    <w:snapToGrid w:val="0"/>
                    <w:jc w:val="center"/>
                    <w:rPr>
                      <w:b/>
                      <w:color w:val="auto"/>
                      <w:szCs w:val="21"/>
                    </w:rPr>
                  </w:pPr>
                  <w:r>
                    <w:rPr>
                      <w:rFonts w:hint="eastAsia"/>
                      <w:b/>
                      <w:color w:val="auto"/>
                      <w:szCs w:val="21"/>
                    </w:rPr>
                    <w:t>小时值</w:t>
                  </w:r>
                </w:p>
              </w:tc>
              <w:tc>
                <w:tcPr>
                  <w:tcW w:w="3374" w:type="dxa"/>
                  <w:gridSpan w:val="4"/>
                  <w:vAlign w:val="center"/>
                </w:tcPr>
                <w:p>
                  <w:pPr>
                    <w:tabs>
                      <w:tab w:val="left" w:pos="1770"/>
                    </w:tabs>
                    <w:adjustRightInd w:val="0"/>
                    <w:snapToGrid w:val="0"/>
                    <w:jc w:val="center"/>
                    <w:rPr>
                      <w:b/>
                      <w:color w:val="auto"/>
                      <w:szCs w:val="21"/>
                    </w:rPr>
                  </w:pPr>
                  <w:r>
                    <w:rPr>
                      <w:rFonts w:hint="eastAsia"/>
                      <w:b/>
                      <w:color w:val="auto"/>
                      <w:szCs w:val="21"/>
                    </w:rPr>
                    <w:t>日均值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b/>
                      <w:color w:val="auto"/>
                      <w:szCs w:val="21"/>
                    </w:rPr>
                  </w:pPr>
                </w:p>
              </w:tc>
              <w:tc>
                <w:tcPr>
                  <w:tcW w:w="1134" w:type="dxa"/>
                  <w:vMerge w:val="continue"/>
                  <w:vAlign w:val="center"/>
                </w:tcPr>
                <w:p>
                  <w:pPr>
                    <w:tabs>
                      <w:tab w:val="left" w:pos="1770"/>
                    </w:tabs>
                    <w:adjustRightInd w:val="0"/>
                    <w:snapToGrid w:val="0"/>
                    <w:jc w:val="center"/>
                    <w:rPr>
                      <w:b/>
                      <w:color w:val="auto"/>
                      <w:szCs w:val="21"/>
                    </w:rPr>
                  </w:pPr>
                </w:p>
              </w:tc>
              <w:tc>
                <w:tcPr>
                  <w:tcW w:w="1701" w:type="dxa"/>
                  <w:vMerge w:val="continue"/>
                  <w:vAlign w:val="center"/>
                </w:tcPr>
                <w:p>
                  <w:pPr>
                    <w:tabs>
                      <w:tab w:val="left" w:pos="1770"/>
                    </w:tabs>
                    <w:adjustRightInd w:val="0"/>
                    <w:snapToGrid w:val="0"/>
                    <w:jc w:val="center"/>
                    <w:rPr>
                      <w:b/>
                      <w:color w:val="auto"/>
                      <w:szCs w:val="21"/>
                    </w:rPr>
                  </w:pPr>
                </w:p>
              </w:tc>
              <w:tc>
                <w:tcPr>
                  <w:tcW w:w="992" w:type="dxa"/>
                  <w:vAlign w:val="center"/>
                </w:tcPr>
                <w:p>
                  <w:pPr>
                    <w:tabs>
                      <w:tab w:val="left" w:pos="1770"/>
                    </w:tabs>
                    <w:adjustRightInd w:val="0"/>
                    <w:snapToGrid w:val="0"/>
                    <w:jc w:val="center"/>
                    <w:rPr>
                      <w:b/>
                      <w:color w:val="auto"/>
                      <w:szCs w:val="21"/>
                    </w:rPr>
                  </w:pPr>
                  <w:r>
                    <w:rPr>
                      <w:rFonts w:hint="eastAsia"/>
                      <w:b/>
                      <w:color w:val="auto"/>
                      <w:szCs w:val="21"/>
                    </w:rPr>
                    <w:t>S</w:t>
                  </w:r>
                  <w:r>
                    <w:rPr>
                      <w:b/>
                      <w:color w:val="auto"/>
                      <w:szCs w:val="21"/>
                    </w:rPr>
                    <w:t>O</w:t>
                  </w:r>
                  <w:r>
                    <w:rPr>
                      <w:b/>
                      <w:color w:val="auto"/>
                      <w:szCs w:val="21"/>
                      <w:vertAlign w:val="subscript"/>
                    </w:rPr>
                    <w:t>2</w:t>
                  </w:r>
                </w:p>
              </w:tc>
              <w:tc>
                <w:tcPr>
                  <w:tcW w:w="993" w:type="dxa"/>
                  <w:vAlign w:val="center"/>
                </w:tcPr>
                <w:p>
                  <w:pPr>
                    <w:tabs>
                      <w:tab w:val="left" w:pos="1770"/>
                    </w:tabs>
                    <w:adjustRightInd w:val="0"/>
                    <w:snapToGrid w:val="0"/>
                    <w:jc w:val="center"/>
                    <w:rPr>
                      <w:b/>
                      <w:color w:val="auto"/>
                      <w:szCs w:val="21"/>
                    </w:rPr>
                  </w:pPr>
                  <w:r>
                    <w:rPr>
                      <w:rFonts w:hint="eastAsia"/>
                      <w:b/>
                      <w:color w:val="auto"/>
                      <w:szCs w:val="21"/>
                    </w:rPr>
                    <w:t>N</w:t>
                  </w:r>
                  <w:r>
                    <w:rPr>
                      <w:b/>
                      <w:color w:val="auto"/>
                      <w:szCs w:val="21"/>
                    </w:rPr>
                    <w:t>O</w:t>
                  </w:r>
                  <w:r>
                    <w:rPr>
                      <w:rFonts w:hint="eastAsia"/>
                      <w:b/>
                      <w:color w:val="auto"/>
                      <w:szCs w:val="21"/>
                      <w:vertAlign w:val="subscript"/>
                    </w:rPr>
                    <w:t>x</w:t>
                  </w:r>
                </w:p>
              </w:tc>
              <w:tc>
                <w:tcPr>
                  <w:tcW w:w="850" w:type="dxa"/>
                  <w:vAlign w:val="center"/>
                </w:tcPr>
                <w:p>
                  <w:pPr>
                    <w:tabs>
                      <w:tab w:val="left" w:pos="1770"/>
                    </w:tabs>
                    <w:adjustRightInd w:val="0"/>
                    <w:snapToGrid w:val="0"/>
                    <w:jc w:val="center"/>
                    <w:rPr>
                      <w:b/>
                      <w:color w:val="auto"/>
                      <w:szCs w:val="21"/>
                    </w:rPr>
                  </w:pPr>
                  <w:r>
                    <w:rPr>
                      <w:rFonts w:hint="eastAsia"/>
                      <w:b/>
                      <w:color w:val="auto"/>
                      <w:szCs w:val="21"/>
                    </w:rPr>
                    <w:t>S</w:t>
                  </w:r>
                  <w:r>
                    <w:rPr>
                      <w:b/>
                      <w:color w:val="auto"/>
                      <w:szCs w:val="21"/>
                    </w:rPr>
                    <w:t>O</w:t>
                  </w:r>
                  <w:r>
                    <w:rPr>
                      <w:b/>
                      <w:color w:val="auto"/>
                      <w:szCs w:val="21"/>
                      <w:vertAlign w:val="subscript"/>
                    </w:rPr>
                    <w:t>2</w:t>
                  </w:r>
                </w:p>
              </w:tc>
              <w:tc>
                <w:tcPr>
                  <w:tcW w:w="851" w:type="dxa"/>
                  <w:vAlign w:val="center"/>
                </w:tcPr>
                <w:p>
                  <w:pPr>
                    <w:tabs>
                      <w:tab w:val="left" w:pos="1770"/>
                    </w:tabs>
                    <w:adjustRightInd w:val="0"/>
                    <w:snapToGrid w:val="0"/>
                    <w:jc w:val="center"/>
                    <w:rPr>
                      <w:b/>
                      <w:color w:val="auto"/>
                      <w:szCs w:val="21"/>
                    </w:rPr>
                  </w:pPr>
                  <w:r>
                    <w:rPr>
                      <w:rFonts w:hint="eastAsia"/>
                      <w:b/>
                      <w:color w:val="auto"/>
                      <w:szCs w:val="21"/>
                    </w:rPr>
                    <w:t>N</w:t>
                  </w:r>
                  <w:r>
                    <w:rPr>
                      <w:b/>
                      <w:color w:val="auto"/>
                      <w:szCs w:val="21"/>
                    </w:rPr>
                    <w:t>O</w:t>
                  </w:r>
                  <w:r>
                    <w:rPr>
                      <w:rFonts w:hint="eastAsia"/>
                      <w:b/>
                      <w:color w:val="auto"/>
                      <w:szCs w:val="21"/>
                      <w:vertAlign w:val="subscript"/>
                    </w:rPr>
                    <w:t>x</w:t>
                  </w:r>
                </w:p>
              </w:tc>
              <w:tc>
                <w:tcPr>
                  <w:tcW w:w="850" w:type="dxa"/>
                  <w:vAlign w:val="center"/>
                </w:tcPr>
                <w:p>
                  <w:pPr>
                    <w:tabs>
                      <w:tab w:val="left" w:pos="1770"/>
                    </w:tabs>
                    <w:adjustRightInd w:val="0"/>
                    <w:snapToGrid w:val="0"/>
                    <w:jc w:val="center"/>
                    <w:rPr>
                      <w:b/>
                      <w:color w:val="auto"/>
                      <w:szCs w:val="21"/>
                    </w:rPr>
                  </w:pPr>
                  <w:r>
                    <w:rPr>
                      <w:rFonts w:hint="eastAsia"/>
                      <w:b/>
                      <w:color w:val="auto"/>
                      <w:szCs w:val="21"/>
                    </w:rPr>
                    <w:t>P</w:t>
                  </w:r>
                  <w:r>
                    <w:rPr>
                      <w:b/>
                      <w:color w:val="auto"/>
                      <w:szCs w:val="21"/>
                    </w:rPr>
                    <w:t>M</w:t>
                  </w:r>
                  <w:r>
                    <w:rPr>
                      <w:b/>
                      <w:color w:val="auto"/>
                      <w:szCs w:val="21"/>
                      <w:vertAlign w:val="subscript"/>
                    </w:rPr>
                    <w:t>10</w:t>
                  </w:r>
                </w:p>
              </w:tc>
              <w:tc>
                <w:tcPr>
                  <w:tcW w:w="823" w:type="dxa"/>
                  <w:vAlign w:val="center"/>
                </w:tcPr>
                <w:p>
                  <w:pPr>
                    <w:tabs>
                      <w:tab w:val="left" w:pos="1770"/>
                    </w:tabs>
                    <w:adjustRightInd w:val="0"/>
                    <w:snapToGrid w:val="0"/>
                    <w:jc w:val="center"/>
                    <w:rPr>
                      <w:b/>
                      <w:color w:val="auto"/>
                      <w:szCs w:val="21"/>
                    </w:rPr>
                  </w:pPr>
                  <w:r>
                    <w:rPr>
                      <w:rFonts w:hint="eastAsia"/>
                      <w:b/>
                      <w:color w:val="auto"/>
                      <w:szCs w:val="21"/>
                    </w:rPr>
                    <w:t>T</w:t>
                  </w:r>
                  <w:r>
                    <w:rPr>
                      <w:b/>
                      <w:color w:val="auto"/>
                      <w:szCs w:val="21"/>
                    </w:rPr>
                    <w:t>SP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restart"/>
                  <w:vAlign w:val="center"/>
                </w:tcPr>
                <w:p>
                  <w:pPr>
                    <w:tabs>
                      <w:tab w:val="left" w:pos="1770"/>
                    </w:tabs>
                    <w:adjustRightInd w:val="0"/>
                    <w:snapToGrid w:val="0"/>
                    <w:jc w:val="center"/>
                    <w:rPr>
                      <w:color w:val="auto"/>
                      <w:szCs w:val="21"/>
                    </w:rPr>
                  </w:pPr>
                  <w:r>
                    <w:rPr>
                      <w:rFonts w:hint="eastAsia"/>
                      <w:color w:val="auto"/>
                      <w:szCs w:val="21"/>
                    </w:rPr>
                    <w:t>项目所在地G</w:t>
                  </w:r>
                  <w:r>
                    <w:rPr>
                      <w:color w:val="auto"/>
                      <w:szCs w:val="21"/>
                    </w:rPr>
                    <w:t>1</w:t>
                  </w:r>
                </w:p>
              </w:tc>
              <w:tc>
                <w:tcPr>
                  <w:tcW w:w="1134" w:type="dxa"/>
                  <w:vMerge w:val="restart"/>
                  <w:vAlign w:val="center"/>
                </w:tcPr>
                <w:p>
                  <w:pPr>
                    <w:tabs>
                      <w:tab w:val="left" w:pos="1770"/>
                    </w:tabs>
                    <w:adjustRightInd w:val="0"/>
                    <w:snapToGrid w:val="0"/>
                    <w:jc w:val="center"/>
                    <w:rPr>
                      <w:color w:val="auto"/>
                      <w:szCs w:val="21"/>
                    </w:rPr>
                  </w:pPr>
                  <w:r>
                    <w:rPr>
                      <w:rFonts w:hint="eastAsia"/>
                      <w:color w:val="auto"/>
                      <w:szCs w:val="21"/>
                      <w:lang w:val="en-US" w:eastAsia="zh-CN"/>
                    </w:rPr>
                    <w:t>3</w:t>
                  </w:r>
                  <w:r>
                    <w:rPr>
                      <w:rFonts w:hint="eastAsia"/>
                      <w:color w:val="auto"/>
                      <w:szCs w:val="21"/>
                    </w:rPr>
                    <w:t>月</w:t>
                  </w:r>
                  <w:r>
                    <w:rPr>
                      <w:rFonts w:hint="eastAsia"/>
                      <w:color w:val="auto"/>
                      <w:szCs w:val="21"/>
                      <w:lang w:val="en-US" w:eastAsia="zh-CN"/>
                    </w:rPr>
                    <w:t>4</w:t>
                  </w:r>
                  <w:r>
                    <w:rPr>
                      <w:rFonts w:hint="eastAsia"/>
                      <w:color w:val="auto"/>
                      <w:szCs w:val="21"/>
                    </w:rPr>
                    <w:t>日</w:t>
                  </w:r>
                </w:p>
              </w:tc>
              <w:tc>
                <w:tcPr>
                  <w:tcW w:w="1701" w:type="dxa"/>
                  <w:vAlign w:val="center"/>
                </w:tcPr>
                <w:p>
                  <w:pPr>
                    <w:tabs>
                      <w:tab w:val="left" w:pos="1770"/>
                    </w:tabs>
                    <w:adjustRightInd w:val="0"/>
                    <w:snapToGrid w:val="0"/>
                    <w:jc w:val="center"/>
                    <w:rPr>
                      <w:color w:val="auto"/>
                      <w:szCs w:val="21"/>
                    </w:rPr>
                  </w:pPr>
                  <w:r>
                    <w:rPr>
                      <w:rFonts w:hint="eastAsia"/>
                      <w:color w:val="auto"/>
                      <w:szCs w:val="21"/>
                    </w:rPr>
                    <w:t>0</w:t>
                  </w:r>
                  <w:r>
                    <w:rPr>
                      <w:color w:val="auto"/>
                      <w:szCs w:val="21"/>
                    </w:rPr>
                    <w:t>2</w:t>
                  </w:r>
                  <w:r>
                    <w:rPr>
                      <w:rFonts w:hint="eastAsia"/>
                      <w:color w:val="auto"/>
                      <w:szCs w:val="21"/>
                    </w:rPr>
                    <w:t>:</w:t>
                  </w:r>
                  <w:r>
                    <w:rPr>
                      <w:color w:val="auto"/>
                      <w:szCs w:val="21"/>
                    </w:rPr>
                    <w:t>00-03</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13</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26</w:t>
                  </w:r>
                </w:p>
              </w:tc>
              <w:tc>
                <w:tcPr>
                  <w:tcW w:w="850"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14</w:t>
                  </w:r>
                </w:p>
              </w:tc>
              <w:tc>
                <w:tcPr>
                  <w:tcW w:w="851"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36</w:t>
                  </w:r>
                </w:p>
              </w:tc>
              <w:tc>
                <w:tcPr>
                  <w:tcW w:w="850"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81</w:t>
                  </w:r>
                </w:p>
              </w:tc>
              <w:tc>
                <w:tcPr>
                  <w:tcW w:w="823"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0</w:t>
                  </w:r>
                  <w:r>
                    <w:rPr>
                      <w:color w:val="auto"/>
                      <w:szCs w:val="21"/>
                    </w:rPr>
                    <w:t>8</w:t>
                  </w:r>
                  <w:r>
                    <w:rPr>
                      <w:rFonts w:hint="eastAsia"/>
                      <w:color w:val="auto"/>
                      <w:szCs w:val="21"/>
                    </w:rPr>
                    <w:t>:</w:t>
                  </w:r>
                  <w:r>
                    <w:rPr>
                      <w:color w:val="auto"/>
                      <w:szCs w:val="21"/>
                    </w:rPr>
                    <w:t>00-09</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eastAsia" w:eastAsia="宋体"/>
                      <w:color w:val="auto"/>
                      <w:szCs w:val="21"/>
                      <w:lang w:eastAsia="zh-CN"/>
                    </w:rPr>
                  </w:pPr>
                  <w:r>
                    <w:rPr>
                      <w:rFonts w:hint="eastAsia"/>
                      <w:color w:val="auto"/>
                      <w:szCs w:val="21"/>
                    </w:rPr>
                    <w:t>1</w:t>
                  </w:r>
                  <w:r>
                    <w:rPr>
                      <w:rFonts w:hint="eastAsia"/>
                      <w:color w:val="auto"/>
                      <w:szCs w:val="21"/>
                      <w:lang w:val="en-US" w:eastAsia="zh-CN"/>
                    </w:rPr>
                    <w:t>9</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38</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1</w:t>
                  </w:r>
                  <w:r>
                    <w:rPr>
                      <w:color w:val="auto"/>
                      <w:szCs w:val="21"/>
                    </w:rPr>
                    <w:t>4</w:t>
                  </w:r>
                  <w:r>
                    <w:rPr>
                      <w:rFonts w:hint="eastAsia"/>
                      <w:color w:val="auto"/>
                      <w:szCs w:val="21"/>
                    </w:rPr>
                    <w:t>:</w:t>
                  </w:r>
                  <w:r>
                    <w:rPr>
                      <w:color w:val="auto"/>
                      <w:szCs w:val="21"/>
                    </w:rPr>
                    <w:t>00-15</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eastAsia" w:eastAsia="宋体"/>
                      <w:color w:val="auto"/>
                      <w:szCs w:val="21"/>
                      <w:lang w:eastAsia="zh-CN"/>
                    </w:rPr>
                  </w:pPr>
                  <w:r>
                    <w:rPr>
                      <w:rFonts w:hint="eastAsia"/>
                      <w:color w:val="auto"/>
                      <w:szCs w:val="21"/>
                    </w:rPr>
                    <w:t>1</w:t>
                  </w:r>
                  <w:r>
                    <w:rPr>
                      <w:rFonts w:hint="eastAsia"/>
                      <w:color w:val="auto"/>
                      <w:szCs w:val="21"/>
                      <w:lang w:val="en-US" w:eastAsia="zh-CN"/>
                    </w:rPr>
                    <w:t>6</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30</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2</w:t>
                  </w:r>
                  <w:r>
                    <w:rPr>
                      <w:color w:val="auto"/>
                      <w:szCs w:val="21"/>
                    </w:rPr>
                    <w:t>0</w:t>
                  </w:r>
                  <w:r>
                    <w:rPr>
                      <w:rFonts w:hint="eastAsia"/>
                      <w:color w:val="auto"/>
                      <w:szCs w:val="21"/>
                    </w:rPr>
                    <w:t>:</w:t>
                  </w:r>
                  <w:r>
                    <w:rPr>
                      <w:color w:val="auto"/>
                      <w:szCs w:val="21"/>
                    </w:rPr>
                    <w:t>00-21</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15</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27</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restart"/>
                  <w:vAlign w:val="center"/>
                </w:tcPr>
                <w:p>
                  <w:pPr>
                    <w:tabs>
                      <w:tab w:val="left" w:pos="1770"/>
                    </w:tabs>
                    <w:adjustRightInd w:val="0"/>
                    <w:snapToGrid w:val="0"/>
                    <w:jc w:val="center"/>
                    <w:rPr>
                      <w:color w:val="auto"/>
                      <w:szCs w:val="21"/>
                    </w:rPr>
                  </w:pPr>
                  <w:r>
                    <w:rPr>
                      <w:rFonts w:hint="eastAsia"/>
                      <w:color w:val="auto"/>
                      <w:szCs w:val="21"/>
                      <w:lang w:val="en-US" w:eastAsia="zh-CN"/>
                    </w:rPr>
                    <w:t>3</w:t>
                  </w:r>
                  <w:r>
                    <w:rPr>
                      <w:rFonts w:hint="eastAsia"/>
                      <w:color w:val="auto"/>
                      <w:szCs w:val="21"/>
                    </w:rPr>
                    <w:t>月</w:t>
                  </w:r>
                  <w:r>
                    <w:rPr>
                      <w:rFonts w:hint="eastAsia"/>
                      <w:color w:val="auto"/>
                      <w:szCs w:val="21"/>
                      <w:lang w:val="en-US" w:eastAsia="zh-CN"/>
                    </w:rPr>
                    <w:t>5</w:t>
                  </w:r>
                  <w:r>
                    <w:rPr>
                      <w:rFonts w:hint="eastAsia"/>
                      <w:color w:val="auto"/>
                      <w:szCs w:val="21"/>
                    </w:rPr>
                    <w:t>日</w:t>
                  </w:r>
                </w:p>
              </w:tc>
              <w:tc>
                <w:tcPr>
                  <w:tcW w:w="1701" w:type="dxa"/>
                  <w:vAlign w:val="center"/>
                </w:tcPr>
                <w:p>
                  <w:pPr>
                    <w:tabs>
                      <w:tab w:val="left" w:pos="1770"/>
                    </w:tabs>
                    <w:adjustRightInd w:val="0"/>
                    <w:snapToGrid w:val="0"/>
                    <w:jc w:val="center"/>
                    <w:rPr>
                      <w:color w:val="auto"/>
                      <w:szCs w:val="21"/>
                    </w:rPr>
                  </w:pPr>
                  <w:r>
                    <w:rPr>
                      <w:rFonts w:hint="eastAsia"/>
                      <w:color w:val="auto"/>
                      <w:szCs w:val="21"/>
                    </w:rPr>
                    <w:t>0</w:t>
                  </w:r>
                  <w:r>
                    <w:rPr>
                      <w:color w:val="auto"/>
                      <w:szCs w:val="21"/>
                    </w:rPr>
                    <w:t>2</w:t>
                  </w:r>
                  <w:r>
                    <w:rPr>
                      <w:rFonts w:hint="eastAsia"/>
                      <w:color w:val="auto"/>
                      <w:szCs w:val="21"/>
                    </w:rPr>
                    <w:t>:</w:t>
                  </w:r>
                  <w:r>
                    <w:rPr>
                      <w:color w:val="auto"/>
                      <w:szCs w:val="21"/>
                    </w:rPr>
                    <w:t>00-03</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14</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32</w:t>
                  </w:r>
                </w:p>
              </w:tc>
              <w:tc>
                <w:tcPr>
                  <w:tcW w:w="850" w:type="dxa"/>
                  <w:vMerge w:val="restart"/>
                  <w:vAlign w:val="center"/>
                </w:tcPr>
                <w:p>
                  <w:pPr>
                    <w:tabs>
                      <w:tab w:val="left" w:pos="1770"/>
                    </w:tabs>
                    <w:adjustRightInd w:val="0"/>
                    <w:snapToGrid w:val="0"/>
                    <w:jc w:val="center"/>
                    <w:rPr>
                      <w:color w:val="auto"/>
                      <w:szCs w:val="21"/>
                    </w:rPr>
                  </w:pPr>
                  <w:r>
                    <w:rPr>
                      <w:color w:val="auto"/>
                      <w:szCs w:val="21"/>
                    </w:rPr>
                    <w:t>12</w:t>
                  </w:r>
                </w:p>
              </w:tc>
              <w:tc>
                <w:tcPr>
                  <w:tcW w:w="851"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38</w:t>
                  </w:r>
                </w:p>
              </w:tc>
              <w:tc>
                <w:tcPr>
                  <w:tcW w:w="850"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75</w:t>
                  </w:r>
                </w:p>
              </w:tc>
              <w:tc>
                <w:tcPr>
                  <w:tcW w:w="823"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0</w:t>
                  </w:r>
                  <w:r>
                    <w:rPr>
                      <w:color w:val="auto"/>
                      <w:szCs w:val="21"/>
                    </w:rPr>
                    <w:t>8</w:t>
                  </w:r>
                  <w:r>
                    <w:rPr>
                      <w:rFonts w:hint="eastAsia"/>
                      <w:color w:val="auto"/>
                      <w:szCs w:val="21"/>
                    </w:rPr>
                    <w:t>:</w:t>
                  </w:r>
                  <w:r>
                    <w:rPr>
                      <w:color w:val="auto"/>
                      <w:szCs w:val="21"/>
                    </w:rPr>
                    <w:t>00-09</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color w:val="auto"/>
                      <w:szCs w:val="21"/>
                    </w:rPr>
                  </w:pPr>
                  <w:r>
                    <w:rPr>
                      <w:rFonts w:hint="eastAsia"/>
                      <w:color w:val="auto"/>
                      <w:szCs w:val="21"/>
                    </w:rPr>
                    <w:t>1</w:t>
                  </w:r>
                  <w:r>
                    <w:rPr>
                      <w:color w:val="auto"/>
                      <w:szCs w:val="21"/>
                    </w:rPr>
                    <w:t>3</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29</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1</w:t>
                  </w:r>
                  <w:r>
                    <w:rPr>
                      <w:color w:val="auto"/>
                      <w:szCs w:val="21"/>
                    </w:rPr>
                    <w:t>4</w:t>
                  </w:r>
                  <w:r>
                    <w:rPr>
                      <w:rFonts w:hint="eastAsia"/>
                      <w:color w:val="auto"/>
                      <w:szCs w:val="21"/>
                    </w:rPr>
                    <w:t>:</w:t>
                  </w:r>
                  <w:r>
                    <w:rPr>
                      <w:color w:val="auto"/>
                      <w:szCs w:val="21"/>
                    </w:rPr>
                    <w:t>00-15</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15</w:t>
                  </w:r>
                </w:p>
              </w:tc>
              <w:tc>
                <w:tcPr>
                  <w:tcW w:w="993" w:type="dxa"/>
                  <w:vAlign w:val="center"/>
                </w:tcPr>
                <w:p>
                  <w:pPr>
                    <w:tabs>
                      <w:tab w:val="left" w:pos="1770"/>
                    </w:tabs>
                    <w:adjustRightInd w:val="0"/>
                    <w:snapToGrid w:val="0"/>
                    <w:jc w:val="center"/>
                    <w:rPr>
                      <w:color w:val="auto"/>
                      <w:szCs w:val="21"/>
                    </w:rPr>
                  </w:pPr>
                  <w:r>
                    <w:rPr>
                      <w:rFonts w:hint="eastAsia"/>
                      <w:color w:val="auto"/>
                      <w:szCs w:val="21"/>
                    </w:rPr>
                    <w:t>3</w:t>
                  </w:r>
                  <w:r>
                    <w:rPr>
                      <w:color w:val="auto"/>
                      <w:szCs w:val="21"/>
                    </w:rPr>
                    <w:t>0</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2</w:t>
                  </w:r>
                  <w:r>
                    <w:rPr>
                      <w:color w:val="auto"/>
                      <w:szCs w:val="21"/>
                    </w:rPr>
                    <w:t>0</w:t>
                  </w:r>
                  <w:r>
                    <w:rPr>
                      <w:rFonts w:hint="eastAsia"/>
                      <w:color w:val="auto"/>
                      <w:szCs w:val="21"/>
                    </w:rPr>
                    <w:t>:</w:t>
                  </w:r>
                  <w:r>
                    <w:rPr>
                      <w:color w:val="auto"/>
                      <w:szCs w:val="21"/>
                    </w:rPr>
                    <w:t>00-21</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17</w:t>
                  </w:r>
                </w:p>
              </w:tc>
              <w:tc>
                <w:tcPr>
                  <w:tcW w:w="993"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32</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restart"/>
                  <w:vAlign w:val="center"/>
                </w:tcPr>
                <w:p>
                  <w:pPr>
                    <w:tabs>
                      <w:tab w:val="left" w:pos="1770"/>
                    </w:tabs>
                    <w:adjustRightInd w:val="0"/>
                    <w:snapToGrid w:val="0"/>
                    <w:jc w:val="center"/>
                    <w:rPr>
                      <w:color w:val="auto"/>
                      <w:szCs w:val="21"/>
                    </w:rPr>
                  </w:pPr>
                  <w:r>
                    <w:rPr>
                      <w:rFonts w:hint="eastAsia"/>
                      <w:color w:val="auto"/>
                      <w:szCs w:val="21"/>
                      <w:lang w:val="en-US" w:eastAsia="zh-CN"/>
                    </w:rPr>
                    <w:t>3</w:t>
                  </w:r>
                  <w:r>
                    <w:rPr>
                      <w:rFonts w:hint="eastAsia"/>
                      <w:color w:val="auto"/>
                      <w:szCs w:val="21"/>
                    </w:rPr>
                    <w:t>月</w:t>
                  </w:r>
                  <w:r>
                    <w:rPr>
                      <w:rFonts w:hint="eastAsia"/>
                      <w:color w:val="auto"/>
                      <w:szCs w:val="21"/>
                      <w:lang w:val="en-US" w:eastAsia="zh-CN"/>
                    </w:rPr>
                    <w:t>6</w:t>
                  </w:r>
                  <w:r>
                    <w:rPr>
                      <w:rFonts w:hint="eastAsia"/>
                      <w:color w:val="auto"/>
                      <w:szCs w:val="21"/>
                    </w:rPr>
                    <w:t>日</w:t>
                  </w:r>
                </w:p>
              </w:tc>
              <w:tc>
                <w:tcPr>
                  <w:tcW w:w="1701" w:type="dxa"/>
                  <w:vAlign w:val="center"/>
                </w:tcPr>
                <w:p>
                  <w:pPr>
                    <w:tabs>
                      <w:tab w:val="left" w:pos="1770"/>
                    </w:tabs>
                    <w:adjustRightInd w:val="0"/>
                    <w:snapToGrid w:val="0"/>
                    <w:jc w:val="center"/>
                    <w:rPr>
                      <w:color w:val="auto"/>
                      <w:szCs w:val="21"/>
                    </w:rPr>
                  </w:pPr>
                  <w:r>
                    <w:rPr>
                      <w:rFonts w:hint="eastAsia"/>
                      <w:color w:val="auto"/>
                      <w:szCs w:val="21"/>
                    </w:rPr>
                    <w:t>0</w:t>
                  </w:r>
                  <w:r>
                    <w:rPr>
                      <w:color w:val="auto"/>
                      <w:szCs w:val="21"/>
                    </w:rPr>
                    <w:t>2</w:t>
                  </w:r>
                  <w:r>
                    <w:rPr>
                      <w:rFonts w:hint="eastAsia"/>
                      <w:color w:val="auto"/>
                      <w:szCs w:val="21"/>
                    </w:rPr>
                    <w:t>:</w:t>
                  </w:r>
                  <w:r>
                    <w:rPr>
                      <w:color w:val="auto"/>
                      <w:szCs w:val="21"/>
                    </w:rPr>
                    <w:t>00-03</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16</w:t>
                  </w:r>
                </w:p>
              </w:tc>
              <w:tc>
                <w:tcPr>
                  <w:tcW w:w="993" w:type="dxa"/>
                  <w:vAlign w:val="center"/>
                </w:tcPr>
                <w:p>
                  <w:pPr>
                    <w:tabs>
                      <w:tab w:val="left" w:pos="1770"/>
                    </w:tabs>
                    <w:adjustRightInd w:val="0"/>
                    <w:snapToGrid w:val="0"/>
                    <w:jc w:val="center"/>
                    <w:rPr>
                      <w:color w:val="auto"/>
                      <w:szCs w:val="21"/>
                    </w:rPr>
                  </w:pPr>
                  <w:r>
                    <w:rPr>
                      <w:rFonts w:hint="eastAsia"/>
                      <w:color w:val="auto"/>
                      <w:szCs w:val="21"/>
                      <w:lang w:val="en-US" w:eastAsia="zh-CN"/>
                    </w:rPr>
                    <w:t>3</w:t>
                  </w:r>
                  <w:r>
                    <w:rPr>
                      <w:color w:val="auto"/>
                      <w:szCs w:val="21"/>
                    </w:rPr>
                    <w:t>2</w:t>
                  </w:r>
                </w:p>
              </w:tc>
              <w:tc>
                <w:tcPr>
                  <w:tcW w:w="850"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18</w:t>
                  </w:r>
                </w:p>
              </w:tc>
              <w:tc>
                <w:tcPr>
                  <w:tcW w:w="851"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29</w:t>
                  </w:r>
                </w:p>
              </w:tc>
              <w:tc>
                <w:tcPr>
                  <w:tcW w:w="850" w:type="dxa"/>
                  <w:vMerge w:val="restart"/>
                  <w:vAlign w:val="center"/>
                </w:tcPr>
                <w:p>
                  <w:pPr>
                    <w:tabs>
                      <w:tab w:val="left" w:pos="1770"/>
                    </w:tabs>
                    <w:adjustRightInd w:val="0"/>
                    <w:snapToGrid w:val="0"/>
                    <w:jc w:val="center"/>
                    <w:rPr>
                      <w:color w:val="auto"/>
                      <w:szCs w:val="21"/>
                    </w:rPr>
                  </w:pPr>
                  <w:r>
                    <w:rPr>
                      <w:rFonts w:hint="eastAsia"/>
                      <w:color w:val="auto"/>
                      <w:szCs w:val="21"/>
                      <w:lang w:val="en-US" w:eastAsia="zh-CN"/>
                    </w:rPr>
                    <w:t>7</w:t>
                  </w:r>
                  <w:r>
                    <w:rPr>
                      <w:color w:val="auto"/>
                      <w:szCs w:val="21"/>
                    </w:rPr>
                    <w:t>3</w:t>
                  </w:r>
                </w:p>
              </w:tc>
              <w:tc>
                <w:tcPr>
                  <w:tcW w:w="823" w:type="dxa"/>
                  <w:vMerge w:val="restart"/>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0</w:t>
                  </w:r>
                  <w:r>
                    <w:rPr>
                      <w:color w:val="auto"/>
                      <w:szCs w:val="21"/>
                    </w:rPr>
                    <w:t>8</w:t>
                  </w:r>
                  <w:r>
                    <w:rPr>
                      <w:rFonts w:hint="eastAsia"/>
                      <w:color w:val="auto"/>
                      <w:szCs w:val="21"/>
                    </w:rPr>
                    <w:t>:</w:t>
                  </w:r>
                  <w:r>
                    <w:rPr>
                      <w:color w:val="auto"/>
                      <w:szCs w:val="21"/>
                    </w:rPr>
                    <w:t>00-09</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color w:val="auto"/>
                      <w:szCs w:val="21"/>
                    </w:rPr>
                  </w:pPr>
                  <w:r>
                    <w:rPr>
                      <w:color w:val="auto"/>
                      <w:szCs w:val="21"/>
                    </w:rPr>
                    <w:t>13</w:t>
                  </w:r>
                </w:p>
              </w:tc>
              <w:tc>
                <w:tcPr>
                  <w:tcW w:w="993" w:type="dxa"/>
                  <w:vAlign w:val="center"/>
                </w:tcPr>
                <w:p>
                  <w:pPr>
                    <w:tabs>
                      <w:tab w:val="left" w:pos="1770"/>
                    </w:tabs>
                    <w:adjustRightInd w:val="0"/>
                    <w:snapToGrid w:val="0"/>
                    <w:jc w:val="center"/>
                    <w:rPr>
                      <w:color w:val="auto"/>
                      <w:szCs w:val="21"/>
                    </w:rPr>
                  </w:pPr>
                  <w:r>
                    <w:rPr>
                      <w:rFonts w:hint="eastAsia"/>
                      <w:color w:val="auto"/>
                      <w:szCs w:val="21"/>
                      <w:lang w:val="en-US" w:eastAsia="zh-CN"/>
                    </w:rPr>
                    <w:t>3</w:t>
                  </w:r>
                  <w:r>
                    <w:rPr>
                      <w:color w:val="auto"/>
                      <w:szCs w:val="21"/>
                    </w:rPr>
                    <w:t>6</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1</w:t>
                  </w:r>
                  <w:r>
                    <w:rPr>
                      <w:color w:val="auto"/>
                      <w:szCs w:val="21"/>
                    </w:rPr>
                    <w:t>4</w:t>
                  </w:r>
                  <w:r>
                    <w:rPr>
                      <w:rFonts w:hint="eastAsia"/>
                      <w:color w:val="auto"/>
                      <w:szCs w:val="21"/>
                    </w:rPr>
                    <w:t>:</w:t>
                  </w:r>
                  <w:r>
                    <w:rPr>
                      <w:color w:val="auto"/>
                      <w:szCs w:val="21"/>
                    </w:rPr>
                    <w:t>00-15</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14</w:t>
                  </w:r>
                </w:p>
              </w:tc>
              <w:tc>
                <w:tcPr>
                  <w:tcW w:w="993" w:type="dxa"/>
                  <w:vAlign w:val="center"/>
                </w:tcPr>
                <w:p>
                  <w:pPr>
                    <w:tabs>
                      <w:tab w:val="left" w:pos="1770"/>
                    </w:tabs>
                    <w:adjustRightInd w:val="0"/>
                    <w:snapToGrid w:val="0"/>
                    <w:jc w:val="center"/>
                    <w:rPr>
                      <w:color w:val="auto"/>
                      <w:szCs w:val="21"/>
                    </w:rPr>
                  </w:pPr>
                  <w:r>
                    <w:rPr>
                      <w:rFonts w:hint="eastAsia"/>
                      <w:color w:val="auto"/>
                      <w:szCs w:val="21"/>
                    </w:rPr>
                    <w:t>3</w:t>
                  </w:r>
                  <w:r>
                    <w:rPr>
                      <w:color w:val="auto"/>
                      <w:szCs w:val="21"/>
                    </w:rPr>
                    <w:t>1</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1" w:type="dxa"/>
                  <w:vMerge w:val="continue"/>
                  <w:vAlign w:val="center"/>
                </w:tcPr>
                <w:p>
                  <w:pPr>
                    <w:tabs>
                      <w:tab w:val="left" w:pos="1770"/>
                    </w:tabs>
                    <w:adjustRightInd w:val="0"/>
                    <w:snapToGrid w:val="0"/>
                    <w:jc w:val="center"/>
                    <w:rPr>
                      <w:color w:val="auto"/>
                      <w:szCs w:val="21"/>
                    </w:rPr>
                  </w:pPr>
                </w:p>
              </w:tc>
              <w:tc>
                <w:tcPr>
                  <w:tcW w:w="1134" w:type="dxa"/>
                  <w:vMerge w:val="continue"/>
                  <w:vAlign w:val="center"/>
                </w:tcPr>
                <w:p>
                  <w:pPr>
                    <w:tabs>
                      <w:tab w:val="left" w:pos="1770"/>
                    </w:tabs>
                    <w:adjustRightInd w:val="0"/>
                    <w:snapToGrid w:val="0"/>
                    <w:jc w:val="center"/>
                    <w:rPr>
                      <w:color w:val="auto"/>
                      <w:szCs w:val="21"/>
                    </w:rPr>
                  </w:pPr>
                </w:p>
              </w:tc>
              <w:tc>
                <w:tcPr>
                  <w:tcW w:w="1701" w:type="dxa"/>
                  <w:vAlign w:val="center"/>
                </w:tcPr>
                <w:p>
                  <w:pPr>
                    <w:tabs>
                      <w:tab w:val="left" w:pos="1770"/>
                    </w:tabs>
                    <w:adjustRightInd w:val="0"/>
                    <w:snapToGrid w:val="0"/>
                    <w:jc w:val="center"/>
                    <w:rPr>
                      <w:color w:val="auto"/>
                      <w:szCs w:val="21"/>
                    </w:rPr>
                  </w:pPr>
                  <w:r>
                    <w:rPr>
                      <w:rFonts w:hint="eastAsia"/>
                      <w:color w:val="auto"/>
                      <w:szCs w:val="21"/>
                    </w:rPr>
                    <w:t>2</w:t>
                  </w:r>
                  <w:r>
                    <w:rPr>
                      <w:color w:val="auto"/>
                      <w:szCs w:val="21"/>
                    </w:rPr>
                    <w:t>0</w:t>
                  </w:r>
                  <w:r>
                    <w:rPr>
                      <w:rFonts w:hint="eastAsia"/>
                      <w:color w:val="auto"/>
                      <w:szCs w:val="21"/>
                    </w:rPr>
                    <w:t>:</w:t>
                  </w:r>
                  <w:r>
                    <w:rPr>
                      <w:color w:val="auto"/>
                      <w:szCs w:val="21"/>
                    </w:rPr>
                    <w:t>00-21</w:t>
                  </w:r>
                  <w:r>
                    <w:rPr>
                      <w:rFonts w:hint="eastAsia"/>
                      <w:color w:val="auto"/>
                      <w:szCs w:val="21"/>
                    </w:rPr>
                    <w:t>:</w:t>
                  </w:r>
                  <w:r>
                    <w:rPr>
                      <w:color w:val="auto"/>
                      <w:szCs w:val="21"/>
                    </w:rPr>
                    <w:t>00</w:t>
                  </w:r>
                </w:p>
              </w:tc>
              <w:tc>
                <w:tcPr>
                  <w:tcW w:w="992" w:type="dxa"/>
                  <w:vAlign w:val="center"/>
                </w:tcPr>
                <w:p>
                  <w:pPr>
                    <w:tabs>
                      <w:tab w:val="left" w:pos="1770"/>
                    </w:tabs>
                    <w:adjustRightInd w:val="0"/>
                    <w:snapToGrid w:val="0"/>
                    <w:jc w:val="center"/>
                    <w:rPr>
                      <w:rFonts w:hint="default" w:eastAsia="宋体"/>
                      <w:color w:val="auto"/>
                      <w:szCs w:val="21"/>
                      <w:lang w:val="en-US" w:eastAsia="zh-CN"/>
                    </w:rPr>
                  </w:pPr>
                  <w:r>
                    <w:rPr>
                      <w:rFonts w:hint="eastAsia"/>
                      <w:color w:val="auto"/>
                      <w:szCs w:val="21"/>
                      <w:lang w:val="en-US" w:eastAsia="zh-CN"/>
                    </w:rPr>
                    <w:t>17</w:t>
                  </w:r>
                </w:p>
              </w:tc>
              <w:tc>
                <w:tcPr>
                  <w:tcW w:w="993" w:type="dxa"/>
                  <w:vAlign w:val="center"/>
                </w:tcPr>
                <w:p>
                  <w:pPr>
                    <w:tabs>
                      <w:tab w:val="left" w:pos="1770"/>
                    </w:tabs>
                    <w:adjustRightInd w:val="0"/>
                    <w:snapToGrid w:val="0"/>
                    <w:jc w:val="center"/>
                    <w:rPr>
                      <w:color w:val="auto"/>
                      <w:szCs w:val="21"/>
                    </w:rPr>
                  </w:pPr>
                  <w:r>
                    <w:rPr>
                      <w:rFonts w:hint="eastAsia"/>
                      <w:color w:val="auto"/>
                      <w:szCs w:val="21"/>
                    </w:rPr>
                    <w:t>2</w:t>
                  </w:r>
                  <w:r>
                    <w:rPr>
                      <w:color w:val="auto"/>
                      <w:szCs w:val="21"/>
                    </w:rPr>
                    <w:t>9</w:t>
                  </w:r>
                </w:p>
              </w:tc>
              <w:tc>
                <w:tcPr>
                  <w:tcW w:w="850" w:type="dxa"/>
                  <w:vMerge w:val="continue"/>
                  <w:vAlign w:val="center"/>
                </w:tcPr>
                <w:p>
                  <w:pPr>
                    <w:tabs>
                      <w:tab w:val="left" w:pos="1770"/>
                    </w:tabs>
                    <w:adjustRightInd w:val="0"/>
                    <w:snapToGrid w:val="0"/>
                    <w:jc w:val="center"/>
                    <w:rPr>
                      <w:color w:val="auto"/>
                      <w:szCs w:val="21"/>
                    </w:rPr>
                  </w:pPr>
                </w:p>
              </w:tc>
              <w:tc>
                <w:tcPr>
                  <w:tcW w:w="851" w:type="dxa"/>
                  <w:vMerge w:val="continue"/>
                  <w:vAlign w:val="center"/>
                </w:tcPr>
                <w:p>
                  <w:pPr>
                    <w:tabs>
                      <w:tab w:val="left" w:pos="1770"/>
                    </w:tabs>
                    <w:adjustRightInd w:val="0"/>
                    <w:snapToGrid w:val="0"/>
                    <w:jc w:val="center"/>
                    <w:rPr>
                      <w:color w:val="auto"/>
                      <w:szCs w:val="21"/>
                    </w:rPr>
                  </w:pPr>
                </w:p>
              </w:tc>
              <w:tc>
                <w:tcPr>
                  <w:tcW w:w="850" w:type="dxa"/>
                  <w:vMerge w:val="continue"/>
                  <w:vAlign w:val="center"/>
                </w:tcPr>
                <w:p>
                  <w:pPr>
                    <w:tabs>
                      <w:tab w:val="left" w:pos="1770"/>
                    </w:tabs>
                    <w:adjustRightInd w:val="0"/>
                    <w:snapToGrid w:val="0"/>
                    <w:jc w:val="center"/>
                    <w:rPr>
                      <w:color w:val="auto"/>
                      <w:szCs w:val="21"/>
                    </w:rPr>
                  </w:pPr>
                </w:p>
              </w:tc>
              <w:tc>
                <w:tcPr>
                  <w:tcW w:w="823" w:type="dxa"/>
                  <w:vMerge w:val="continue"/>
                  <w:vAlign w:val="center"/>
                </w:tcPr>
                <w:p>
                  <w:pPr>
                    <w:tabs>
                      <w:tab w:val="left" w:pos="1770"/>
                    </w:tabs>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86" w:type="dxa"/>
                  <w:gridSpan w:val="3"/>
                  <w:vAlign w:val="center"/>
                </w:tcPr>
                <w:p>
                  <w:pPr>
                    <w:tabs>
                      <w:tab w:val="left" w:pos="1770"/>
                    </w:tabs>
                    <w:adjustRightInd w:val="0"/>
                    <w:snapToGrid w:val="0"/>
                    <w:jc w:val="center"/>
                    <w:rPr>
                      <w:color w:val="auto"/>
                      <w:szCs w:val="21"/>
                    </w:rPr>
                  </w:pPr>
                  <w:r>
                    <w:rPr>
                      <w:rFonts w:hint="eastAsia"/>
                      <w:color w:val="auto"/>
                      <w:szCs w:val="21"/>
                    </w:rPr>
                    <w:t>执行标准</w:t>
                  </w:r>
                </w:p>
              </w:tc>
              <w:tc>
                <w:tcPr>
                  <w:tcW w:w="992" w:type="dxa"/>
                  <w:vAlign w:val="center"/>
                </w:tcPr>
                <w:p>
                  <w:pPr>
                    <w:tabs>
                      <w:tab w:val="left" w:pos="1770"/>
                    </w:tabs>
                    <w:adjustRightInd w:val="0"/>
                    <w:snapToGrid w:val="0"/>
                    <w:jc w:val="center"/>
                    <w:rPr>
                      <w:color w:val="auto"/>
                      <w:szCs w:val="21"/>
                    </w:rPr>
                  </w:pPr>
                  <w:r>
                    <w:rPr>
                      <w:rFonts w:hint="eastAsia"/>
                      <w:color w:val="auto"/>
                      <w:szCs w:val="21"/>
                    </w:rPr>
                    <w:t>≤5</w:t>
                  </w:r>
                  <w:r>
                    <w:rPr>
                      <w:color w:val="auto"/>
                      <w:szCs w:val="21"/>
                    </w:rPr>
                    <w:t>00</w:t>
                  </w:r>
                </w:p>
              </w:tc>
              <w:tc>
                <w:tcPr>
                  <w:tcW w:w="993" w:type="dxa"/>
                  <w:vAlign w:val="center"/>
                </w:tcPr>
                <w:p>
                  <w:pPr>
                    <w:tabs>
                      <w:tab w:val="left" w:pos="1770"/>
                    </w:tabs>
                    <w:adjustRightInd w:val="0"/>
                    <w:snapToGrid w:val="0"/>
                    <w:jc w:val="center"/>
                    <w:rPr>
                      <w:color w:val="auto"/>
                      <w:szCs w:val="21"/>
                    </w:rPr>
                  </w:pPr>
                  <w:r>
                    <w:rPr>
                      <w:rFonts w:hint="eastAsia"/>
                      <w:color w:val="auto"/>
                      <w:szCs w:val="21"/>
                    </w:rPr>
                    <w:t>≤2</w:t>
                  </w:r>
                  <w:r>
                    <w:rPr>
                      <w:color w:val="auto"/>
                      <w:szCs w:val="21"/>
                    </w:rPr>
                    <w:t>00</w:t>
                  </w:r>
                </w:p>
              </w:tc>
              <w:tc>
                <w:tcPr>
                  <w:tcW w:w="850" w:type="dxa"/>
                  <w:vAlign w:val="center"/>
                </w:tcPr>
                <w:p>
                  <w:pPr>
                    <w:tabs>
                      <w:tab w:val="left" w:pos="1770"/>
                    </w:tabs>
                    <w:adjustRightInd w:val="0"/>
                    <w:snapToGrid w:val="0"/>
                    <w:jc w:val="center"/>
                    <w:rPr>
                      <w:color w:val="auto"/>
                      <w:szCs w:val="21"/>
                    </w:rPr>
                  </w:pPr>
                  <w:r>
                    <w:rPr>
                      <w:rFonts w:hint="eastAsia"/>
                      <w:color w:val="auto"/>
                      <w:szCs w:val="21"/>
                    </w:rPr>
                    <w:t>≤1</w:t>
                  </w:r>
                  <w:r>
                    <w:rPr>
                      <w:color w:val="auto"/>
                      <w:szCs w:val="21"/>
                    </w:rPr>
                    <w:t>50</w:t>
                  </w:r>
                </w:p>
              </w:tc>
              <w:tc>
                <w:tcPr>
                  <w:tcW w:w="851" w:type="dxa"/>
                  <w:vAlign w:val="center"/>
                </w:tcPr>
                <w:p>
                  <w:pPr>
                    <w:tabs>
                      <w:tab w:val="left" w:pos="1770"/>
                    </w:tabs>
                    <w:adjustRightInd w:val="0"/>
                    <w:snapToGrid w:val="0"/>
                    <w:jc w:val="center"/>
                    <w:rPr>
                      <w:color w:val="auto"/>
                      <w:szCs w:val="21"/>
                    </w:rPr>
                  </w:pPr>
                  <w:r>
                    <w:rPr>
                      <w:rFonts w:hint="eastAsia"/>
                      <w:color w:val="auto"/>
                      <w:szCs w:val="21"/>
                    </w:rPr>
                    <w:t>≤8</w:t>
                  </w:r>
                  <w:r>
                    <w:rPr>
                      <w:color w:val="auto"/>
                      <w:szCs w:val="21"/>
                    </w:rPr>
                    <w:t>0</w:t>
                  </w:r>
                </w:p>
              </w:tc>
              <w:tc>
                <w:tcPr>
                  <w:tcW w:w="850" w:type="dxa"/>
                  <w:vAlign w:val="center"/>
                </w:tcPr>
                <w:p>
                  <w:pPr>
                    <w:tabs>
                      <w:tab w:val="left" w:pos="1770"/>
                    </w:tabs>
                    <w:adjustRightInd w:val="0"/>
                    <w:snapToGrid w:val="0"/>
                    <w:jc w:val="center"/>
                    <w:rPr>
                      <w:color w:val="auto"/>
                      <w:szCs w:val="21"/>
                    </w:rPr>
                  </w:pPr>
                  <w:r>
                    <w:rPr>
                      <w:rFonts w:hint="eastAsia"/>
                      <w:color w:val="auto"/>
                      <w:szCs w:val="21"/>
                    </w:rPr>
                    <w:t>≤1</w:t>
                  </w:r>
                  <w:r>
                    <w:rPr>
                      <w:color w:val="auto"/>
                      <w:szCs w:val="21"/>
                    </w:rPr>
                    <w:t>50</w:t>
                  </w:r>
                </w:p>
              </w:tc>
              <w:tc>
                <w:tcPr>
                  <w:tcW w:w="823" w:type="dxa"/>
                  <w:vAlign w:val="center"/>
                </w:tcPr>
                <w:p>
                  <w:pPr>
                    <w:tabs>
                      <w:tab w:val="left" w:pos="1770"/>
                    </w:tabs>
                    <w:adjustRightInd w:val="0"/>
                    <w:snapToGrid w:val="0"/>
                    <w:jc w:val="center"/>
                    <w:rPr>
                      <w:color w:val="auto"/>
                      <w:szCs w:val="21"/>
                    </w:rPr>
                  </w:pPr>
                  <w:r>
                    <w:rPr>
                      <w:rFonts w:hint="eastAsia"/>
                      <w:color w:val="auto"/>
                      <w:szCs w:val="21"/>
                    </w:rPr>
                    <w:t>≤</w:t>
                  </w:r>
                  <w:r>
                    <w:rPr>
                      <w:color w:val="auto"/>
                      <w:szCs w:val="21"/>
                    </w:rPr>
                    <w:t>300</w:t>
                  </w:r>
                </w:p>
              </w:tc>
            </w:tr>
          </w:tbl>
          <w:p>
            <w:pPr>
              <w:pStyle w:val="46"/>
              <w:adjustRightInd w:val="0"/>
              <w:snapToGrid/>
              <w:ind w:firstLine="480" w:firstLineChars="200"/>
              <w:rPr>
                <w:rFonts w:ascii="Times New Roman"/>
                <w:color w:val="auto"/>
                <w:szCs w:val="21"/>
              </w:rPr>
            </w:pPr>
            <w:r>
              <w:rPr>
                <w:rFonts w:ascii="Times New Roman"/>
                <w:color w:val="auto"/>
                <w:szCs w:val="21"/>
              </w:rPr>
              <w:t>监测结果表明，项目所在区域的环境空气中评价因子NO、SO</w:t>
            </w:r>
            <w:r>
              <w:rPr>
                <w:rFonts w:ascii="Times New Roman"/>
                <w:color w:val="auto"/>
                <w:szCs w:val="21"/>
                <w:vertAlign w:val="subscript"/>
              </w:rPr>
              <w:t>2</w:t>
            </w:r>
            <w:r>
              <w:rPr>
                <w:rFonts w:ascii="Times New Roman"/>
                <w:color w:val="auto"/>
                <w:szCs w:val="21"/>
              </w:rPr>
              <w:t>、PM</w:t>
            </w:r>
            <w:r>
              <w:rPr>
                <w:rFonts w:ascii="Times New Roman"/>
                <w:color w:val="auto"/>
                <w:szCs w:val="21"/>
                <w:vertAlign w:val="subscript"/>
              </w:rPr>
              <w:t>10</w:t>
            </w:r>
            <w:r>
              <w:rPr>
                <w:rFonts w:ascii="Times New Roman"/>
                <w:color w:val="auto"/>
                <w:szCs w:val="21"/>
              </w:rPr>
              <w:t>、</w:t>
            </w:r>
            <w:r>
              <w:rPr>
                <w:rFonts w:hint="eastAsia" w:ascii="Times New Roman"/>
                <w:color w:val="auto"/>
                <w:szCs w:val="21"/>
              </w:rPr>
              <w:t>T</w:t>
            </w:r>
            <w:r>
              <w:rPr>
                <w:rFonts w:ascii="Times New Roman"/>
                <w:color w:val="auto"/>
                <w:szCs w:val="21"/>
              </w:rPr>
              <w:t>SP达到《环境空气质量标准》(GB3095—2012)</w:t>
            </w:r>
            <w:r>
              <w:rPr>
                <w:rFonts w:hint="eastAsia" w:ascii="Times New Roman"/>
                <w:color w:val="auto"/>
                <w:szCs w:val="21"/>
                <w:lang w:eastAsia="zh-CN"/>
              </w:rPr>
              <w:t>及</w:t>
            </w:r>
            <w:r>
              <w:rPr>
                <w:rFonts w:hint="eastAsia" w:ascii="Times New Roman"/>
                <w:color w:val="FF0000"/>
                <w:szCs w:val="21"/>
                <w:lang w:val="en-US" w:eastAsia="zh-CN"/>
              </w:rPr>
              <w:t>2018年修改</w:t>
            </w:r>
            <w:r>
              <w:rPr>
                <w:rFonts w:hint="eastAsia" w:ascii="Times New Roman"/>
                <w:color w:val="auto"/>
                <w:szCs w:val="21"/>
                <w:lang w:val="en-US" w:eastAsia="zh-CN"/>
              </w:rPr>
              <w:t>单</w:t>
            </w:r>
            <w:r>
              <w:rPr>
                <w:rFonts w:ascii="Times New Roman"/>
                <w:color w:val="auto"/>
                <w:szCs w:val="21"/>
              </w:rPr>
              <w:t>二级标准，说明所在区域环境质量较好。</w:t>
            </w:r>
          </w:p>
          <w:p>
            <w:pPr>
              <w:pStyle w:val="46"/>
              <w:adjustRightInd w:val="0"/>
              <w:snapToGrid/>
              <w:ind w:firstLine="482" w:firstLineChars="200"/>
              <w:rPr>
                <w:rFonts w:ascii="Times New Roman"/>
                <w:b/>
                <w:color w:val="auto"/>
                <w:szCs w:val="21"/>
                <w:highlight w:val="none"/>
              </w:rPr>
            </w:pPr>
            <w:r>
              <w:rPr>
                <w:rFonts w:ascii="Times New Roman"/>
                <w:b/>
                <w:color w:val="auto"/>
                <w:szCs w:val="21"/>
                <w:highlight w:val="none"/>
              </w:rPr>
              <w:t>二、地表水环境质量现状</w:t>
            </w:r>
          </w:p>
          <w:p>
            <w:pPr>
              <w:pStyle w:val="46"/>
              <w:adjustRightInd w:val="0"/>
              <w:snapToGrid/>
              <w:ind w:firstLine="480" w:firstLineChars="200"/>
              <w:rPr>
                <w:rFonts w:ascii="Times New Roman"/>
                <w:color w:val="auto"/>
                <w:szCs w:val="21"/>
              </w:rPr>
            </w:pPr>
            <w:r>
              <w:rPr>
                <w:rFonts w:ascii="Times New Roman"/>
                <w:color w:val="auto"/>
                <w:szCs w:val="21"/>
              </w:rPr>
              <w:t>项目所在区域附近水体为</w:t>
            </w:r>
            <w:r>
              <w:rPr>
                <w:rFonts w:hint="eastAsia" w:ascii="Times New Roman"/>
                <w:color w:val="auto"/>
                <w:szCs w:val="21"/>
                <w:lang w:eastAsia="zh-CN"/>
              </w:rPr>
              <w:t>引榕总干渠</w:t>
            </w:r>
            <w:r>
              <w:rPr>
                <w:rFonts w:ascii="Times New Roman"/>
                <w:color w:val="auto"/>
                <w:szCs w:val="21"/>
              </w:rPr>
              <w:t>，执行《地表水环境质量标准》（GB3838-2002）中的</w:t>
            </w:r>
            <w:r>
              <w:rPr>
                <w:rFonts w:hint="eastAsia" w:ascii="Times New Roman"/>
                <w:color w:val="auto"/>
                <w:szCs w:val="21"/>
              </w:rPr>
              <w:t>Ⅲ</w:t>
            </w:r>
            <w:r>
              <w:rPr>
                <w:rFonts w:ascii="Times New Roman"/>
                <w:color w:val="auto"/>
                <w:szCs w:val="21"/>
              </w:rPr>
              <w:t>类标准，根据</w:t>
            </w:r>
            <w:r>
              <w:rPr>
                <w:rFonts w:hint="default" w:ascii="Times New Roman"/>
                <w:color w:val="auto"/>
                <w:szCs w:val="21"/>
              </w:rPr>
              <w:t>深圳市清华环科检测技术有限公司</w:t>
            </w:r>
            <w:r>
              <w:rPr>
                <w:rFonts w:ascii="Times New Roman"/>
                <w:color w:val="auto"/>
                <w:szCs w:val="21"/>
              </w:rPr>
              <w:t>于201</w:t>
            </w:r>
            <w:r>
              <w:rPr>
                <w:rFonts w:hint="eastAsia" w:ascii="Times New Roman"/>
                <w:color w:val="auto"/>
                <w:szCs w:val="21"/>
                <w:lang w:val="en-US" w:eastAsia="zh-CN"/>
              </w:rPr>
              <w:t>9</w:t>
            </w:r>
            <w:r>
              <w:rPr>
                <w:rFonts w:ascii="Times New Roman"/>
                <w:color w:val="auto"/>
                <w:szCs w:val="21"/>
              </w:rPr>
              <w:t>年</w:t>
            </w:r>
            <w:r>
              <w:rPr>
                <w:rFonts w:hint="eastAsia" w:ascii="Times New Roman"/>
                <w:color w:val="auto"/>
                <w:szCs w:val="21"/>
                <w:lang w:val="en-US" w:eastAsia="zh-CN"/>
              </w:rPr>
              <w:t>3</w:t>
            </w:r>
            <w:r>
              <w:rPr>
                <w:rFonts w:ascii="Times New Roman"/>
                <w:color w:val="auto"/>
                <w:szCs w:val="21"/>
              </w:rPr>
              <w:t>月</w:t>
            </w:r>
            <w:r>
              <w:rPr>
                <w:rFonts w:hint="eastAsia" w:ascii="Times New Roman"/>
                <w:color w:val="auto"/>
                <w:szCs w:val="21"/>
                <w:lang w:val="en-US" w:eastAsia="zh-CN"/>
              </w:rPr>
              <w:t>4</w:t>
            </w:r>
            <w:r>
              <w:rPr>
                <w:rFonts w:ascii="Times New Roman"/>
                <w:color w:val="auto"/>
                <w:szCs w:val="21"/>
              </w:rPr>
              <w:t>－</w:t>
            </w:r>
            <w:r>
              <w:rPr>
                <w:rFonts w:hint="eastAsia" w:ascii="Times New Roman"/>
                <w:color w:val="auto"/>
                <w:szCs w:val="21"/>
                <w:lang w:val="en-US" w:eastAsia="zh-CN"/>
              </w:rPr>
              <w:t>6</w:t>
            </w:r>
            <w:r>
              <w:rPr>
                <w:rFonts w:ascii="Times New Roman"/>
                <w:color w:val="auto"/>
                <w:szCs w:val="21"/>
              </w:rPr>
              <w:t>日对</w:t>
            </w:r>
            <w:r>
              <w:rPr>
                <w:rFonts w:hint="eastAsia" w:ascii="Times New Roman"/>
                <w:color w:val="auto"/>
                <w:szCs w:val="21"/>
                <w:lang w:eastAsia="zh-CN"/>
              </w:rPr>
              <w:t>引榕总干渠</w:t>
            </w:r>
            <w:r>
              <w:rPr>
                <w:rFonts w:ascii="Times New Roman"/>
                <w:color w:val="auto"/>
                <w:szCs w:val="21"/>
              </w:rPr>
              <w:t>进行现场实测，</w:t>
            </w:r>
            <w:r>
              <w:rPr>
                <w:rFonts w:hint="eastAsia" w:ascii="Times New Roman"/>
                <w:color w:val="auto"/>
                <w:szCs w:val="21"/>
              </w:rPr>
              <w:t>监测点位示意图见附图</w:t>
            </w:r>
            <w:r>
              <w:rPr>
                <w:rFonts w:hint="eastAsia" w:ascii="Times New Roman"/>
                <w:color w:val="auto"/>
                <w:szCs w:val="21"/>
                <w:lang w:val="en-US" w:eastAsia="zh-CN"/>
              </w:rPr>
              <w:t>11</w:t>
            </w:r>
            <w:r>
              <w:rPr>
                <w:rFonts w:hint="eastAsia" w:ascii="Times New Roman"/>
                <w:color w:val="auto"/>
                <w:szCs w:val="21"/>
              </w:rPr>
              <w:t>，</w:t>
            </w:r>
            <w:r>
              <w:rPr>
                <w:rFonts w:ascii="Times New Roman"/>
                <w:color w:val="auto"/>
                <w:szCs w:val="21"/>
              </w:rPr>
              <w:t>监测结果如下表3-3：</w:t>
            </w:r>
          </w:p>
          <w:p>
            <w:pPr>
              <w:widowControl/>
              <w:tabs>
                <w:tab w:val="left" w:pos="945"/>
              </w:tabs>
              <w:autoSpaceDE w:val="0"/>
              <w:autoSpaceDN w:val="0"/>
              <w:jc w:val="center"/>
              <w:rPr>
                <w:b/>
                <w:color w:val="auto"/>
                <w:sz w:val="24"/>
              </w:rPr>
            </w:pPr>
            <w:r>
              <w:rPr>
                <w:b/>
                <w:color w:val="auto"/>
                <w:sz w:val="24"/>
              </w:rPr>
              <w:t xml:space="preserve">表3-3  </w:t>
            </w:r>
            <w:r>
              <w:rPr>
                <w:rFonts w:hint="eastAsia"/>
                <w:b/>
                <w:color w:val="auto"/>
                <w:sz w:val="24"/>
              </w:rPr>
              <w:t>地表水</w:t>
            </w:r>
            <w:r>
              <w:rPr>
                <w:b/>
                <w:color w:val="auto"/>
                <w:sz w:val="24"/>
              </w:rPr>
              <w:t>环境质量现状表</w:t>
            </w:r>
          </w:p>
          <w:tbl>
            <w:tblPr>
              <w:tblStyle w:val="32"/>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1984"/>
              <w:gridCol w:w="1418"/>
              <w:gridCol w:w="1392"/>
              <w:gridCol w:w="1443"/>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restart"/>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rPr>
                    <w:t>采样地点</w:t>
                  </w:r>
                </w:p>
              </w:tc>
              <w:tc>
                <w:tcPr>
                  <w:tcW w:w="1984" w:type="dxa"/>
                  <w:vMerge w:val="restart"/>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rPr>
                    <w:t>检测项目</w:t>
                  </w:r>
                </w:p>
              </w:tc>
              <w:tc>
                <w:tcPr>
                  <w:tcW w:w="4253" w:type="dxa"/>
                  <w:gridSpan w:val="3"/>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rPr>
                    <w:t>检测结果</w:t>
                  </w:r>
                </w:p>
              </w:tc>
              <w:tc>
                <w:tcPr>
                  <w:tcW w:w="1673" w:type="dxa"/>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rPr>
                    <w:t>排放标准限值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b/>
                      <w:color w:val="auto"/>
                      <w:sz w:val="21"/>
                      <w:szCs w:val="21"/>
                    </w:rPr>
                  </w:pPr>
                </w:p>
              </w:tc>
              <w:tc>
                <w:tcPr>
                  <w:tcW w:w="1984" w:type="dxa"/>
                  <w:vMerge w:val="continue"/>
                  <w:vAlign w:val="center"/>
                </w:tcPr>
                <w:p>
                  <w:pPr>
                    <w:pStyle w:val="46"/>
                    <w:adjustRightInd w:val="0"/>
                    <w:snapToGrid/>
                    <w:spacing w:line="240" w:lineRule="auto"/>
                    <w:ind w:firstLine="0"/>
                    <w:jc w:val="center"/>
                    <w:rPr>
                      <w:rFonts w:ascii="Times New Roman"/>
                      <w:b/>
                      <w:color w:val="auto"/>
                      <w:sz w:val="21"/>
                      <w:szCs w:val="21"/>
                    </w:rPr>
                  </w:pPr>
                </w:p>
              </w:tc>
              <w:tc>
                <w:tcPr>
                  <w:tcW w:w="4253" w:type="dxa"/>
                  <w:gridSpan w:val="3"/>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rPr>
                    <w:t>单位：mg</w:t>
                  </w:r>
                  <w:r>
                    <w:rPr>
                      <w:rFonts w:ascii="Times New Roman"/>
                      <w:b/>
                      <w:color w:val="auto"/>
                      <w:sz w:val="21"/>
                      <w:szCs w:val="21"/>
                    </w:rPr>
                    <w:t>/L</w:t>
                  </w:r>
                  <w:r>
                    <w:rPr>
                      <w:rFonts w:hint="eastAsia" w:ascii="Times New Roman"/>
                      <w:b/>
                      <w:color w:val="auto"/>
                      <w:sz w:val="21"/>
                      <w:szCs w:val="21"/>
                    </w:rPr>
                    <w:t>（除p</w:t>
                  </w:r>
                  <w:r>
                    <w:rPr>
                      <w:rFonts w:ascii="Times New Roman"/>
                      <w:b/>
                      <w:color w:val="auto"/>
                      <w:sz w:val="21"/>
                      <w:szCs w:val="21"/>
                    </w:rPr>
                    <w:t>H</w:t>
                  </w:r>
                  <w:r>
                    <w:rPr>
                      <w:rFonts w:hint="eastAsia" w:ascii="Times New Roman"/>
                      <w:b/>
                      <w:color w:val="auto"/>
                      <w:sz w:val="21"/>
                      <w:szCs w:val="21"/>
                    </w:rPr>
                    <w:t>值外）</w:t>
                  </w:r>
                </w:p>
              </w:tc>
              <w:tc>
                <w:tcPr>
                  <w:tcW w:w="1673" w:type="dxa"/>
                  <w:vMerge w:val="restart"/>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rPr>
                    <w:t>单位：mg</w:t>
                  </w:r>
                  <w:r>
                    <w:rPr>
                      <w:rFonts w:ascii="Times New Roman"/>
                      <w:b/>
                      <w:color w:val="auto"/>
                      <w:sz w:val="21"/>
                      <w:szCs w:val="21"/>
                    </w:rPr>
                    <w:t>/L</w:t>
                  </w:r>
                  <w:r>
                    <w:rPr>
                      <w:rFonts w:hint="eastAsia" w:ascii="Times New Roman"/>
                      <w:b/>
                      <w:color w:val="auto"/>
                      <w:sz w:val="21"/>
                      <w:szCs w:val="21"/>
                    </w:rPr>
                    <w:t>（除p</w:t>
                  </w:r>
                  <w:r>
                    <w:rPr>
                      <w:rFonts w:ascii="Times New Roman"/>
                      <w:b/>
                      <w:color w:val="auto"/>
                      <w:sz w:val="21"/>
                      <w:szCs w:val="21"/>
                    </w:rPr>
                    <w:t>H</w:t>
                  </w:r>
                  <w:r>
                    <w:rPr>
                      <w:rFonts w:hint="eastAsia" w:ascii="Times New Roman"/>
                      <w:b/>
                      <w:color w:val="auto"/>
                      <w:sz w:val="21"/>
                      <w:szCs w:val="21"/>
                    </w:rPr>
                    <w:t>值外）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418" w:type="dxa"/>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lang w:val="en-US" w:eastAsia="zh-CN"/>
                    </w:rPr>
                    <w:t>3</w:t>
                  </w:r>
                  <w:r>
                    <w:rPr>
                      <w:rFonts w:hint="eastAsia" w:ascii="Times New Roman"/>
                      <w:b/>
                      <w:color w:val="auto"/>
                      <w:sz w:val="21"/>
                      <w:szCs w:val="21"/>
                    </w:rPr>
                    <w:t>月</w:t>
                  </w:r>
                  <w:r>
                    <w:rPr>
                      <w:rFonts w:hint="eastAsia" w:ascii="Times New Roman"/>
                      <w:b/>
                      <w:color w:val="auto"/>
                      <w:sz w:val="21"/>
                      <w:szCs w:val="21"/>
                      <w:lang w:val="en-US" w:eastAsia="zh-CN"/>
                    </w:rPr>
                    <w:t>4</w:t>
                  </w:r>
                  <w:r>
                    <w:rPr>
                      <w:rFonts w:hint="eastAsia" w:ascii="Times New Roman"/>
                      <w:b/>
                      <w:color w:val="auto"/>
                      <w:sz w:val="21"/>
                      <w:szCs w:val="21"/>
                    </w:rPr>
                    <w:t>日</w:t>
                  </w:r>
                </w:p>
              </w:tc>
              <w:tc>
                <w:tcPr>
                  <w:tcW w:w="1392" w:type="dxa"/>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lang w:val="en-US" w:eastAsia="zh-CN"/>
                    </w:rPr>
                    <w:t>3</w:t>
                  </w:r>
                  <w:r>
                    <w:rPr>
                      <w:rFonts w:hint="eastAsia" w:ascii="Times New Roman"/>
                      <w:b/>
                      <w:color w:val="auto"/>
                      <w:sz w:val="21"/>
                      <w:szCs w:val="21"/>
                    </w:rPr>
                    <w:t>月</w:t>
                  </w:r>
                  <w:r>
                    <w:rPr>
                      <w:rFonts w:hint="eastAsia" w:ascii="Times New Roman"/>
                      <w:b/>
                      <w:color w:val="auto"/>
                      <w:sz w:val="21"/>
                      <w:szCs w:val="21"/>
                      <w:lang w:val="en-US" w:eastAsia="zh-CN"/>
                    </w:rPr>
                    <w:t>5</w:t>
                  </w:r>
                  <w:r>
                    <w:rPr>
                      <w:rFonts w:hint="eastAsia" w:ascii="Times New Roman"/>
                      <w:b/>
                      <w:color w:val="auto"/>
                      <w:sz w:val="21"/>
                      <w:szCs w:val="21"/>
                    </w:rPr>
                    <w:t>日</w:t>
                  </w:r>
                </w:p>
              </w:tc>
              <w:tc>
                <w:tcPr>
                  <w:tcW w:w="1443" w:type="dxa"/>
                  <w:vAlign w:val="center"/>
                </w:tcPr>
                <w:p>
                  <w:pPr>
                    <w:pStyle w:val="46"/>
                    <w:adjustRightInd w:val="0"/>
                    <w:snapToGrid/>
                    <w:spacing w:line="240" w:lineRule="auto"/>
                    <w:ind w:firstLine="0"/>
                    <w:jc w:val="center"/>
                    <w:rPr>
                      <w:rFonts w:ascii="Times New Roman"/>
                      <w:b/>
                      <w:color w:val="auto"/>
                      <w:sz w:val="21"/>
                      <w:szCs w:val="21"/>
                    </w:rPr>
                  </w:pPr>
                  <w:r>
                    <w:rPr>
                      <w:rFonts w:hint="eastAsia" w:ascii="Times New Roman"/>
                      <w:b/>
                      <w:color w:val="auto"/>
                      <w:sz w:val="21"/>
                      <w:szCs w:val="21"/>
                      <w:lang w:val="en-US" w:eastAsia="zh-CN"/>
                    </w:rPr>
                    <w:t>3</w:t>
                  </w:r>
                  <w:r>
                    <w:rPr>
                      <w:rFonts w:hint="eastAsia" w:ascii="Times New Roman"/>
                      <w:b/>
                      <w:color w:val="auto"/>
                      <w:sz w:val="21"/>
                      <w:szCs w:val="21"/>
                    </w:rPr>
                    <w:t>月</w:t>
                  </w:r>
                  <w:r>
                    <w:rPr>
                      <w:rFonts w:hint="eastAsia" w:ascii="Times New Roman"/>
                      <w:b/>
                      <w:color w:val="auto"/>
                      <w:sz w:val="21"/>
                      <w:szCs w:val="21"/>
                      <w:lang w:val="en-US" w:eastAsia="zh-CN"/>
                    </w:rPr>
                    <w:t>6</w:t>
                  </w:r>
                  <w:r>
                    <w:rPr>
                      <w:rFonts w:hint="eastAsia" w:ascii="Times New Roman"/>
                      <w:b/>
                      <w:color w:val="auto"/>
                      <w:sz w:val="21"/>
                      <w:szCs w:val="21"/>
                    </w:rPr>
                    <w:t>日</w:t>
                  </w:r>
                </w:p>
              </w:tc>
              <w:tc>
                <w:tcPr>
                  <w:tcW w:w="1673" w:type="dxa"/>
                  <w:vMerge w:val="continue"/>
                  <w:vAlign w:val="center"/>
                </w:tcPr>
                <w:p>
                  <w:pPr>
                    <w:pStyle w:val="46"/>
                    <w:adjustRightInd w:val="0"/>
                    <w:snapToGrid/>
                    <w:spacing w:line="240" w:lineRule="auto"/>
                    <w:ind w:firstLine="0"/>
                    <w:jc w:val="center"/>
                    <w:rPr>
                      <w:rFonts w:ascii="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restart"/>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引榕</w:t>
                  </w:r>
                  <w:r>
                    <w:rPr>
                      <w:rFonts w:hint="eastAsia" w:ascii="Times New Roman"/>
                      <w:color w:val="auto"/>
                      <w:sz w:val="21"/>
                      <w:szCs w:val="21"/>
                      <w:lang w:eastAsia="zh-CN"/>
                    </w:rPr>
                    <w:t>总干渠</w:t>
                  </w:r>
                  <w:r>
                    <w:rPr>
                      <w:rFonts w:hint="eastAsia" w:ascii="Times New Roman"/>
                      <w:color w:val="auto"/>
                      <w:sz w:val="21"/>
                      <w:szCs w:val="21"/>
                    </w:rPr>
                    <w:t>渠梅塘段（</w:t>
                  </w:r>
                  <w:r>
                    <w:rPr>
                      <w:rFonts w:hint="eastAsia" w:ascii="Times New Roman"/>
                      <w:color w:val="auto"/>
                      <w:sz w:val="21"/>
                      <w:szCs w:val="21"/>
                      <w:lang w:eastAsia="zh-CN"/>
                    </w:rPr>
                    <w:t>引榕南</w:t>
                  </w:r>
                  <w:r>
                    <w:rPr>
                      <w:rFonts w:hint="eastAsia" w:ascii="Times New Roman"/>
                      <w:color w:val="auto"/>
                      <w:sz w:val="21"/>
                      <w:szCs w:val="21"/>
                    </w:rPr>
                    <w:t>村附近）W</w:t>
                  </w:r>
                  <w:r>
                    <w:rPr>
                      <w:rFonts w:ascii="Times New Roman"/>
                      <w:color w:val="auto"/>
                      <w:sz w:val="21"/>
                      <w:szCs w:val="21"/>
                    </w:rPr>
                    <w:t>1</w:t>
                  </w: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水温（℃）</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2</w:t>
                  </w:r>
                  <w:r>
                    <w:rPr>
                      <w:rFonts w:hint="eastAsia" w:ascii="Times New Roman"/>
                      <w:color w:val="auto"/>
                      <w:sz w:val="21"/>
                      <w:szCs w:val="21"/>
                      <w:lang w:val="en-US" w:eastAsia="zh-CN"/>
                    </w:rPr>
                    <w:t>3.4</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2</w:t>
                  </w:r>
                  <w:r>
                    <w:rPr>
                      <w:rFonts w:hint="eastAsia" w:ascii="Times New Roman"/>
                      <w:color w:val="auto"/>
                      <w:sz w:val="21"/>
                      <w:szCs w:val="21"/>
                      <w:lang w:val="en-US" w:eastAsia="zh-CN"/>
                    </w:rPr>
                    <w:t>3.8</w:t>
                  </w:r>
                </w:p>
              </w:tc>
              <w:tc>
                <w:tcPr>
                  <w:tcW w:w="1443"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2</w:t>
                  </w:r>
                  <w:r>
                    <w:rPr>
                      <w:rFonts w:ascii="Times New Roman"/>
                      <w:color w:val="auto"/>
                      <w:sz w:val="21"/>
                      <w:szCs w:val="21"/>
                    </w:rPr>
                    <w:t>3.1</w:t>
                  </w:r>
                </w:p>
              </w:tc>
              <w:tc>
                <w:tcPr>
                  <w:tcW w:w="1673"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w:t>
                  </w:r>
                  <w:r>
                    <w:rPr>
                      <w:rFonts w:ascii="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p</w:t>
                  </w:r>
                  <w:r>
                    <w:rPr>
                      <w:rFonts w:ascii="Times New Roman"/>
                      <w:color w:val="auto"/>
                      <w:sz w:val="21"/>
                      <w:szCs w:val="21"/>
                    </w:rPr>
                    <w:t>H</w:t>
                  </w:r>
                  <w:r>
                    <w:rPr>
                      <w:rFonts w:hint="eastAsia" w:ascii="Times New Roman"/>
                      <w:color w:val="auto"/>
                      <w:sz w:val="21"/>
                      <w:szCs w:val="21"/>
                    </w:rPr>
                    <w:t>值</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7.48</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7.52</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7.51</w:t>
                  </w:r>
                </w:p>
              </w:tc>
              <w:tc>
                <w:tcPr>
                  <w:tcW w:w="1673"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6~</w:t>
                  </w:r>
                  <w:r>
                    <w:rPr>
                      <w:rFonts w:ascii="Times New Roman"/>
                      <w:color w:val="auto"/>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溶解氧</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2.14</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2.26</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2.21</w:t>
                  </w:r>
                </w:p>
              </w:tc>
              <w:tc>
                <w:tcPr>
                  <w:tcW w:w="167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w:t>
                  </w:r>
                  <w:r>
                    <w:rPr>
                      <w:rFonts w:hint="eastAsia" w:ascii="Times New Roman"/>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悬浮物</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22</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24</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26</w:t>
                  </w:r>
                </w:p>
              </w:tc>
              <w:tc>
                <w:tcPr>
                  <w:tcW w:w="167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w:t>
                  </w:r>
                  <w:r>
                    <w:rPr>
                      <w:rFonts w:hint="eastAsia" w:ascii="Times New Roman"/>
                      <w:color w:val="auto"/>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化学需氧量</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28</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27</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31</w:t>
                  </w:r>
                </w:p>
              </w:tc>
              <w:tc>
                <w:tcPr>
                  <w:tcW w:w="167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w:t>
                  </w:r>
                  <w:r>
                    <w:rPr>
                      <w:rFonts w:hint="eastAsia" w:ascii="Times New Roman"/>
                      <w:color w:val="auto"/>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五日生化需氧量</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5.5</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6.2</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5.6</w:t>
                  </w:r>
                </w:p>
              </w:tc>
              <w:tc>
                <w:tcPr>
                  <w:tcW w:w="167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w:t>
                  </w:r>
                  <w:r>
                    <w:rPr>
                      <w:rFonts w:hint="eastAsia" w:ascii="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氨氮</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5.08</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5.45</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5.07</w:t>
                  </w:r>
                </w:p>
              </w:tc>
              <w:tc>
                <w:tcPr>
                  <w:tcW w:w="167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w:t>
                  </w:r>
                  <w:r>
                    <w:rPr>
                      <w:rFonts w:hint="eastAsia" w:ascii="Times New Roman"/>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35" w:type="dxa"/>
                  <w:vMerge w:val="continue"/>
                  <w:vAlign w:val="center"/>
                </w:tcPr>
                <w:p>
                  <w:pPr>
                    <w:pStyle w:val="46"/>
                    <w:adjustRightInd w:val="0"/>
                    <w:snapToGrid/>
                    <w:spacing w:line="240" w:lineRule="auto"/>
                    <w:ind w:firstLine="0"/>
                    <w:jc w:val="center"/>
                    <w:rPr>
                      <w:rFonts w:ascii="Times New Roman"/>
                      <w:color w:val="auto"/>
                      <w:sz w:val="21"/>
                      <w:szCs w:val="21"/>
                    </w:rPr>
                  </w:pPr>
                </w:p>
              </w:tc>
              <w:tc>
                <w:tcPr>
                  <w:tcW w:w="1984" w:type="dxa"/>
                  <w:vAlign w:val="center"/>
                </w:tcPr>
                <w:p>
                  <w:pPr>
                    <w:pStyle w:val="46"/>
                    <w:adjustRightInd w:val="0"/>
                    <w:snapToGrid/>
                    <w:spacing w:line="240" w:lineRule="auto"/>
                    <w:ind w:firstLine="0"/>
                    <w:jc w:val="center"/>
                    <w:rPr>
                      <w:rFonts w:ascii="Times New Roman"/>
                      <w:color w:val="auto"/>
                      <w:sz w:val="21"/>
                      <w:szCs w:val="21"/>
                    </w:rPr>
                  </w:pPr>
                  <w:r>
                    <w:rPr>
                      <w:rFonts w:hint="eastAsia" w:ascii="Times New Roman"/>
                      <w:color w:val="auto"/>
                      <w:sz w:val="21"/>
                      <w:szCs w:val="21"/>
                    </w:rPr>
                    <w:t>总磷</w:t>
                  </w:r>
                </w:p>
              </w:tc>
              <w:tc>
                <w:tcPr>
                  <w:tcW w:w="1418"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0</w:t>
                  </w:r>
                  <w:r>
                    <w:rPr>
                      <w:rFonts w:ascii="Times New Roman"/>
                      <w:color w:val="auto"/>
                      <w:sz w:val="21"/>
                      <w:szCs w:val="21"/>
                    </w:rPr>
                    <w:t>.</w:t>
                  </w:r>
                  <w:r>
                    <w:rPr>
                      <w:rFonts w:hint="eastAsia" w:ascii="Times New Roman"/>
                      <w:color w:val="auto"/>
                      <w:sz w:val="21"/>
                      <w:szCs w:val="21"/>
                      <w:lang w:val="en-US" w:eastAsia="zh-CN"/>
                    </w:rPr>
                    <w:t>97</w:t>
                  </w:r>
                </w:p>
              </w:tc>
              <w:tc>
                <w:tcPr>
                  <w:tcW w:w="1392"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rPr>
                    <w:t>0</w:t>
                  </w:r>
                  <w:r>
                    <w:rPr>
                      <w:rFonts w:ascii="Times New Roman"/>
                      <w:color w:val="auto"/>
                      <w:sz w:val="21"/>
                      <w:szCs w:val="21"/>
                    </w:rPr>
                    <w:t>.</w:t>
                  </w:r>
                  <w:r>
                    <w:rPr>
                      <w:rFonts w:hint="eastAsia" w:ascii="Times New Roman"/>
                      <w:color w:val="auto"/>
                      <w:sz w:val="21"/>
                      <w:szCs w:val="21"/>
                      <w:lang w:val="en-US" w:eastAsia="zh-CN"/>
                    </w:rPr>
                    <w:t>96</w:t>
                  </w:r>
                </w:p>
              </w:tc>
              <w:tc>
                <w:tcPr>
                  <w:tcW w:w="1443" w:type="dxa"/>
                  <w:vAlign w:val="center"/>
                </w:tcPr>
                <w:p>
                  <w:pPr>
                    <w:pStyle w:val="46"/>
                    <w:adjustRightInd w:val="0"/>
                    <w:snapToGrid/>
                    <w:spacing w:line="240" w:lineRule="auto"/>
                    <w:ind w:firstLine="0"/>
                    <w:jc w:val="center"/>
                    <w:rPr>
                      <w:rFonts w:hint="default" w:ascii="Times New Roman" w:eastAsia="宋体"/>
                      <w:color w:val="auto"/>
                      <w:sz w:val="21"/>
                      <w:szCs w:val="21"/>
                      <w:lang w:val="en-US" w:eastAsia="zh-CN"/>
                    </w:rPr>
                  </w:pPr>
                  <w:r>
                    <w:rPr>
                      <w:rFonts w:hint="eastAsia" w:ascii="Times New Roman"/>
                      <w:color w:val="auto"/>
                      <w:sz w:val="21"/>
                      <w:szCs w:val="21"/>
                      <w:lang w:val="en-US" w:eastAsia="zh-CN"/>
                    </w:rPr>
                    <w:t>0.92</w:t>
                  </w:r>
                </w:p>
              </w:tc>
              <w:tc>
                <w:tcPr>
                  <w:tcW w:w="1673" w:type="dxa"/>
                  <w:vAlign w:val="center"/>
                </w:tcPr>
                <w:p>
                  <w:pPr>
                    <w:pStyle w:val="46"/>
                    <w:adjustRightInd w:val="0"/>
                    <w:snapToGrid/>
                    <w:spacing w:line="240" w:lineRule="auto"/>
                    <w:ind w:firstLine="0"/>
                    <w:jc w:val="center"/>
                    <w:rPr>
                      <w:rFonts w:hint="eastAsia" w:ascii="Times New Roman" w:eastAsia="宋体"/>
                      <w:color w:val="auto"/>
                      <w:sz w:val="21"/>
                      <w:szCs w:val="21"/>
                      <w:lang w:eastAsia="zh-CN"/>
                    </w:rPr>
                  </w:pPr>
                  <w:r>
                    <w:rPr>
                      <w:rFonts w:hint="eastAsia" w:ascii="Times New Roman"/>
                      <w:color w:val="auto"/>
                      <w:sz w:val="21"/>
                      <w:szCs w:val="21"/>
                    </w:rPr>
                    <w:t>≤</w:t>
                  </w:r>
                  <w:r>
                    <w:rPr>
                      <w:rFonts w:ascii="Times New Roman"/>
                      <w:color w:val="auto"/>
                      <w:sz w:val="21"/>
                      <w:szCs w:val="21"/>
                    </w:rPr>
                    <w:t>0.</w:t>
                  </w:r>
                  <w:r>
                    <w:rPr>
                      <w:rFonts w:hint="eastAsia" w:ascii="Times New Roman"/>
                      <w:color w:val="auto"/>
                      <w:sz w:val="21"/>
                      <w:szCs w:val="21"/>
                      <w:lang w:val="en-US" w:eastAsia="zh-CN"/>
                    </w:rPr>
                    <w:t>4</w:t>
                  </w:r>
                </w:p>
              </w:tc>
            </w:tr>
          </w:tbl>
          <w:p>
            <w:pPr>
              <w:pStyle w:val="46"/>
              <w:adjustRightInd w:val="0"/>
              <w:snapToGrid/>
              <w:ind w:firstLine="480" w:firstLineChars="200"/>
              <w:rPr>
                <w:rFonts w:hint="default" w:ascii="Times New Roman"/>
                <w:color w:val="auto"/>
                <w:szCs w:val="21"/>
              </w:rPr>
            </w:pPr>
            <w:r>
              <w:rPr>
                <w:rFonts w:hint="eastAsia" w:ascii="Times New Roman"/>
                <w:color w:val="auto"/>
                <w:szCs w:val="21"/>
              </w:rPr>
              <w:t>监测结果表明：项目附近水体</w:t>
            </w:r>
            <w:r>
              <w:rPr>
                <w:rFonts w:hint="eastAsia" w:ascii="Times New Roman"/>
                <w:color w:val="auto"/>
                <w:szCs w:val="21"/>
                <w:lang w:eastAsia="zh-CN"/>
              </w:rPr>
              <w:t>引榕总干渠梅塘段（引榕南村附近）溶解氧、氨氮、总磷</w:t>
            </w:r>
            <w:r>
              <w:rPr>
                <w:rFonts w:hint="default" w:ascii="Times New Roman"/>
                <w:color w:val="auto"/>
                <w:szCs w:val="21"/>
              </w:rPr>
              <w:t>监测因子</w:t>
            </w:r>
            <w:r>
              <w:rPr>
                <w:rFonts w:hint="default" w:ascii="Times New Roman"/>
                <w:color w:val="auto"/>
                <w:szCs w:val="21"/>
                <w:lang w:eastAsia="zh-CN"/>
              </w:rPr>
              <w:t>水样</w:t>
            </w:r>
            <w:r>
              <w:rPr>
                <w:rFonts w:hint="default" w:ascii="Times New Roman"/>
                <w:color w:val="auto"/>
                <w:szCs w:val="21"/>
              </w:rPr>
              <w:t>超过</w:t>
            </w:r>
            <w:r>
              <w:rPr>
                <w:rFonts w:ascii="Times New Roman"/>
                <w:color w:val="auto"/>
                <w:szCs w:val="21"/>
              </w:rPr>
              <w:t>《地表水环境质量标准》</w:t>
            </w:r>
            <w:r>
              <w:rPr>
                <w:rFonts w:hint="eastAsia" w:ascii="Times New Roman"/>
                <w:color w:val="auto"/>
                <w:szCs w:val="21"/>
              </w:rPr>
              <w:t>（</w:t>
            </w:r>
            <w:r>
              <w:rPr>
                <w:rFonts w:ascii="Times New Roman"/>
                <w:color w:val="auto"/>
                <w:szCs w:val="21"/>
              </w:rPr>
              <w:t>GB3838-2002</w:t>
            </w:r>
            <w:r>
              <w:rPr>
                <w:rFonts w:hint="eastAsia" w:ascii="Times New Roman"/>
                <w:color w:val="auto"/>
                <w:szCs w:val="21"/>
              </w:rPr>
              <w:t>）Ⅲ</w:t>
            </w:r>
            <w:r>
              <w:rPr>
                <w:rFonts w:ascii="Times New Roman"/>
                <w:color w:val="auto"/>
                <w:szCs w:val="21"/>
              </w:rPr>
              <w:t>类水质标准的限值，</w:t>
            </w:r>
            <w:r>
              <w:rPr>
                <w:rFonts w:hint="default" w:ascii="Times New Roman"/>
                <w:color w:val="auto"/>
                <w:szCs w:val="21"/>
              </w:rPr>
              <w:t>其他因子监测结果基本符合标准</w:t>
            </w:r>
            <w:r>
              <w:rPr>
                <w:rFonts w:hint="eastAsia" w:ascii="Times New Roman"/>
                <w:color w:val="auto"/>
                <w:szCs w:val="21"/>
                <w:lang w:eastAsia="zh-CN"/>
              </w:rPr>
              <w:t>，</w:t>
            </w:r>
            <w:r>
              <w:rPr>
                <w:rFonts w:hint="default" w:ascii="Times New Roman"/>
                <w:color w:val="auto"/>
                <w:szCs w:val="21"/>
              </w:rPr>
              <w:t>总体而言，超标现象与水域周边生活污水的排放量有关，大量未经处理的生活污水直接排放对水质产生较大影响。</w:t>
            </w:r>
          </w:p>
          <w:p>
            <w:pPr>
              <w:pStyle w:val="46"/>
              <w:adjustRightInd w:val="0"/>
              <w:snapToGrid/>
              <w:ind w:firstLine="482" w:firstLineChars="200"/>
              <w:rPr>
                <w:rFonts w:ascii="Times New Roman"/>
                <w:b/>
                <w:color w:val="auto"/>
                <w:szCs w:val="21"/>
                <w:highlight w:val="none"/>
              </w:rPr>
            </w:pPr>
            <w:r>
              <w:rPr>
                <w:rFonts w:ascii="Times New Roman"/>
                <w:b/>
                <w:color w:val="auto"/>
                <w:szCs w:val="21"/>
                <w:highlight w:val="none"/>
              </w:rPr>
              <w:t>三、声环境质量现状</w:t>
            </w:r>
          </w:p>
          <w:p>
            <w:pPr>
              <w:pStyle w:val="5"/>
              <w:widowControl/>
              <w:numPr>
                <w:ilvl w:val="0"/>
                <w:numId w:val="0"/>
              </w:numPr>
              <w:shd w:val="clear" w:color="auto" w:fill="FFFFFF"/>
              <w:tabs>
                <w:tab w:val="clear" w:pos="1260"/>
              </w:tabs>
              <w:snapToGrid w:val="0"/>
              <w:spacing w:before="0" w:after="15" w:line="360" w:lineRule="auto"/>
              <w:ind w:firstLine="480" w:firstLineChars="200"/>
              <w:rPr>
                <w:rFonts w:ascii="Times New Roman" w:hAnsi="Times New Roman" w:eastAsia="宋体"/>
                <w:b w:val="0"/>
                <w:bCs/>
                <w:color w:val="auto"/>
                <w:kern w:val="2"/>
                <w:szCs w:val="21"/>
              </w:rPr>
            </w:pPr>
            <w:r>
              <w:rPr>
                <w:rFonts w:ascii="Times New Roman" w:hAnsi="Times New Roman" w:eastAsia="宋体"/>
                <w:b w:val="0"/>
                <w:bCs/>
                <w:color w:val="auto"/>
                <w:kern w:val="2"/>
                <w:szCs w:val="21"/>
              </w:rPr>
              <w:t>项目边界执行《声环境质量标准》（GB3096-2008)中的2类标准。根据</w:t>
            </w:r>
            <w:r>
              <w:rPr>
                <w:rFonts w:hint="default" w:ascii="Times New Roman" w:hAnsi="Times New Roman" w:eastAsia="宋体"/>
                <w:b w:val="0"/>
                <w:bCs/>
                <w:color w:val="auto"/>
                <w:kern w:val="2"/>
                <w:szCs w:val="21"/>
              </w:rPr>
              <w:t>深圳市清华环科检测技术有限公司</w:t>
            </w:r>
            <w:r>
              <w:rPr>
                <w:rFonts w:ascii="Times New Roman" w:hAnsi="Times New Roman" w:eastAsia="宋体"/>
                <w:b w:val="0"/>
                <w:bCs/>
                <w:color w:val="auto"/>
                <w:kern w:val="2"/>
                <w:szCs w:val="21"/>
              </w:rPr>
              <w:t>于201</w:t>
            </w:r>
            <w:r>
              <w:rPr>
                <w:rFonts w:hint="eastAsia" w:ascii="Times New Roman" w:hAnsi="Times New Roman" w:eastAsia="宋体"/>
                <w:b w:val="0"/>
                <w:bCs/>
                <w:color w:val="auto"/>
                <w:kern w:val="2"/>
                <w:szCs w:val="21"/>
                <w:lang w:val="en-US" w:eastAsia="zh-CN"/>
              </w:rPr>
              <w:t>9</w:t>
            </w:r>
            <w:r>
              <w:rPr>
                <w:rFonts w:ascii="Times New Roman" w:hAnsi="Times New Roman" w:eastAsia="宋体"/>
                <w:b w:val="0"/>
                <w:bCs/>
                <w:color w:val="auto"/>
                <w:kern w:val="2"/>
                <w:szCs w:val="21"/>
              </w:rPr>
              <w:t>年</w:t>
            </w:r>
            <w:r>
              <w:rPr>
                <w:rFonts w:hint="eastAsia" w:ascii="Times New Roman" w:hAnsi="Times New Roman" w:eastAsia="宋体"/>
                <w:b w:val="0"/>
                <w:bCs/>
                <w:color w:val="auto"/>
                <w:kern w:val="2"/>
                <w:szCs w:val="21"/>
                <w:lang w:val="en-US" w:eastAsia="zh-CN"/>
              </w:rPr>
              <w:t>3</w:t>
            </w:r>
            <w:r>
              <w:rPr>
                <w:rFonts w:ascii="Times New Roman" w:hAnsi="Times New Roman" w:eastAsia="宋体"/>
                <w:b w:val="0"/>
                <w:bCs/>
                <w:color w:val="auto"/>
                <w:kern w:val="2"/>
                <w:szCs w:val="21"/>
              </w:rPr>
              <w:t>月</w:t>
            </w:r>
            <w:r>
              <w:rPr>
                <w:rFonts w:hint="eastAsia" w:ascii="Times New Roman" w:hAnsi="Times New Roman" w:eastAsia="宋体"/>
                <w:b w:val="0"/>
                <w:bCs/>
                <w:color w:val="auto"/>
                <w:kern w:val="2"/>
                <w:szCs w:val="21"/>
                <w:lang w:val="en-US" w:eastAsia="zh-CN"/>
              </w:rPr>
              <w:t>4</w:t>
            </w:r>
            <w:r>
              <w:rPr>
                <w:rFonts w:ascii="Times New Roman" w:hAnsi="Times New Roman" w:eastAsia="宋体"/>
                <w:b w:val="0"/>
                <w:bCs/>
                <w:color w:val="auto"/>
                <w:kern w:val="2"/>
                <w:szCs w:val="21"/>
              </w:rPr>
              <w:t>－</w:t>
            </w:r>
            <w:r>
              <w:rPr>
                <w:rFonts w:hint="eastAsia" w:ascii="Times New Roman" w:hAnsi="Times New Roman" w:eastAsia="宋体"/>
                <w:b w:val="0"/>
                <w:bCs/>
                <w:color w:val="auto"/>
                <w:kern w:val="2"/>
                <w:szCs w:val="21"/>
                <w:lang w:val="en-US" w:eastAsia="zh-CN"/>
              </w:rPr>
              <w:t>5</w:t>
            </w:r>
            <w:r>
              <w:rPr>
                <w:rFonts w:ascii="Times New Roman" w:hAnsi="Times New Roman" w:eastAsia="宋体"/>
                <w:b w:val="0"/>
                <w:bCs/>
                <w:color w:val="auto"/>
                <w:kern w:val="2"/>
                <w:szCs w:val="21"/>
              </w:rPr>
              <w:t>日对项目所在地进行现场实测，监测点位示意图见附图</w:t>
            </w:r>
            <w:r>
              <w:rPr>
                <w:rFonts w:hint="eastAsia" w:ascii="Times New Roman" w:hAnsi="Times New Roman" w:eastAsia="宋体"/>
                <w:b w:val="0"/>
                <w:bCs/>
                <w:color w:val="auto"/>
                <w:kern w:val="2"/>
                <w:szCs w:val="21"/>
                <w:lang w:val="en-US" w:eastAsia="zh-CN"/>
              </w:rPr>
              <w:t>11</w:t>
            </w:r>
            <w:r>
              <w:rPr>
                <w:rFonts w:ascii="Times New Roman" w:hAnsi="Times New Roman" w:eastAsia="宋体"/>
                <w:b w:val="0"/>
                <w:bCs/>
                <w:color w:val="auto"/>
                <w:kern w:val="2"/>
                <w:szCs w:val="21"/>
              </w:rPr>
              <w:t>，监测结果如下表3-4：</w:t>
            </w:r>
          </w:p>
          <w:p>
            <w:pPr>
              <w:widowControl/>
              <w:tabs>
                <w:tab w:val="left" w:pos="945"/>
              </w:tabs>
              <w:autoSpaceDE w:val="0"/>
              <w:autoSpaceDN w:val="0"/>
              <w:jc w:val="center"/>
              <w:rPr>
                <w:b/>
                <w:color w:val="auto"/>
                <w:sz w:val="24"/>
              </w:rPr>
            </w:pPr>
            <w:r>
              <w:rPr>
                <w:b/>
                <w:color w:val="auto"/>
                <w:sz w:val="24"/>
              </w:rPr>
              <w:t>表3-4  声环境质量现状表（单位：dB（A））</w:t>
            </w:r>
          </w:p>
          <w:tbl>
            <w:tblPr>
              <w:tblStyle w:val="31"/>
              <w:tblW w:w="885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92"/>
              <w:gridCol w:w="689"/>
              <w:gridCol w:w="1796"/>
              <w:gridCol w:w="827"/>
              <w:gridCol w:w="1107"/>
              <w:gridCol w:w="1103"/>
              <w:gridCol w:w="1105"/>
              <w:gridCol w:w="8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34" w:hRule="exact"/>
                <w:jc w:val="center"/>
              </w:trPr>
              <w:tc>
                <w:tcPr>
                  <w:tcW w:w="1392" w:type="dxa"/>
                  <w:vAlign w:val="center"/>
                </w:tcPr>
                <w:p>
                  <w:pPr>
                    <w:pStyle w:val="87"/>
                    <w:snapToGrid w:val="0"/>
                    <w:jc w:val="center"/>
                    <w:rPr>
                      <w:b/>
                      <w:color w:val="auto"/>
                      <w:szCs w:val="21"/>
                    </w:rPr>
                  </w:pPr>
                  <w:r>
                    <w:rPr>
                      <w:b/>
                      <w:color w:val="auto"/>
                      <w:spacing w:val="-1"/>
                      <w:szCs w:val="21"/>
                    </w:rPr>
                    <w:t>检测时间</w:t>
                  </w:r>
                </w:p>
              </w:tc>
              <w:tc>
                <w:tcPr>
                  <w:tcW w:w="689" w:type="dxa"/>
                  <w:vAlign w:val="center"/>
                </w:tcPr>
                <w:p>
                  <w:pPr>
                    <w:pStyle w:val="87"/>
                    <w:snapToGrid w:val="0"/>
                    <w:jc w:val="center"/>
                    <w:rPr>
                      <w:b/>
                      <w:color w:val="auto"/>
                      <w:szCs w:val="21"/>
                    </w:rPr>
                  </w:pPr>
                  <w:r>
                    <w:rPr>
                      <w:b/>
                      <w:color w:val="auto"/>
                      <w:szCs w:val="21"/>
                    </w:rPr>
                    <w:t>点位</w:t>
                  </w:r>
                </w:p>
                <w:p>
                  <w:pPr>
                    <w:pStyle w:val="87"/>
                    <w:snapToGrid w:val="0"/>
                    <w:jc w:val="center"/>
                    <w:rPr>
                      <w:b/>
                      <w:color w:val="auto"/>
                      <w:szCs w:val="21"/>
                    </w:rPr>
                  </w:pPr>
                  <w:r>
                    <w:rPr>
                      <w:b/>
                      <w:color w:val="auto"/>
                      <w:szCs w:val="21"/>
                    </w:rPr>
                    <w:t>序号</w:t>
                  </w:r>
                </w:p>
              </w:tc>
              <w:tc>
                <w:tcPr>
                  <w:tcW w:w="1796" w:type="dxa"/>
                  <w:vAlign w:val="center"/>
                </w:tcPr>
                <w:p>
                  <w:pPr>
                    <w:pStyle w:val="87"/>
                    <w:snapToGrid w:val="0"/>
                    <w:jc w:val="center"/>
                    <w:rPr>
                      <w:b/>
                      <w:color w:val="auto"/>
                      <w:szCs w:val="21"/>
                    </w:rPr>
                  </w:pPr>
                  <w:r>
                    <w:rPr>
                      <w:b/>
                      <w:color w:val="auto"/>
                      <w:szCs w:val="21"/>
                    </w:rPr>
                    <w:t>检</w:t>
                  </w:r>
                  <w:r>
                    <w:rPr>
                      <w:b/>
                      <w:color w:val="auto"/>
                      <w:spacing w:val="1"/>
                      <w:szCs w:val="21"/>
                    </w:rPr>
                    <w:t xml:space="preserve"> </w:t>
                  </w:r>
                  <w:r>
                    <w:rPr>
                      <w:b/>
                      <w:color w:val="auto"/>
                      <w:szCs w:val="21"/>
                    </w:rPr>
                    <w:t>测</w:t>
                  </w:r>
                  <w:r>
                    <w:rPr>
                      <w:b/>
                      <w:color w:val="auto"/>
                      <w:spacing w:val="-2"/>
                      <w:szCs w:val="21"/>
                    </w:rPr>
                    <w:t xml:space="preserve"> </w:t>
                  </w:r>
                  <w:r>
                    <w:rPr>
                      <w:b/>
                      <w:color w:val="auto"/>
                      <w:szCs w:val="21"/>
                    </w:rPr>
                    <w:t>点</w:t>
                  </w:r>
                  <w:r>
                    <w:rPr>
                      <w:b/>
                      <w:color w:val="auto"/>
                      <w:spacing w:val="-2"/>
                      <w:szCs w:val="21"/>
                    </w:rPr>
                    <w:t xml:space="preserve"> </w:t>
                  </w:r>
                  <w:r>
                    <w:rPr>
                      <w:b/>
                      <w:color w:val="auto"/>
                      <w:szCs w:val="21"/>
                    </w:rPr>
                    <w:t>位</w:t>
                  </w:r>
                </w:p>
              </w:tc>
              <w:tc>
                <w:tcPr>
                  <w:tcW w:w="1934" w:type="dxa"/>
                  <w:gridSpan w:val="2"/>
                  <w:vAlign w:val="center"/>
                </w:tcPr>
                <w:p>
                  <w:pPr>
                    <w:pStyle w:val="87"/>
                    <w:snapToGrid w:val="0"/>
                    <w:jc w:val="center"/>
                    <w:rPr>
                      <w:b/>
                      <w:color w:val="auto"/>
                      <w:szCs w:val="21"/>
                    </w:rPr>
                  </w:pPr>
                  <w:r>
                    <w:rPr>
                      <w:b/>
                      <w:color w:val="auto"/>
                      <w:spacing w:val="-1"/>
                      <w:szCs w:val="21"/>
                    </w:rPr>
                    <w:t>主要声源</w:t>
                  </w:r>
                </w:p>
              </w:tc>
              <w:tc>
                <w:tcPr>
                  <w:tcW w:w="1103" w:type="dxa"/>
                  <w:vAlign w:val="center"/>
                </w:tcPr>
                <w:p>
                  <w:pPr>
                    <w:pStyle w:val="87"/>
                    <w:snapToGrid w:val="0"/>
                    <w:jc w:val="center"/>
                    <w:rPr>
                      <w:rFonts w:eastAsia="Times New Roman"/>
                      <w:b/>
                      <w:color w:val="auto"/>
                      <w:szCs w:val="21"/>
                    </w:rPr>
                  </w:pPr>
                  <w:r>
                    <w:rPr>
                      <w:b/>
                      <w:color w:val="auto"/>
                      <w:spacing w:val="-2"/>
                    </w:rPr>
                    <w:t>Leq</w:t>
                  </w:r>
                </w:p>
              </w:tc>
              <w:tc>
                <w:tcPr>
                  <w:tcW w:w="1105" w:type="dxa"/>
                  <w:vAlign w:val="center"/>
                </w:tcPr>
                <w:p>
                  <w:pPr>
                    <w:pStyle w:val="87"/>
                    <w:snapToGrid w:val="0"/>
                    <w:jc w:val="center"/>
                    <w:rPr>
                      <w:b/>
                      <w:color w:val="auto"/>
                      <w:szCs w:val="21"/>
                    </w:rPr>
                  </w:pPr>
                  <w:r>
                    <w:rPr>
                      <w:b/>
                      <w:color w:val="auto"/>
                      <w:szCs w:val="21"/>
                    </w:rPr>
                    <w:t>标准</w:t>
                  </w:r>
                </w:p>
                <w:p>
                  <w:pPr>
                    <w:pStyle w:val="87"/>
                    <w:snapToGrid w:val="0"/>
                    <w:jc w:val="center"/>
                    <w:rPr>
                      <w:b/>
                      <w:color w:val="auto"/>
                      <w:szCs w:val="21"/>
                    </w:rPr>
                  </w:pPr>
                  <w:r>
                    <w:rPr>
                      <w:b/>
                      <w:color w:val="auto"/>
                      <w:szCs w:val="21"/>
                    </w:rPr>
                    <w:t>限值</w:t>
                  </w:r>
                </w:p>
              </w:tc>
              <w:tc>
                <w:tcPr>
                  <w:tcW w:w="836" w:type="dxa"/>
                  <w:vAlign w:val="center"/>
                </w:tcPr>
                <w:p>
                  <w:pPr>
                    <w:pStyle w:val="87"/>
                    <w:snapToGrid w:val="0"/>
                    <w:jc w:val="center"/>
                    <w:rPr>
                      <w:b/>
                      <w:color w:val="auto"/>
                      <w:szCs w:val="21"/>
                    </w:rPr>
                  </w:pPr>
                  <w:r>
                    <w:rPr>
                      <w:b/>
                      <w:color w:val="auto"/>
                      <w:szCs w:val="21"/>
                    </w:rPr>
                    <w:t>达标</w:t>
                  </w:r>
                </w:p>
                <w:p>
                  <w:pPr>
                    <w:pStyle w:val="87"/>
                    <w:snapToGrid w:val="0"/>
                    <w:jc w:val="center"/>
                    <w:rPr>
                      <w:b/>
                      <w:color w:val="auto"/>
                      <w:szCs w:val="21"/>
                    </w:rPr>
                  </w:pPr>
                  <w:r>
                    <w:rPr>
                      <w:b/>
                      <w:color w:val="auto"/>
                      <w:szCs w:val="21"/>
                    </w:rPr>
                    <w:t>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restart"/>
                  <w:vAlign w:val="center"/>
                </w:tcPr>
                <w:p>
                  <w:pPr>
                    <w:pStyle w:val="87"/>
                    <w:snapToGrid w:val="0"/>
                    <w:jc w:val="center"/>
                    <w:rPr>
                      <w:rFonts w:eastAsia="Times New Roman"/>
                      <w:color w:val="auto"/>
                      <w:szCs w:val="21"/>
                    </w:rPr>
                  </w:pPr>
                  <w:r>
                    <w:rPr>
                      <w:rFonts w:hint="eastAsia"/>
                      <w:color w:val="auto"/>
                      <w:spacing w:val="-2"/>
                      <w:lang w:val="en-US" w:eastAsia="zh-CN"/>
                    </w:rPr>
                    <w:t>3</w:t>
                  </w:r>
                  <w:r>
                    <w:rPr>
                      <w:rFonts w:hint="eastAsia"/>
                      <w:color w:val="auto"/>
                      <w:spacing w:val="-2"/>
                    </w:rPr>
                    <w:t>月</w:t>
                  </w:r>
                  <w:r>
                    <w:rPr>
                      <w:rFonts w:hint="eastAsia"/>
                      <w:color w:val="auto"/>
                      <w:spacing w:val="-2"/>
                      <w:lang w:val="en-US" w:eastAsia="zh-CN"/>
                    </w:rPr>
                    <w:t>4</w:t>
                  </w:r>
                  <w:r>
                    <w:rPr>
                      <w:rFonts w:hint="eastAsia"/>
                      <w:color w:val="auto"/>
                      <w:spacing w:val="-2"/>
                    </w:rPr>
                    <w:t>日</w:t>
                  </w:r>
                </w:p>
              </w:tc>
              <w:tc>
                <w:tcPr>
                  <w:tcW w:w="689" w:type="dxa"/>
                  <w:vMerge w:val="restart"/>
                  <w:vAlign w:val="center"/>
                </w:tcPr>
                <w:p>
                  <w:pPr>
                    <w:pStyle w:val="87"/>
                    <w:snapToGrid w:val="0"/>
                    <w:jc w:val="center"/>
                    <w:rPr>
                      <w:rFonts w:eastAsia="Times New Roman"/>
                      <w:color w:val="auto"/>
                      <w:szCs w:val="21"/>
                    </w:rPr>
                  </w:pPr>
                  <w:r>
                    <w:rPr>
                      <w:color w:val="auto"/>
                    </w:rPr>
                    <w:t>N1</w:t>
                  </w:r>
                </w:p>
              </w:tc>
              <w:tc>
                <w:tcPr>
                  <w:tcW w:w="1796" w:type="dxa"/>
                  <w:vMerge w:val="restart"/>
                  <w:vAlign w:val="center"/>
                </w:tcPr>
                <w:p>
                  <w:pPr>
                    <w:pStyle w:val="87"/>
                    <w:snapToGrid w:val="0"/>
                    <w:jc w:val="center"/>
                    <w:rPr>
                      <w:rFonts w:eastAsia="Times New Roman"/>
                      <w:color w:val="auto"/>
                      <w:szCs w:val="21"/>
                    </w:rPr>
                  </w:pPr>
                  <w:r>
                    <w:rPr>
                      <w:rFonts w:hint="eastAsia"/>
                      <w:color w:val="auto"/>
                      <w:spacing w:val="-1"/>
                      <w:szCs w:val="21"/>
                    </w:rPr>
                    <w:t>北</w:t>
                  </w:r>
                  <w:r>
                    <w:rPr>
                      <w:color w:val="auto"/>
                      <w:spacing w:val="-1"/>
                      <w:szCs w:val="21"/>
                    </w:rPr>
                    <w:t>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5</w:t>
                  </w:r>
                  <w:r>
                    <w:rPr>
                      <w:rFonts w:hint="eastAsia" w:eastAsiaTheme="minorEastAsia"/>
                      <w:color w:val="auto"/>
                      <w:szCs w:val="21"/>
                      <w:lang w:val="en-US" w:eastAsia="zh-CN"/>
                    </w:rPr>
                    <w:t>4.5</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4</w:t>
                  </w:r>
                  <w:r>
                    <w:rPr>
                      <w:rFonts w:hint="eastAsia" w:eastAsiaTheme="minorEastAsia"/>
                      <w:color w:val="auto"/>
                      <w:szCs w:val="21"/>
                      <w:lang w:val="en-US" w:eastAsia="zh-CN"/>
                    </w:rPr>
                    <w:t>4.6</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restart"/>
                  <w:vAlign w:val="center"/>
                </w:tcPr>
                <w:p>
                  <w:pPr>
                    <w:pStyle w:val="87"/>
                    <w:snapToGrid w:val="0"/>
                    <w:jc w:val="center"/>
                    <w:rPr>
                      <w:rFonts w:eastAsia="Times New Roman"/>
                      <w:color w:val="auto"/>
                      <w:szCs w:val="21"/>
                    </w:rPr>
                  </w:pPr>
                  <w:r>
                    <w:rPr>
                      <w:color w:val="auto"/>
                    </w:rPr>
                    <w:t>N2</w:t>
                  </w:r>
                </w:p>
              </w:tc>
              <w:tc>
                <w:tcPr>
                  <w:tcW w:w="1796" w:type="dxa"/>
                  <w:vMerge w:val="restart"/>
                  <w:vAlign w:val="center"/>
                </w:tcPr>
                <w:p>
                  <w:pPr>
                    <w:pStyle w:val="87"/>
                    <w:snapToGrid w:val="0"/>
                    <w:jc w:val="center"/>
                    <w:rPr>
                      <w:rFonts w:eastAsia="Times New Roman"/>
                      <w:color w:val="auto"/>
                      <w:szCs w:val="21"/>
                    </w:rPr>
                  </w:pPr>
                  <w:r>
                    <w:rPr>
                      <w:color w:val="auto"/>
                      <w:spacing w:val="-1"/>
                      <w:szCs w:val="21"/>
                    </w:rPr>
                    <w:t>西边厂界外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5</w:t>
                  </w:r>
                  <w:r>
                    <w:rPr>
                      <w:rFonts w:hint="eastAsia" w:eastAsiaTheme="minorEastAsia"/>
                      <w:color w:val="auto"/>
                      <w:szCs w:val="21"/>
                      <w:lang w:val="en-US" w:eastAsia="zh-CN"/>
                    </w:rPr>
                    <w:t>6.2</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4</w:t>
                  </w:r>
                  <w:r>
                    <w:rPr>
                      <w:rFonts w:hint="eastAsia" w:eastAsiaTheme="minorEastAsia"/>
                      <w:color w:val="auto"/>
                      <w:szCs w:val="21"/>
                      <w:lang w:val="en-US" w:eastAsia="zh-CN"/>
                    </w:rPr>
                    <w:t>4.5</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3" w:hRule="exact"/>
                <w:jc w:val="center"/>
              </w:trPr>
              <w:tc>
                <w:tcPr>
                  <w:tcW w:w="1392" w:type="dxa"/>
                  <w:vMerge w:val="continue"/>
                  <w:vAlign w:val="center"/>
                </w:tcPr>
                <w:p>
                  <w:pPr>
                    <w:snapToGrid w:val="0"/>
                    <w:jc w:val="center"/>
                    <w:rPr>
                      <w:color w:val="auto"/>
                    </w:rPr>
                  </w:pPr>
                </w:p>
              </w:tc>
              <w:tc>
                <w:tcPr>
                  <w:tcW w:w="689" w:type="dxa"/>
                  <w:vMerge w:val="restart"/>
                  <w:vAlign w:val="center"/>
                </w:tcPr>
                <w:p>
                  <w:pPr>
                    <w:pStyle w:val="87"/>
                    <w:snapToGrid w:val="0"/>
                    <w:jc w:val="center"/>
                    <w:rPr>
                      <w:rFonts w:eastAsia="Times New Roman"/>
                      <w:color w:val="auto"/>
                      <w:szCs w:val="21"/>
                    </w:rPr>
                  </w:pPr>
                  <w:r>
                    <w:rPr>
                      <w:color w:val="auto"/>
                    </w:rPr>
                    <w:t>N3</w:t>
                  </w:r>
                </w:p>
              </w:tc>
              <w:tc>
                <w:tcPr>
                  <w:tcW w:w="1796" w:type="dxa"/>
                  <w:vMerge w:val="restart"/>
                  <w:vAlign w:val="center"/>
                </w:tcPr>
                <w:p>
                  <w:pPr>
                    <w:pStyle w:val="87"/>
                    <w:snapToGrid w:val="0"/>
                    <w:jc w:val="center"/>
                    <w:rPr>
                      <w:rFonts w:eastAsia="Times New Roman"/>
                      <w:color w:val="auto"/>
                      <w:szCs w:val="21"/>
                    </w:rPr>
                  </w:pPr>
                  <w:r>
                    <w:rPr>
                      <w:color w:val="auto"/>
                      <w:spacing w:val="-1"/>
                      <w:szCs w:val="21"/>
                    </w:rPr>
                    <w:t>南边厂界外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5</w:t>
                  </w:r>
                  <w:r>
                    <w:rPr>
                      <w:rFonts w:hint="eastAsia" w:eastAsiaTheme="minorEastAsia"/>
                      <w:color w:val="auto"/>
                      <w:szCs w:val="21"/>
                      <w:lang w:val="en-US" w:eastAsia="zh-CN"/>
                    </w:rPr>
                    <w:t>6.3</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eastAsiaTheme="minorEastAsia"/>
                      <w:color w:val="auto"/>
                      <w:szCs w:val="21"/>
                    </w:rPr>
                  </w:pPr>
                  <w:r>
                    <w:rPr>
                      <w:rFonts w:hint="eastAsia" w:eastAsiaTheme="minorEastAsia"/>
                      <w:color w:val="auto"/>
                      <w:szCs w:val="21"/>
                    </w:rPr>
                    <w:t>4</w:t>
                  </w:r>
                  <w:r>
                    <w:rPr>
                      <w:rFonts w:eastAsiaTheme="minorEastAsia"/>
                      <w:color w:val="auto"/>
                      <w:szCs w:val="21"/>
                    </w:rPr>
                    <w:t>7.0</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continue"/>
                  <w:vAlign w:val="center"/>
                </w:tcPr>
                <w:p>
                  <w:pPr>
                    <w:snapToGrid w:val="0"/>
                    <w:jc w:val="center"/>
                    <w:rPr>
                      <w:color w:val="auto"/>
                    </w:rPr>
                  </w:pPr>
                </w:p>
              </w:tc>
              <w:tc>
                <w:tcPr>
                  <w:tcW w:w="689" w:type="dxa"/>
                  <w:vMerge w:val="restart"/>
                  <w:vAlign w:val="center"/>
                </w:tcPr>
                <w:p>
                  <w:pPr>
                    <w:pStyle w:val="87"/>
                    <w:snapToGrid w:val="0"/>
                    <w:jc w:val="center"/>
                    <w:rPr>
                      <w:rFonts w:eastAsia="Times New Roman"/>
                      <w:color w:val="auto"/>
                      <w:szCs w:val="21"/>
                    </w:rPr>
                  </w:pPr>
                  <w:r>
                    <w:rPr>
                      <w:color w:val="auto"/>
                    </w:rPr>
                    <w:t>N4</w:t>
                  </w:r>
                </w:p>
              </w:tc>
              <w:tc>
                <w:tcPr>
                  <w:tcW w:w="1796" w:type="dxa"/>
                  <w:vMerge w:val="restart"/>
                  <w:vAlign w:val="center"/>
                </w:tcPr>
                <w:p>
                  <w:pPr>
                    <w:pStyle w:val="87"/>
                    <w:snapToGrid w:val="0"/>
                    <w:jc w:val="center"/>
                    <w:rPr>
                      <w:rFonts w:eastAsia="Times New Roman"/>
                      <w:color w:val="auto"/>
                      <w:szCs w:val="21"/>
                    </w:rPr>
                  </w:pPr>
                  <w:r>
                    <w:rPr>
                      <w:rFonts w:hint="eastAsia"/>
                      <w:color w:val="auto"/>
                      <w:spacing w:val="-1"/>
                      <w:szCs w:val="21"/>
                    </w:rPr>
                    <w:t>东</w:t>
                  </w:r>
                  <w:r>
                    <w:rPr>
                      <w:color w:val="auto"/>
                      <w:spacing w:val="-1"/>
                      <w:szCs w:val="21"/>
                    </w:rPr>
                    <w:t>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5</w:t>
                  </w:r>
                  <w:r>
                    <w:rPr>
                      <w:rFonts w:hint="eastAsia" w:eastAsiaTheme="minorEastAsia"/>
                      <w:color w:val="auto"/>
                      <w:szCs w:val="21"/>
                      <w:lang w:val="en-US" w:eastAsia="zh-CN"/>
                    </w:rPr>
                    <w:t>6.8</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4</w:t>
                  </w:r>
                  <w:r>
                    <w:rPr>
                      <w:rFonts w:hint="eastAsia" w:eastAsiaTheme="minorEastAsia"/>
                      <w:color w:val="auto"/>
                      <w:szCs w:val="21"/>
                      <w:lang w:val="en-US" w:eastAsia="zh-CN"/>
                    </w:rPr>
                    <w:t>6.2</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restart"/>
                  <w:vAlign w:val="center"/>
                </w:tcPr>
                <w:p>
                  <w:pPr>
                    <w:pStyle w:val="87"/>
                    <w:snapToGrid w:val="0"/>
                    <w:jc w:val="center"/>
                    <w:rPr>
                      <w:rFonts w:eastAsia="Times New Roman"/>
                      <w:color w:val="auto"/>
                      <w:szCs w:val="21"/>
                    </w:rPr>
                  </w:pPr>
                  <w:r>
                    <w:rPr>
                      <w:rFonts w:hint="eastAsia"/>
                      <w:color w:val="auto"/>
                      <w:spacing w:val="-2"/>
                      <w:lang w:val="en-US" w:eastAsia="zh-CN"/>
                    </w:rPr>
                    <w:t>3</w:t>
                  </w:r>
                  <w:r>
                    <w:rPr>
                      <w:rFonts w:hint="eastAsia"/>
                      <w:color w:val="auto"/>
                      <w:spacing w:val="-2"/>
                    </w:rPr>
                    <w:t>月</w:t>
                  </w:r>
                  <w:r>
                    <w:rPr>
                      <w:rFonts w:hint="eastAsia"/>
                      <w:color w:val="auto"/>
                      <w:spacing w:val="-2"/>
                      <w:lang w:val="en-US" w:eastAsia="zh-CN"/>
                    </w:rPr>
                    <w:t>5</w:t>
                  </w:r>
                  <w:r>
                    <w:rPr>
                      <w:rFonts w:hint="eastAsia"/>
                      <w:color w:val="auto"/>
                      <w:spacing w:val="-2"/>
                    </w:rPr>
                    <w:t>日</w:t>
                  </w:r>
                </w:p>
              </w:tc>
              <w:tc>
                <w:tcPr>
                  <w:tcW w:w="689" w:type="dxa"/>
                  <w:vMerge w:val="restart"/>
                  <w:vAlign w:val="center"/>
                </w:tcPr>
                <w:p>
                  <w:pPr>
                    <w:pStyle w:val="87"/>
                    <w:snapToGrid w:val="0"/>
                    <w:jc w:val="center"/>
                    <w:rPr>
                      <w:rFonts w:eastAsia="Times New Roman"/>
                      <w:color w:val="auto"/>
                      <w:szCs w:val="21"/>
                    </w:rPr>
                  </w:pPr>
                  <w:r>
                    <w:rPr>
                      <w:color w:val="auto"/>
                    </w:rPr>
                    <w:t>N1</w:t>
                  </w:r>
                </w:p>
              </w:tc>
              <w:tc>
                <w:tcPr>
                  <w:tcW w:w="1796" w:type="dxa"/>
                  <w:vMerge w:val="restart"/>
                  <w:vAlign w:val="center"/>
                </w:tcPr>
                <w:p>
                  <w:pPr>
                    <w:pStyle w:val="87"/>
                    <w:snapToGrid w:val="0"/>
                    <w:jc w:val="center"/>
                    <w:rPr>
                      <w:rFonts w:eastAsia="Times New Roman"/>
                      <w:color w:val="auto"/>
                      <w:szCs w:val="21"/>
                    </w:rPr>
                  </w:pPr>
                  <w:r>
                    <w:rPr>
                      <w:rFonts w:hint="eastAsia"/>
                      <w:color w:val="auto"/>
                      <w:spacing w:val="-1"/>
                      <w:szCs w:val="21"/>
                    </w:rPr>
                    <w:t>北</w:t>
                  </w:r>
                  <w:r>
                    <w:rPr>
                      <w:color w:val="auto"/>
                      <w:spacing w:val="-1"/>
                      <w:szCs w:val="21"/>
                    </w:rPr>
                    <w:t>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eastAsiaTheme="minorEastAsia"/>
                      <w:color w:val="auto"/>
                      <w:szCs w:val="21"/>
                    </w:rPr>
                  </w:pPr>
                  <w:r>
                    <w:rPr>
                      <w:rFonts w:hint="eastAsia" w:eastAsiaTheme="minorEastAsia"/>
                      <w:color w:val="auto"/>
                      <w:szCs w:val="21"/>
                    </w:rPr>
                    <w:t>5</w:t>
                  </w:r>
                  <w:r>
                    <w:rPr>
                      <w:rFonts w:eastAsiaTheme="minorEastAsia"/>
                      <w:color w:val="auto"/>
                      <w:szCs w:val="21"/>
                    </w:rPr>
                    <w:t>5.8</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eastAsia" w:eastAsiaTheme="minorEastAsia"/>
                      <w:color w:val="auto"/>
                      <w:szCs w:val="21"/>
                      <w:lang w:eastAsia="zh-CN"/>
                    </w:rPr>
                  </w:pPr>
                  <w:r>
                    <w:rPr>
                      <w:rFonts w:hint="eastAsia" w:eastAsiaTheme="minorEastAsia"/>
                      <w:color w:val="auto"/>
                      <w:szCs w:val="21"/>
                    </w:rPr>
                    <w:t>4</w:t>
                  </w:r>
                  <w:r>
                    <w:rPr>
                      <w:rFonts w:eastAsiaTheme="minorEastAsia"/>
                      <w:color w:val="auto"/>
                      <w:szCs w:val="21"/>
                    </w:rPr>
                    <w:t>5</w:t>
                  </w:r>
                  <w:r>
                    <w:rPr>
                      <w:rFonts w:hint="eastAsia" w:eastAsiaTheme="minorEastAsia"/>
                      <w:color w:val="auto"/>
                      <w:szCs w:val="21"/>
                      <w:lang w:val="en-US" w:eastAsia="zh-CN"/>
                    </w:rPr>
                    <w:t>.7</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restart"/>
                  <w:vAlign w:val="center"/>
                </w:tcPr>
                <w:p>
                  <w:pPr>
                    <w:pStyle w:val="87"/>
                    <w:snapToGrid w:val="0"/>
                    <w:jc w:val="center"/>
                    <w:rPr>
                      <w:rFonts w:eastAsia="Times New Roman"/>
                      <w:color w:val="auto"/>
                      <w:szCs w:val="21"/>
                    </w:rPr>
                  </w:pPr>
                  <w:r>
                    <w:rPr>
                      <w:color w:val="auto"/>
                    </w:rPr>
                    <w:t>N2</w:t>
                  </w:r>
                </w:p>
              </w:tc>
              <w:tc>
                <w:tcPr>
                  <w:tcW w:w="1796" w:type="dxa"/>
                  <w:vMerge w:val="restart"/>
                  <w:vAlign w:val="center"/>
                </w:tcPr>
                <w:p>
                  <w:pPr>
                    <w:pStyle w:val="87"/>
                    <w:snapToGrid w:val="0"/>
                    <w:jc w:val="center"/>
                    <w:rPr>
                      <w:rFonts w:eastAsia="Times New Roman"/>
                      <w:color w:val="auto"/>
                      <w:szCs w:val="21"/>
                    </w:rPr>
                  </w:pPr>
                  <w:r>
                    <w:rPr>
                      <w:color w:val="auto"/>
                      <w:spacing w:val="-1"/>
                      <w:szCs w:val="21"/>
                    </w:rPr>
                    <w:t>西边厂界外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eastAsiaTheme="minorEastAsia"/>
                      <w:color w:val="auto"/>
                      <w:szCs w:val="21"/>
                    </w:rPr>
                  </w:pPr>
                  <w:r>
                    <w:rPr>
                      <w:rFonts w:hint="eastAsia" w:eastAsiaTheme="minorEastAsia"/>
                      <w:color w:val="auto"/>
                      <w:szCs w:val="21"/>
                    </w:rPr>
                    <w:t>5</w:t>
                  </w:r>
                  <w:r>
                    <w:rPr>
                      <w:rFonts w:eastAsiaTheme="minorEastAsia"/>
                      <w:color w:val="auto"/>
                      <w:szCs w:val="21"/>
                    </w:rPr>
                    <w:t>3.7</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eastAsiaTheme="minorEastAsia"/>
                      <w:color w:val="auto"/>
                      <w:szCs w:val="21"/>
                    </w:rPr>
                  </w:pPr>
                  <w:r>
                    <w:rPr>
                      <w:rFonts w:hint="eastAsia" w:eastAsiaTheme="minorEastAsia"/>
                      <w:color w:val="auto"/>
                      <w:szCs w:val="21"/>
                    </w:rPr>
                    <w:t>4</w:t>
                  </w:r>
                  <w:r>
                    <w:rPr>
                      <w:rFonts w:eastAsiaTheme="minorEastAsia"/>
                      <w:color w:val="auto"/>
                      <w:szCs w:val="21"/>
                    </w:rPr>
                    <w:t>6.4</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restart"/>
                  <w:vAlign w:val="center"/>
                </w:tcPr>
                <w:p>
                  <w:pPr>
                    <w:pStyle w:val="87"/>
                    <w:snapToGrid w:val="0"/>
                    <w:jc w:val="center"/>
                    <w:rPr>
                      <w:rFonts w:eastAsia="Times New Roman"/>
                      <w:color w:val="auto"/>
                      <w:szCs w:val="21"/>
                    </w:rPr>
                  </w:pPr>
                  <w:r>
                    <w:rPr>
                      <w:color w:val="auto"/>
                    </w:rPr>
                    <w:t>N3</w:t>
                  </w:r>
                </w:p>
              </w:tc>
              <w:tc>
                <w:tcPr>
                  <w:tcW w:w="1796" w:type="dxa"/>
                  <w:vMerge w:val="restart"/>
                  <w:vAlign w:val="center"/>
                </w:tcPr>
                <w:p>
                  <w:pPr>
                    <w:pStyle w:val="87"/>
                    <w:snapToGrid w:val="0"/>
                    <w:jc w:val="center"/>
                    <w:rPr>
                      <w:rFonts w:eastAsia="Times New Roman"/>
                      <w:color w:val="auto"/>
                      <w:szCs w:val="21"/>
                    </w:rPr>
                  </w:pPr>
                  <w:r>
                    <w:rPr>
                      <w:color w:val="auto"/>
                      <w:spacing w:val="-1"/>
                      <w:szCs w:val="21"/>
                    </w:rPr>
                    <w:t>南边厂界外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eastAsiaTheme="minorEastAsia"/>
                      <w:color w:val="auto"/>
                      <w:szCs w:val="21"/>
                    </w:rPr>
                  </w:pPr>
                  <w:r>
                    <w:rPr>
                      <w:rFonts w:hint="eastAsia" w:eastAsiaTheme="minorEastAsia"/>
                      <w:color w:val="auto"/>
                      <w:szCs w:val="21"/>
                    </w:rPr>
                    <w:t>5</w:t>
                  </w:r>
                  <w:r>
                    <w:rPr>
                      <w:rFonts w:eastAsiaTheme="minorEastAsia"/>
                      <w:color w:val="auto"/>
                      <w:szCs w:val="21"/>
                    </w:rPr>
                    <w:t>2.8</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eastAsiaTheme="minorEastAsia"/>
                      <w:color w:val="auto"/>
                      <w:szCs w:val="21"/>
                    </w:rPr>
                  </w:pPr>
                  <w:r>
                    <w:rPr>
                      <w:rFonts w:hint="eastAsia" w:eastAsiaTheme="minorEastAsia"/>
                      <w:color w:val="auto"/>
                      <w:szCs w:val="21"/>
                    </w:rPr>
                    <w:t>4</w:t>
                  </w:r>
                  <w:r>
                    <w:rPr>
                      <w:rFonts w:eastAsiaTheme="minorEastAsia"/>
                      <w:color w:val="auto"/>
                      <w:szCs w:val="21"/>
                    </w:rPr>
                    <w:t>3.7</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exact"/>
                <w:jc w:val="center"/>
              </w:trPr>
              <w:tc>
                <w:tcPr>
                  <w:tcW w:w="1392" w:type="dxa"/>
                  <w:vMerge w:val="continue"/>
                  <w:vAlign w:val="center"/>
                </w:tcPr>
                <w:p>
                  <w:pPr>
                    <w:snapToGrid w:val="0"/>
                    <w:jc w:val="center"/>
                    <w:rPr>
                      <w:color w:val="auto"/>
                    </w:rPr>
                  </w:pPr>
                </w:p>
              </w:tc>
              <w:tc>
                <w:tcPr>
                  <w:tcW w:w="689" w:type="dxa"/>
                  <w:vMerge w:val="restart"/>
                  <w:vAlign w:val="center"/>
                </w:tcPr>
                <w:p>
                  <w:pPr>
                    <w:pStyle w:val="87"/>
                    <w:snapToGrid w:val="0"/>
                    <w:jc w:val="center"/>
                    <w:rPr>
                      <w:rFonts w:eastAsia="Times New Roman"/>
                      <w:color w:val="auto"/>
                      <w:szCs w:val="21"/>
                    </w:rPr>
                  </w:pPr>
                  <w:r>
                    <w:rPr>
                      <w:color w:val="auto"/>
                    </w:rPr>
                    <w:t>N4</w:t>
                  </w:r>
                </w:p>
              </w:tc>
              <w:tc>
                <w:tcPr>
                  <w:tcW w:w="1796" w:type="dxa"/>
                  <w:vMerge w:val="restart"/>
                  <w:vAlign w:val="center"/>
                </w:tcPr>
                <w:p>
                  <w:pPr>
                    <w:pStyle w:val="87"/>
                    <w:snapToGrid w:val="0"/>
                    <w:jc w:val="center"/>
                    <w:rPr>
                      <w:rFonts w:eastAsia="Times New Roman"/>
                      <w:color w:val="auto"/>
                      <w:szCs w:val="21"/>
                    </w:rPr>
                  </w:pPr>
                  <w:r>
                    <w:rPr>
                      <w:rFonts w:hint="eastAsia"/>
                      <w:color w:val="auto"/>
                      <w:spacing w:val="-1"/>
                      <w:szCs w:val="21"/>
                    </w:rPr>
                    <w:t>东</w:t>
                  </w:r>
                  <w:r>
                    <w:rPr>
                      <w:color w:val="auto"/>
                      <w:spacing w:val="-1"/>
                      <w:szCs w:val="21"/>
                    </w:rPr>
                    <w:t>边厂界外</w:t>
                  </w:r>
                  <w:r>
                    <w:rPr>
                      <w:color w:val="auto"/>
                      <w:spacing w:val="-52"/>
                      <w:szCs w:val="21"/>
                    </w:rPr>
                    <w:t xml:space="preserve"> </w:t>
                  </w:r>
                  <w:r>
                    <w:rPr>
                      <w:rFonts w:eastAsia="Times New Roman"/>
                      <w:color w:val="auto"/>
                      <w:szCs w:val="21"/>
                    </w:rPr>
                    <w:t>1m</w:t>
                  </w:r>
                </w:p>
              </w:tc>
              <w:tc>
                <w:tcPr>
                  <w:tcW w:w="827" w:type="dxa"/>
                  <w:vAlign w:val="center"/>
                </w:tcPr>
                <w:p>
                  <w:pPr>
                    <w:pStyle w:val="87"/>
                    <w:snapToGrid w:val="0"/>
                    <w:jc w:val="center"/>
                    <w:rPr>
                      <w:color w:val="auto"/>
                      <w:szCs w:val="21"/>
                    </w:rPr>
                  </w:pPr>
                  <w:r>
                    <w:rPr>
                      <w:color w:val="auto"/>
                      <w:szCs w:val="21"/>
                    </w:rPr>
                    <w:t>昼间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5</w:t>
                  </w:r>
                  <w:r>
                    <w:rPr>
                      <w:rFonts w:hint="eastAsia" w:eastAsiaTheme="minorEastAsia"/>
                      <w:color w:val="auto"/>
                      <w:szCs w:val="21"/>
                      <w:lang w:val="en-US" w:eastAsia="zh-CN"/>
                    </w:rPr>
                    <w:t>6.2</w:t>
                  </w:r>
                </w:p>
              </w:tc>
              <w:tc>
                <w:tcPr>
                  <w:tcW w:w="1105" w:type="dxa"/>
                  <w:vAlign w:val="center"/>
                </w:tcPr>
                <w:p>
                  <w:pPr>
                    <w:pStyle w:val="87"/>
                    <w:snapToGrid w:val="0"/>
                    <w:jc w:val="center"/>
                    <w:rPr>
                      <w:rFonts w:eastAsia="Times New Roman"/>
                      <w:color w:val="auto"/>
                      <w:szCs w:val="21"/>
                    </w:rPr>
                  </w:pPr>
                  <w:r>
                    <w:rPr>
                      <w:color w:val="auto"/>
                    </w:rPr>
                    <w:t>60</w:t>
                  </w:r>
                </w:p>
              </w:tc>
              <w:tc>
                <w:tcPr>
                  <w:tcW w:w="836" w:type="dxa"/>
                  <w:vAlign w:val="center"/>
                </w:tcPr>
                <w:p>
                  <w:pPr>
                    <w:pStyle w:val="87"/>
                    <w:snapToGrid w:val="0"/>
                    <w:jc w:val="center"/>
                    <w:rPr>
                      <w:color w:val="auto"/>
                      <w:szCs w:val="21"/>
                    </w:rPr>
                  </w:pPr>
                  <w:r>
                    <w:rPr>
                      <w:color w:val="auto"/>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0" w:hRule="exact"/>
                <w:jc w:val="center"/>
              </w:trPr>
              <w:tc>
                <w:tcPr>
                  <w:tcW w:w="1392" w:type="dxa"/>
                  <w:vMerge w:val="continue"/>
                  <w:vAlign w:val="center"/>
                </w:tcPr>
                <w:p>
                  <w:pPr>
                    <w:snapToGrid w:val="0"/>
                    <w:jc w:val="center"/>
                    <w:rPr>
                      <w:color w:val="auto"/>
                    </w:rPr>
                  </w:pPr>
                </w:p>
              </w:tc>
              <w:tc>
                <w:tcPr>
                  <w:tcW w:w="689" w:type="dxa"/>
                  <w:vMerge w:val="continue"/>
                  <w:vAlign w:val="center"/>
                </w:tcPr>
                <w:p>
                  <w:pPr>
                    <w:snapToGrid w:val="0"/>
                    <w:jc w:val="center"/>
                    <w:rPr>
                      <w:color w:val="auto"/>
                    </w:rPr>
                  </w:pPr>
                </w:p>
              </w:tc>
              <w:tc>
                <w:tcPr>
                  <w:tcW w:w="1796" w:type="dxa"/>
                  <w:vMerge w:val="continue"/>
                  <w:vAlign w:val="center"/>
                </w:tcPr>
                <w:p>
                  <w:pPr>
                    <w:snapToGrid w:val="0"/>
                    <w:jc w:val="center"/>
                    <w:rPr>
                      <w:color w:val="auto"/>
                    </w:rPr>
                  </w:pPr>
                </w:p>
              </w:tc>
              <w:tc>
                <w:tcPr>
                  <w:tcW w:w="827" w:type="dxa"/>
                  <w:vAlign w:val="center"/>
                </w:tcPr>
                <w:p>
                  <w:pPr>
                    <w:pStyle w:val="87"/>
                    <w:snapToGrid w:val="0"/>
                    <w:jc w:val="center"/>
                    <w:rPr>
                      <w:color w:val="auto"/>
                      <w:szCs w:val="21"/>
                    </w:rPr>
                  </w:pPr>
                  <w:r>
                    <w:rPr>
                      <w:color w:val="auto"/>
                      <w:szCs w:val="21"/>
                    </w:rPr>
                    <w:t>夜间</w:t>
                  </w:r>
                </w:p>
              </w:tc>
              <w:tc>
                <w:tcPr>
                  <w:tcW w:w="1107" w:type="dxa"/>
                  <w:vAlign w:val="center"/>
                </w:tcPr>
                <w:p>
                  <w:pPr>
                    <w:pStyle w:val="87"/>
                    <w:snapToGrid w:val="0"/>
                    <w:jc w:val="center"/>
                    <w:rPr>
                      <w:color w:val="auto"/>
                      <w:szCs w:val="21"/>
                    </w:rPr>
                  </w:pPr>
                  <w:r>
                    <w:rPr>
                      <w:color w:val="auto"/>
                      <w:spacing w:val="-2"/>
                      <w:szCs w:val="21"/>
                    </w:rPr>
                    <w:t>社会噪声</w:t>
                  </w:r>
                </w:p>
              </w:tc>
              <w:tc>
                <w:tcPr>
                  <w:tcW w:w="1103" w:type="dxa"/>
                  <w:vAlign w:val="center"/>
                </w:tcPr>
                <w:p>
                  <w:pPr>
                    <w:pStyle w:val="87"/>
                    <w:snapToGrid w:val="0"/>
                    <w:jc w:val="center"/>
                    <w:rPr>
                      <w:rFonts w:hint="default" w:eastAsiaTheme="minorEastAsia"/>
                      <w:color w:val="auto"/>
                      <w:szCs w:val="21"/>
                      <w:lang w:val="en-US" w:eastAsia="zh-CN"/>
                    </w:rPr>
                  </w:pPr>
                  <w:r>
                    <w:rPr>
                      <w:rFonts w:hint="eastAsia" w:eastAsiaTheme="minorEastAsia"/>
                      <w:color w:val="auto"/>
                      <w:szCs w:val="21"/>
                    </w:rPr>
                    <w:t>4</w:t>
                  </w:r>
                  <w:r>
                    <w:rPr>
                      <w:rFonts w:hint="eastAsia" w:eastAsiaTheme="minorEastAsia"/>
                      <w:color w:val="auto"/>
                      <w:szCs w:val="21"/>
                      <w:lang w:val="en-US" w:eastAsia="zh-CN"/>
                    </w:rPr>
                    <w:t>4.3</w:t>
                  </w:r>
                </w:p>
              </w:tc>
              <w:tc>
                <w:tcPr>
                  <w:tcW w:w="1105" w:type="dxa"/>
                  <w:vAlign w:val="center"/>
                </w:tcPr>
                <w:p>
                  <w:pPr>
                    <w:pStyle w:val="87"/>
                    <w:snapToGrid w:val="0"/>
                    <w:jc w:val="center"/>
                    <w:rPr>
                      <w:rFonts w:eastAsia="Times New Roman"/>
                      <w:color w:val="auto"/>
                      <w:szCs w:val="21"/>
                    </w:rPr>
                  </w:pPr>
                  <w:r>
                    <w:rPr>
                      <w:color w:val="auto"/>
                    </w:rPr>
                    <w:t>50</w:t>
                  </w:r>
                </w:p>
              </w:tc>
              <w:tc>
                <w:tcPr>
                  <w:tcW w:w="836" w:type="dxa"/>
                  <w:vAlign w:val="center"/>
                </w:tcPr>
                <w:p>
                  <w:pPr>
                    <w:pStyle w:val="87"/>
                    <w:snapToGrid w:val="0"/>
                    <w:jc w:val="center"/>
                    <w:rPr>
                      <w:color w:val="auto"/>
                      <w:szCs w:val="21"/>
                    </w:rPr>
                  </w:pPr>
                  <w:r>
                    <w:rPr>
                      <w:color w:val="auto"/>
                      <w:szCs w:val="21"/>
                    </w:rPr>
                    <w:t>达标</w:t>
                  </w:r>
                </w:p>
              </w:tc>
            </w:tr>
          </w:tbl>
          <w:p>
            <w:pPr>
              <w:pStyle w:val="46"/>
              <w:adjustRightInd w:val="0"/>
              <w:snapToGrid/>
              <w:ind w:firstLine="480" w:firstLineChars="200"/>
              <w:rPr>
                <w:rFonts w:ascii="Times New Roman"/>
                <w:color w:val="auto"/>
              </w:rPr>
            </w:pPr>
            <w:r>
              <w:rPr>
                <w:rFonts w:ascii="Times New Roman"/>
                <w:color w:val="auto"/>
                <w:szCs w:val="21"/>
              </w:rPr>
              <w:t>从监测结果可以看出，项目</w:t>
            </w:r>
            <w:r>
              <w:rPr>
                <w:rFonts w:hint="eastAsia" w:ascii="Times New Roman"/>
                <w:color w:val="auto"/>
                <w:szCs w:val="21"/>
              </w:rPr>
              <w:t>长界</w:t>
            </w:r>
            <w:r>
              <w:rPr>
                <w:rFonts w:ascii="Times New Roman"/>
                <w:color w:val="auto"/>
                <w:szCs w:val="21"/>
              </w:rPr>
              <w:t>均达到《声环境质量标准》（GB3096-2008）2类标准的要求【即昼间≤60dB (A)，夜间≤50dB】。从总体来看，本区域噪声现状的环境质量较好。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496" w:hRule="atLeast"/>
        </w:trPr>
        <w:tc>
          <w:tcPr>
            <w:tcW w:w="9571" w:type="dxa"/>
            <w:tcBorders>
              <w:top w:val="single" w:color="auto" w:sz="4" w:space="0"/>
              <w:bottom w:val="single" w:color="000000" w:sz="6" w:space="0"/>
            </w:tcBorders>
          </w:tcPr>
          <w:p>
            <w:pPr>
              <w:spacing w:before="100" w:beforeAutospacing="1" w:line="360" w:lineRule="auto"/>
              <w:rPr>
                <w:b/>
                <w:color w:val="auto"/>
                <w:sz w:val="28"/>
              </w:rPr>
            </w:pPr>
            <w:r>
              <w:rPr>
                <w:b/>
                <w:color w:val="auto"/>
                <w:sz w:val="28"/>
              </w:rPr>
              <w:t>主要环境保护目标(列出名单及保护级别):</w:t>
            </w:r>
          </w:p>
          <w:p>
            <w:pPr>
              <w:pStyle w:val="46"/>
              <w:adjustRightInd w:val="0"/>
              <w:snapToGrid/>
              <w:ind w:firstLine="480" w:firstLineChars="200"/>
              <w:rPr>
                <w:rFonts w:ascii="Times New Roman"/>
                <w:color w:val="auto"/>
                <w:szCs w:val="21"/>
              </w:rPr>
            </w:pPr>
            <w:r>
              <w:rPr>
                <w:rFonts w:ascii="Times New Roman"/>
                <w:color w:val="auto"/>
                <w:szCs w:val="21"/>
              </w:rPr>
              <w:t>项目的主要环境保护目标，是保护好项目所在地附近周围评价区域环境质量。要采取有效的环保措施，使项目的建设和生产运行中保持项目所在地区域原有的环境空气质量、水环境质量和声环境质量。</w:t>
            </w:r>
          </w:p>
          <w:p>
            <w:pPr>
              <w:pStyle w:val="46"/>
              <w:adjustRightInd w:val="0"/>
              <w:snapToGrid/>
              <w:ind w:firstLine="482" w:firstLineChars="200"/>
              <w:rPr>
                <w:rFonts w:ascii="Times New Roman"/>
                <w:b/>
                <w:color w:val="auto"/>
                <w:szCs w:val="21"/>
              </w:rPr>
            </w:pPr>
            <w:r>
              <w:rPr>
                <w:rFonts w:ascii="Times New Roman"/>
                <w:b/>
                <w:color w:val="auto"/>
                <w:szCs w:val="21"/>
              </w:rPr>
              <w:t>一、空气环境保护目标</w:t>
            </w:r>
          </w:p>
          <w:p>
            <w:pPr>
              <w:pStyle w:val="46"/>
              <w:adjustRightInd w:val="0"/>
              <w:snapToGrid/>
              <w:ind w:firstLine="480" w:firstLineChars="200"/>
              <w:rPr>
                <w:rFonts w:ascii="Times New Roman"/>
                <w:color w:val="auto"/>
                <w:szCs w:val="21"/>
              </w:rPr>
            </w:pPr>
            <w:r>
              <w:rPr>
                <w:rFonts w:ascii="Times New Roman"/>
                <w:color w:val="auto"/>
                <w:szCs w:val="21"/>
              </w:rPr>
              <w:t>应保证周围大气环境达到保护人群健康、环境敏感点和动植物在长期和短期接触情况下不发生伤害所需要的环境质量要求，即保护该区域环境空气质量不因本项目的兴建而超过</w:t>
            </w:r>
            <w:r>
              <w:rPr>
                <w:rFonts w:hint="eastAsia" w:ascii="Times New Roman"/>
                <w:color w:val="auto"/>
                <w:szCs w:val="21"/>
                <w:lang w:eastAsia="zh-CN"/>
              </w:rPr>
              <w:t>《环境空气质量标准》（GB3095—2012）及</w:t>
            </w:r>
            <w:r>
              <w:rPr>
                <w:rFonts w:hint="eastAsia" w:ascii="Times New Roman"/>
                <w:color w:val="FF0000"/>
                <w:szCs w:val="21"/>
                <w:lang w:val="en-US" w:eastAsia="zh-CN"/>
              </w:rPr>
              <w:t>2018年修改单</w:t>
            </w:r>
            <w:r>
              <w:rPr>
                <w:rFonts w:ascii="Times New Roman"/>
                <w:color w:val="auto"/>
                <w:szCs w:val="21"/>
              </w:rPr>
              <w:t>二级标准。</w:t>
            </w:r>
          </w:p>
          <w:p>
            <w:pPr>
              <w:pStyle w:val="46"/>
              <w:adjustRightInd w:val="0"/>
              <w:snapToGrid/>
              <w:ind w:firstLine="482" w:firstLineChars="200"/>
              <w:rPr>
                <w:rFonts w:ascii="Times New Roman"/>
                <w:b/>
                <w:color w:val="auto"/>
                <w:szCs w:val="21"/>
              </w:rPr>
            </w:pPr>
            <w:r>
              <w:rPr>
                <w:rFonts w:ascii="Times New Roman"/>
                <w:b/>
                <w:color w:val="auto"/>
                <w:szCs w:val="21"/>
              </w:rPr>
              <w:t>二、水环境保护目标</w:t>
            </w:r>
          </w:p>
          <w:p>
            <w:pPr>
              <w:pStyle w:val="46"/>
              <w:adjustRightInd w:val="0"/>
              <w:snapToGrid/>
              <w:ind w:firstLine="480" w:firstLineChars="200"/>
              <w:rPr>
                <w:rFonts w:ascii="Times New Roman"/>
                <w:color w:val="auto"/>
                <w:szCs w:val="21"/>
              </w:rPr>
            </w:pPr>
            <w:r>
              <w:rPr>
                <w:rFonts w:ascii="Times New Roman"/>
                <w:color w:val="auto"/>
                <w:szCs w:val="21"/>
              </w:rPr>
              <w:t>保护附近水体</w:t>
            </w:r>
            <w:r>
              <w:rPr>
                <w:rFonts w:hint="eastAsia" w:ascii="Times New Roman"/>
                <w:color w:val="auto"/>
                <w:szCs w:val="21"/>
                <w:lang w:eastAsia="zh-CN"/>
              </w:rPr>
              <w:t>引榕总干渠</w:t>
            </w:r>
            <w:r>
              <w:rPr>
                <w:rFonts w:ascii="Times New Roman"/>
                <w:color w:val="auto"/>
                <w:szCs w:val="21"/>
              </w:rPr>
              <w:t>水域环境质量符合《地表水环境质量标准》（GB3838-2002）</w:t>
            </w:r>
            <w:r>
              <w:rPr>
                <w:rFonts w:hint="eastAsia" w:ascii="Times New Roman"/>
                <w:color w:val="auto"/>
                <w:szCs w:val="21"/>
              </w:rPr>
              <w:t>Ⅲ</w:t>
            </w:r>
            <w:r>
              <w:rPr>
                <w:rFonts w:ascii="Times New Roman"/>
                <w:color w:val="auto"/>
                <w:szCs w:val="21"/>
              </w:rPr>
              <w:t>类水质标准。</w:t>
            </w:r>
          </w:p>
          <w:p>
            <w:pPr>
              <w:pStyle w:val="46"/>
              <w:adjustRightInd w:val="0"/>
              <w:snapToGrid/>
              <w:ind w:firstLine="482" w:firstLineChars="200"/>
              <w:rPr>
                <w:rFonts w:ascii="Times New Roman"/>
                <w:b/>
                <w:color w:val="auto"/>
                <w:szCs w:val="21"/>
              </w:rPr>
            </w:pPr>
            <w:r>
              <w:rPr>
                <w:rFonts w:ascii="Times New Roman"/>
                <w:b/>
                <w:color w:val="auto"/>
                <w:szCs w:val="21"/>
              </w:rPr>
              <w:t>三、声环境保护目标</w:t>
            </w:r>
          </w:p>
          <w:p>
            <w:pPr>
              <w:pStyle w:val="46"/>
              <w:adjustRightInd w:val="0"/>
              <w:snapToGrid/>
              <w:ind w:firstLine="480" w:firstLineChars="200"/>
              <w:rPr>
                <w:rFonts w:ascii="Times New Roman"/>
                <w:color w:val="auto"/>
                <w:szCs w:val="21"/>
              </w:rPr>
            </w:pPr>
            <w:r>
              <w:rPr>
                <w:rFonts w:ascii="Times New Roman"/>
                <w:color w:val="auto"/>
                <w:szCs w:val="21"/>
              </w:rPr>
              <w:t>确保项目建成达产后，声环境符合《声环境质量标准》（GB3096-2008）2类标准。</w:t>
            </w:r>
          </w:p>
          <w:p>
            <w:pPr>
              <w:pStyle w:val="46"/>
              <w:adjustRightInd w:val="0"/>
              <w:snapToGrid/>
              <w:ind w:firstLine="482" w:firstLineChars="200"/>
              <w:rPr>
                <w:rFonts w:ascii="Times New Roman"/>
                <w:b/>
                <w:color w:val="auto"/>
                <w:szCs w:val="21"/>
              </w:rPr>
            </w:pPr>
            <w:r>
              <w:rPr>
                <w:rFonts w:ascii="Times New Roman"/>
                <w:b/>
                <w:color w:val="auto"/>
                <w:szCs w:val="21"/>
              </w:rPr>
              <w:t>四、地下水环境保护目标</w:t>
            </w:r>
          </w:p>
          <w:p>
            <w:pPr>
              <w:pStyle w:val="46"/>
              <w:adjustRightInd w:val="0"/>
              <w:snapToGrid/>
              <w:ind w:firstLine="480" w:firstLineChars="200"/>
              <w:rPr>
                <w:rFonts w:ascii="Times New Roman"/>
                <w:color w:val="auto"/>
                <w:szCs w:val="21"/>
              </w:rPr>
            </w:pPr>
            <w:r>
              <w:rPr>
                <w:rFonts w:ascii="Times New Roman"/>
                <w:color w:val="auto"/>
                <w:szCs w:val="21"/>
              </w:rPr>
              <w:t>保护项目地下水能达到《地下水质量标准》（GB/T14848-93）III类标准。</w:t>
            </w:r>
          </w:p>
          <w:p>
            <w:pPr>
              <w:pStyle w:val="46"/>
              <w:adjustRightInd w:val="0"/>
              <w:snapToGrid/>
              <w:ind w:firstLine="482" w:firstLineChars="200"/>
              <w:rPr>
                <w:rFonts w:ascii="Times New Roman"/>
                <w:b/>
                <w:color w:val="auto"/>
                <w:szCs w:val="21"/>
              </w:rPr>
            </w:pPr>
            <w:r>
              <w:rPr>
                <w:rFonts w:ascii="Times New Roman"/>
                <w:b/>
                <w:color w:val="auto"/>
                <w:szCs w:val="21"/>
              </w:rPr>
              <w:t>五、固体废物保护目标</w:t>
            </w:r>
          </w:p>
          <w:p>
            <w:pPr>
              <w:pStyle w:val="46"/>
              <w:adjustRightInd w:val="0"/>
              <w:snapToGrid/>
              <w:ind w:firstLine="480" w:firstLineChars="200"/>
              <w:rPr>
                <w:rFonts w:ascii="Times New Roman"/>
                <w:color w:val="auto"/>
                <w:szCs w:val="21"/>
              </w:rPr>
            </w:pPr>
            <w:r>
              <w:rPr>
                <w:rFonts w:ascii="Times New Roman"/>
                <w:color w:val="auto"/>
                <w:szCs w:val="21"/>
              </w:rPr>
              <w:t>妥善处理本项目产生的固体废物，使之不成为区域内危害环境的新污染源。</w:t>
            </w:r>
          </w:p>
          <w:p>
            <w:pPr>
              <w:pStyle w:val="46"/>
              <w:adjustRightInd w:val="0"/>
              <w:snapToGrid/>
              <w:ind w:firstLine="482" w:firstLineChars="200"/>
              <w:rPr>
                <w:rFonts w:ascii="Times New Roman"/>
                <w:b/>
                <w:color w:val="auto"/>
                <w:szCs w:val="21"/>
              </w:rPr>
            </w:pPr>
            <w:r>
              <w:rPr>
                <w:rFonts w:ascii="Times New Roman"/>
                <w:b/>
                <w:color w:val="auto"/>
                <w:szCs w:val="21"/>
              </w:rPr>
              <w:t>六、生态环境保护目标</w:t>
            </w:r>
          </w:p>
          <w:p>
            <w:pPr>
              <w:pStyle w:val="46"/>
              <w:adjustRightInd w:val="0"/>
              <w:snapToGrid/>
              <w:ind w:firstLine="480" w:firstLineChars="200"/>
              <w:rPr>
                <w:rFonts w:ascii="Times New Roman"/>
                <w:color w:val="auto"/>
                <w:szCs w:val="21"/>
              </w:rPr>
            </w:pPr>
            <w:r>
              <w:rPr>
                <w:rFonts w:ascii="Times New Roman"/>
                <w:color w:val="auto"/>
                <w:szCs w:val="21"/>
              </w:rPr>
              <w:t>做好本项目的绿化，防止水土流失，维护良好的生态环境。</w:t>
            </w:r>
          </w:p>
          <w:p>
            <w:pPr>
              <w:pStyle w:val="46"/>
              <w:adjustRightInd w:val="0"/>
              <w:snapToGrid/>
              <w:ind w:firstLine="482" w:firstLineChars="200"/>
              <w:rPr>
                <w:rFonts w:ascii="Times New Roman"/>
                <w:b/>
                <w:color w:val="auto"/>
                <w:szCs w:val="21"/>
              </w:rPr>
            </w:pPr>
            <w:r>
              <w:rPr>
                <w:rFonts w:ascii="Times New Roman"/>
                <w:b/>
                <w:color w:val="auto"/>
                <w:szCs w:val="21"/>
              </w:rPr>
              <w:t>七、敏感点保护目标</w:t>
            </w:r>
          </w:p>
          <w:p>
            <w:pPr>
              <w:pStyle w:val="46"/>
              <w:adjustRightInd w:val="0"/>
              <w:snapToGrid/>
              <w:ind w:firstLine="480" w:firstLineChars="200"/>
              <w:rPr>
                <w:rFonts w:ascii="Times New Roman"/>
                <w:color w:val="auto"/>
                <w:szCs w:val="21"/>
              </w:rPr>
            </w:pPr>
            <w:r>
              <w:rPr>
                <w:rFonts w:ascii="Times New Roman"/>
                <w:color w:val="auto"/>
                <w:szCs w:val="21"/>
              </w:rPr>
              <w:t>项目地周围主要保护的目标见表3-4。</w:t>
            </w:r>
          </w:p>
          <w:p>
            <w:pPr>
              <w:jc w:val="center"/>
              <w:rPr>
                <w:b/>
                <w:color w:val="auto"/>
                <w:sz w:val="24"/>
              </w:rPr>
            </w:pPr>
            <w:r>
              <w:rPr>
                <w:b/>
                <w:color w:val="auto"/>
                <w:sz w:val="24"/>
              </w:rPr>
              <w:t>表3-4  本项目环境保护目标一览表</w:t>
            </w:r>
          </w:p>
          <w:tbl>
            <w:tblPr>
              <w:tblStyle w:val="31"/>
              <w:tblW w:w="920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29"/>
              <w:gridCol w:w="1587"/>
              <w:gridCol w:w="722"/>
              <w:gridCol w:w="1116"/>
              <w:gridCol w:w="1092"/>
              <w:gridCol w:w="1653"/>
              <w:gridCol w:w="16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Align w:val="center"/>
                </w:tcPr>
                <w:p>
                  <w:pPr>
                    <w:jc w:val="center"/>
                    <w:rPr>
                      <w:b/>
                      <w:color w:val="auto"/>
                      <w:szCs w:val="21"/>
                    </w:rPr>
                  </w:pPr>
                  <w:r>
                    <w:rPr>
                      <w:b/>
                      <w:color w:val="auto"/>
                      <w:szCs w:val="21"/>
                    </w:rPr>
                    <w:t>环境要素</w:t>
                  </w:r>
                </w:p>
              </w:tc>
              <w:tc>
                <w:tcPr>
                  <w:tcW w:w="1587" w:type="dxa"/>
                  <w:vAlign w:val="center"/>
                </w:tcPr>
                <w:p>
                  <w:pPr>
                    <w:jc w:val="center"/>
                    <w:rPr>
                      <w:b/>
                      <w:color w:val="auto"/>
                      <w:szCs w:val="21"/>
                    </w:rPr>
                  </w:pPr>
                  <w:r>
                    <w:rPr>
                      <w:b/>
                      <w:color w:val="auto"/>
                      <w:szCs w:val="21"/>
                    </w:rPr>
                    <w:t>敏感目标</w:t>
                  </w:r>
                </w:p>
              </w:tc>
              <w:tc>
                <w:tcPr>
                  <w:tcW w:w="722" w:type="dxa"/>
                  <w:vAlign w:val="center"/>
                </w:tcPr>
                <w:p>
                  <w:pPr>
                    <w:ind w:left="-105" w:leftChars="-50" w:right="-105" w:rightChars="-50"/>
                    <w:jc w:val="center"/>
                    <w:rPr>
                      <w:b/>
                      <w:color w:val="auto"/>
                      <w:szCs w:val="21"/>
                    </w:rPr>
                  </w:pPr>
                  <w:r>
                    <w:rPr>
                      <w:b/>
                      <w:color w:val="auto"/>
                      <w:szCs w:val="21"/>
                    </w:rPr>
                    <w:t>方位</w:t>
                  </w:r>
                </w:p>
              </w:tc>
              <w:tc>
                <w:tcPr>
                  <w:tcW w:w="1116" w:type="dxa"/>
                  <w:vAlign w:val="center"/>
                </w:tcPr>
                <w:p>
                  <w:pPr>
                    <w:jc w:val="center"/>
                    <w:rPr>
                      <w:b/>
                      <w:color w:val="auto"/>
                      <w:szCs w:val="21"/>
                    </w:rPr>
                  </w:pPr>
                  <w:r>
                    <w:rPr>
                      <w:b/>
                      <w:color w:val="auto"/>
                      <w:szCs w:val="21"/>
                    </w:rPr>
                    <w:t>距离m</w:t>
                  </w:r>
                </w:p>
              </w:tc>
              <w:tc>
                <w:tcPr>
                  <w:tcW w:w="1092" w:type="dxa"/>
                  <w:vAlign w:val="center"/>
                </w:tcPr>
                <w:p>
                  <w:pPr>
                    <w:jc w:val="center"/>
                    <w:rPr>
                      <w:b/>
                      <w:color w:val="auto"/>
                      <w:szCs w:val="21"/>
                    </w:rPr>
                  </w:pPr>
                  <w:r>
                    <w:rPr>
                      <w:b/>
                      <w:color w:val="auto"/>
                      <w:szCs w:val="21"/>
                    </w:rPr>
                    <w:t>功能</w:t>
                  </w:r>
                </w:p>
              </w:tc>
              <w:tc>
                <w:tcPr>
                  <w:tcW w:w="1653" w:type="dxa"/>
                  <w:vAlign w:val="center"/>
                </w:tcPr>
                <w:p>
                  <w:pPr>
                    <w:jc w:val="center"/>
                    <w:rPr>
                      <w:b/>
                      <w:color w:val="auto"/>
                      <w:szCs w:val="21"/>
                    </w:rPr>
                  </w:pPr>
                  <w:r>
                    <w:rPr>
                      <w:b/>
                      <w:color w:val="auto"/>
                      <w:szCs w:val="21"/>
                    </w:rPr>
                    <w:t>规模</w:t>
                  </w:r>
                </w:p>
              </w:tc>
              <w:tc>
                <w:tcPr>
                  <w:tcW w:w="1609" w:type="dxa"/>
                  <w:vAlign w:val="center"/>
                </w:tcPr>
                <w:p>
                  <w:pPr>
                    <w:jc w:val="center"/>
                    <w:rPr>
                      <w:b/>
                      <w:color w:val="auto"/>
                      <w:szCs w:val="21"/>
                    </w:rPr>
                  </w:pPr>
                  <w:r>
                    <w:rPr>
                      <w:b/>
                      <w:color w:val="auto"/>
                      <w:szCs w:val="21"/>
                    </w:rPr>
                    <w:t>保护级别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Align w:val="center"/>
                </w:tcPr>
                <w:p>
                  <w:pPr>
                    <w:jc w:val="center"/>
                    <w:rPr>
                      <w:color w:val="auto"/>
                      <w:szCs w:val="21"/>
                    </w:rPr>
                  </w:pPr>
                  <w:r>
                    <w:rPr>
                      <w:color w:val="auto"/>
                      <w:szCs w:val="21"/>
                    </w:rPr>
                    <w:t>水环境</w:t>
                  </w:r>
                </w:p>
              </w:tc>
              <w:tc>
                <w:tcPr>
                  <w:tcW w:w="1587" w:type="dxa"/>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引榕总干渠</w:t>
                  </w:r>
                </w:p>
              </w:tc>
              <w:tc>
                <w:tcPr>
                  <w:tcW w:w="722" w:type="dxa"/>
                  <w:vAlign w:val="center"/>
                </w:tcPr>
                <w:p>
                  <w:pPr>
                    <w:jc w:val="center"/>
                    <w:rPr>
                      <w:rFonts w:hint="eastAsia" w:eastAsia="宋体"/>
                      <w:color w:val="auto"/>
                      <w:szCs w:val="21"/>
                      <w:lang w:eastAsia="zh-CN"/>
                    </w:rPr>
                  </w:pPr>
                  <w:r>
                    <w:rPr>
                      <w:rFonts w:hint="eastAsia"/>
                      <w:color w:val="auto"/>
                      <w:szCs w:val="21"/>
                      <w:lang w:val="en-US" w:eastAsia="zh-CN"/>
                    </w:rPr>
                    <w:t>S</w:t>
                  </w:r>
                </w:p>
              </w:tc>
              <w:tc>
                <w:tcPr>
                  <w:tcW w:w="1116" w:type="dxa"/>
                  <w:vAlign w:val="center"/>
                </w:tcPr>
                <w:p>
                  <w:pPr>
                    <w:jc w:val="center"/>
                    <w:rPr>
                      <w:rFonts w:hint="eastAsia" w:eastAsia="宋体"/>
                      <w:color w:val="auto"/>
                      <w:szCs w:val="21"/>
                      <w:lang w:val="en-US" w:eastAsia="zh-CN"/>
                    </w:rPr>
                  </w:pPr>
                  <w:r>
                    <w:rPr>
                      <w:rFonts w:hint="eastAsia"/>
                      <w:color w:val="auto"/>
                      <w:szCs w:val="21"/>
                      <w:lang w:val="en-US" w:eastAsia="zh-CN"/>
                    </w:rPr>
                    <w:t>20</w:t>
                  </w:r>
                </w:p>
              </w:tc>
              <w:tc>
                <w:tcPr>
                  <w:tcW w:w="1092" w:type="dxa"/>
                  <w:vAlign w:val="center"/>
                </w:tcPr>
                <w:p>
                  <w:pPr>
                    <w:jc w:val="center"/>
                    <w:rPr>
                      <w:color w:val="auto"/>
                      <w:szCs w:val="21"/>
                    </w:rPr>
                  </w:pPr>
                  <w:r>
                    <w:rPr>
                      <w:color w:val="auto"/>
                      <w:szCs w:val="21"/>
                    </w:rPr>
                    <w:t>——</w:t>
                  </w:r>
                </w:p>
              </w:tc>
              <w:tc>
                <w:tcPr>
                  <w:tcW w:w="1653" w:type="dxa"/>
                  <w:vAlign w:val="center"/>
                </w:tcPr>
                <w:p>
                  <w:pPr>
                    <w:jc w:val="center"/>
                    <w:rPr>
                      <w:color w:val="auto"/>
                      <w:szCs w:val="21"/>
                    </w:rPr>
                  </w:pPr>
                  <w:r>
                    <w:rPr>
                      <w:color w:val="auto"/>
                      <w:szCs w:val="21"/>
                    </w:rPr>
                    <w:t>——</w:t>
                  </w:r>
                </w:p>
              </w:tc>
              <w:tc>
                <w:tcPr>
                  <w:tcW w:w="1609" w:type="dxa"/>
                  <w:vAlign w:val="center"/>
                </w:tcPr>
                <w:p>
                  <w:pPr>
                    <w:jc w:val="center"/>
                    <w:rPr>
                      <w:color w:val="auto"/>
                      <w:szCs w:val="21"/>
                    </w:rPr>
                  </w:pPr>
                  <w:r>
                    <w:rPr>
                      <w:color w:val="auto"/>
                      <w:szCs w:val="21"/>
                    </w:rPr>
                    <w:t>(GB3838-2002)中</w:t>
                  </w:r>
                  <w:r>
                    <w:rPr>
                      <w:color w:val="auto"/>
                      <w:szCs w:val="21"/>
                    </w:rPr>
                    <w:fldChar w:fldCharType="begin"/>
                  </w:r>
                  <w:r>
                    <w:rPr>
                      <w:color w:val="auto"/>
                      <w:szCs w:val="21"/>
                    </w:rPr>
                    <w:instrText xml:space="preserve"> = 3 \* ROMAN </w:instrText>
                  </w:r>
                  <w:r>
                    <w:rPr>
                      <w:color w:val="auto"/>
                      <w:szCs w:val="21"/>
                    </w:rPr>
                    <w:fldChar w:fldCharType="separate"/>
                  </w:r>
                  <w:r>
                    <w:rPr>
                      <w:rFonts w:hint="eastAsia" w:ascii="Times New Roman"/>
                      <w:color w:val="auto"/>
                      <w:szCs w:val="21"/>
                    </w:rPr>
                    <w:fldChar w:fldCharType="begin"/>
                  </w:r>
                  <w:r>
                    <w:rPr>
                      <w:rFonts w:hint="eastAsia" w:ascii="Times New Roman"/>
                      <w:color w:val="auto"/>
                      <w:szCs w:val="21"/>
                    </w:rPr>
                    <w:instrText xml:space="preserve"> = 3 \* ROMAN </w:instrText>
                  </w:r>
                  <w:r>
                    <w:rPr>
                      <w:rFonts w:hint="eastAsia" w:ascii="Times New Roman"/>
                      <w:color w:val="auto"/>
                      <w:szCs w:val="21"/>
                    </w:rPr>
                    <w:fldChar w:fldCharType="separate"/>
                  </w:r>
                  <w:r>
                    <w:rPr>
                      <w:rFonts w:hint="eastAsia" w:ascii="Times New Roman"/>
                      <w:color w:val="auto"/>
                      <w:szCs w:val="21"/>
                    </w:rPr>
                    <w:t>V</w:t>
                  </w:r>
                  <w:r>
                    <w:rPr>
                      <w:rFonts w:hint="eastAsia" w:ascii="Times New Roman"/>
                      <w:color w:val="auto"/>
                      <w:szCs w:val="21"/>
                    </w:rPr>
                    <w:fldChar w:fldCharType="end"/>
                  </w:r>
                  <w:r>
                    <w:rPr>
                      <w:color w:val="auto"/>
                      <w:szCs w:val="21"/>
                    </w:rPr>
                    <w:fldChar w:fldCharType="end"/>
                  </w:r>
                  <w:r>
                    <w:rPr>
                      <w:color w:val="auto"/>
                      <w:szCs w:val="21"/>
                    </w:rPr>
                    <w:t>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restart"/>
                  <w:vAlign w:val="center"/>
                </w:tcPr>
                <w:p>
                  <w:pPr>
                    <w:jc w:val="center"/>
                    <w:rPr>
                      <w:color w:val="auto"/>
                      <w:szCs w:val="21"/>
                    </w:rPr>
                  </w:pPr>
                  <w:r>
                    <w:rPr>
                      <w:color w:val="auto"/>
                      <w:szCs w:val="21"/>
                    </w:rPr>
                    <w:t>大气环境</w:t>
                  </w:r>
                </w:p>
              </w:tc>
              <w:tc>
                <w:tcPr>
                  <w:tcW w:w="1587" w:type="dxa"/>
                  <w:vAlign w:val="center"/>
                </w:tcPr>
                <w:p>
                  <w:pPr>
                    <w:ind w:left="-105" w:leftChars="-50" w:right="-105" w:rightChars="-50"/>
                    <w:jc w:val="center"/>
                    <w:rPr>
                      <w:rFonts w:hint="eastAsia" w:eastAsia="宋体"/>
                      <w:color w:val="auto"/>
                      <w:szCs w:val="21"/>
                      <w:lang w:eastAsia="zh-CN"/>
                    </w:rPr>
                  </w:pPr>
                  <w:r>
                    <w:rPr>
                      <w:rFonts w:hint="eastAsia"/>
                      <w:color w:val="auto"/>
                      <w:szCs w:val="21"/>
                      <w:lang w:eastAsia="zh-CN"/>
                    </w:rPr>
                    <w:t>新光村</w:t>
                  </w:r>
                </w:p>
              </w:tc>
              <w:tc>
                <w:tcPr>
                  <w:tcW w:w="722" w:type="dxa"/>
                  <w:vAlign w:val="center"/>
                </w:tcPr>
                <w:p>
                  <w:pPr>
                    <w:jc w:val="center"/>
                    <w:rPr>
                      <w:rFonts w:hint="default" w:eastAsia="宋体"/>
                      <w:color w:val="auto"/>
                      <w:szCs w:val="21"/>
                      <w:lang w:val="en-US" w:eastAsia="zh-CN"/>
                    </w:rPr>
                  </w:pPr>
                  <w:r>
                    <w:rPr>
                      <w:rFonts w:hint="eastAsia"/>
                      <w:color w:val="auto"/>
                      <w:szCs w:val="21"/>
                      <w:lang w:val="en-US" w:eastAsia="zh-CN"/>
                    </w:rPr>
                    <w:t>E\W\N</w:t>
                  </w:r>
                </w:p>
              </w:tc>
              <w:tc>
                <w:tcPr>
                  <w:tcW w:w="1116" w:type="dxa"/>
                  <w:vAlign w:val="center"/>
                </w:tcPr>
                <w:p>
                  <w:pPr>
                    <w:jc w:val="center"/>
                    <w:rPr>
                      <w:rFonts w:hint="default" w:eastAsia="宋体"/>
                      <w:color w:val="auto"/>
                      <w:szCs w:val="21"/>
                      <w:lang w:val="en-US" w:eastAsia="zh-CN"/>
                    </w:rPr>
                  </w:pPr>
                  <w:r>
                    <w:rPr>
                      <w:rFonts w:hint="eastAsia"/>
                      <w:color w:val="auto"/>
                      <w:szCs w:val="21"/>
                      <w:lang w:val="en-US" w:eastAsia="zh-CN"/>
                    </w:rPr>
                    <w:t>10</w:t>
                  </w:r>
                </w:p>
              </w:tc>
              <w:tc>
                <w:tcPr>
                  <w:tcW w:w="1092" w:type="dxa"/>
                  <w:vAlign w:val="center"/>
                </w:tcPr>
                <w:p>
                  <w:pPr>
                    <w:jc w:val="center"/>
                    <w:rPr>
                      <w:rFonts w:hint="eastAsia" w:eastAsia="宋体"/>
                      <w:color w:val="auto"/>
                      <w:szCs w:val="21"/>
                      <w:lang w:eastAsia="zh-CN"/>
                    </w:rPr>
                  </w:pPr>
                  <w:r>
                    <w:rPr>
                      <w:rFonts w:hint="eastAsia"/>
                      <w:color w:val="auto"/>
                      <w:szCs w:val="21"/>
                      <w:lang w:eastAsia="zh-CN"/>
                    </w:rPr>
                    <w:t>住宅</w:t>
                  </w:r>
                </w:p>
              </w:tc>
              <w:tc>
                <w:tcPr>
                  <w:tcW w:w="1653" w:type="dxa"/>
                  <w:vAlign w:val="center"/>
                </w:tcPr>
                <w:p>
                  <w:pPr>
                    <w:jc w:val="center"/>
                    <w:rPr>
                      <w:rFonts w:hint="eastAsia" w:eastAsia="宋体"/>
                      <w:color w:val="auto"/>
                      <w:szCs w:val="21"/>
                      <w:lang w:val="en-US" w:eastAsia="zh-CN"/>
                    </w:rPr>
                  </w:pPr>
                  <w:r>
                    <w:rPr>
                      <w:rFonts w:hint="eastAsia"/>
                      <w:color w:val="auto"/>
                      <w:szCs w:val="21"/>
                      <w:lang w:val="en-US" w:eastAsia="zh-CN"/>
                    </w:rPr>
                    <w:t>500户，1975人</w:t>
                  </w:r>
                </w:p>
              </w:tc>
              <w:tc>
                <w:tcPr>
                  <w:tcW w:w="1609" w:type="dxa"/>
                  <w:vMerge w:val="restart"/>
                  <w:vAlign w:val="center"/>
                </w:tcPr>
                <w:p>
                  <w:pPr>
                    <w:jc w:val="center"/>
                    <w:rPr>
                      <w:color w:val="auto"/>
                      <w:szCs w:val="21"/>
                    </w:rPr>
                  </w:pPr>
                  <w:r>
                    <w:rPr>
                      <w:color w:val="auto"/>
                      <w:szCs w:val="21"/>
                    </w:rPr>
                    <w:t>（GB3095-2012）</w:t>
                  </w:r>
                  <w:r>
                    <w:rPr>
                      <w:rFonts w:hint="eastAsia"/>
                      <w:color w:val="auto"/>
                      <w:szCs w:val="21"/>
                      <w:lang w:eastAsia="zh-CN"/>
                    </w:rPr>
                    <w:t>及</w:t>
                  </w:r>
                  <w:r>
                    <w:rPr>
                      <w:rFonts w:hint="eastAsia"/>
                      <w:color w:val="auto"/>
                      <w:szCs w:val="21"/>
                      <w:lang w:val="en-US" w:eastAsia="zh-CN"/>
                    </w:rPr>
                    <w:t>2018年修改单</w:t>
                  </w:r>
                  <w:r>
                    <w:rPr>
                      <w:color w:val="auto"/>
                      <w:szCs w:val="21"/>
                    </w:rPr>
                    <w:t>中的二级标准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ind w:left="-105" w:leftChars="-50" w:right="-105" w:rightChars="-50"/>
                    <w:jc w:val="center"/>
                    <w:rPr>
                      <w:rFonts w:hint="eastAsia"/>
                      <w:color w:val="auto"/>
                      <w:szCs w:val="21"/>
                      <w:lang w:eastAsia="zh-CN"/>
                    </w:rPr>
                  </w:pPr>
                  <w:r>
                    <w:rPr>
                      <w:rFonts w:hint="eastAsia"/>
                      <w:color w:val="auto"/>
                      <w:szCs w:val="21"/>
                      <w:lang w:eastAsia="zh-CN"/>
                    </w:rPr>
                    <w:t>引榕南村</w:t>
                  </w:r>
                </w:p>
              </w:tc>
              <w:tc>
                <w:tcPr>
                  <w:tcW w:w="722" w:type="dxa"/>
                  <w:vAlign w:val="center"/>
                </w:tcPr>
                <w:p>
                  <w:pPr>
                    <w:jc w:val="center"/>
                    <w:rPr>
                      <w:rFonts w:hint="default" w:eastAsia="宋体"/>
                      <w:color w:val="auto"/>
                      <w:szCs w:val="21"/>
                      <w:lang w:val="en-US" w:eastAsia="zh-CN"/>
                    </w:rPr>
                  </w:pPr>
                  <w:r>
                    <w:rPr>
                      <w:rFonts w:hint="eastAsia"/>
                      <w:color w:val="auto"/>
                      <w:szCs w:val="21"/>
                      <w:lang w:val="en-US" w:eastAsia="zh-CN"/>
                    </w:rPr>
                    <w:t>S</w:t>
                  </w:r>
                </w:p>
              </w:tc>
              <w:tc>
                <w:tcPr>
                  <w:tcW w:w="1116" w:type="dxa"/>
                  <w:vAlign w:val="center"/>
                </w:tcPr>
                <w:p>
                  <w:pPr>
                    <w:jc w:val="center"/>
                    <w:rPr>
                      <w:rFonts w:hint="default" w:eastAsia="宋体"/>
                      <w:color w:val="auto"/>
                      <w:szCs w:val="21"/>
                      <w:lang w:val="en-US" w:eastAsia="zh-CN"/>
                    </w:rPr>
                  </w:pPr>
                  <w:r>
                    <w:rPr>
                      <w:rFonts w:hint="eastAsia"/>
                      <w:color w:val="auto"/>
                      <w:szCs w:val="21"/>
                      <w:lang w:val="en-US" w:eastAsia="zh-CN"/>
                    </w:rPr>
                    <w:t>60</w:t>
                  </w:r>
                </w:p>
              </w:tc>
              <w:tc>
                <w:tcPr>
                  <w:tcW w:w="1092" w:type="dxa"/>
                  <w:vAlign w:val="center"/>
                </w:tcPr>
                <w:p>
                  <w:pPr>
                    <w:jc w:val="center"/>
                    <w:rPr>
                      <w:rFonts w:hint="eastAsia" w:eastAsia="宋体"/>
                      <w:color w:val="auto"/>
                      <w:szCs w:val="21"/>
                      <w:lang w:eastAsia="zh-CN"/>
                    </w:rPr>
                  </w:pPr>
                  <w:r>
                    <w:rPr>
                      <w:rFonts w:hint="eastAsia"/>
                      <w:color w:val="auto"/>
                      <w:szCs w:val="21"/>
                      <w:lang w:eastAsia="zh-CN"/>
                    </w:rPr>
                    <w:t>住宅</w:t>
                  </w:r>
                </w:p>
              </w:tc>
              <w:tc>
                <w:tcPr>
                  <w:tcW w:w="1653" w:type="dxa"/>
                  <w:vAlign w:val="center"/>
                </w:tcPr>
                <w:p>
                  <w:pPr>
                    <w:jc w:val="center"/>
                    <w:rPr>
                      <w:rFonts w:hint="eastAsia" w:eastAsia="宋体"/>
                      <w:color w:val="auto"/>
                      <w:szCs w:val="21"/>
                      <w:lang w:val="en-US" w:eastAsia="zh-CN"/>
                    </w:rPr>
                  </w:pPr>
                  <w:r>
                    <w:rPr>
                      <w:rFonts w:hint="eastAsia"/>
                      <w:color w:val="auto"/>
                      <w:szCs w:val="21"/>
                      <w:lang w:val="en-US" w:eastAsia="zh-CN"/>
                    </w:rPr>
                    <w:t>15户，65人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ind w:left="-105" w:leftChars="-50" w:right="-105" w:rightChars="-50"/>
                    <w:jc w:val="center"/>
                    <w:rPr>
                      <w:rFonts w:hint="eastAsia"/>
                      <w:color w:val="auto"/>
                      <w:szCs w:val="21"/>
                      <w:lang w:eastAsia="zh-CN"/>
                    </w:rPr>
                  </w:pPr>
                  <w:r>
                    <w:rPr>
                      <w:rFonts w:hint="eastAsia"/>
                      <w:color w:val="auto"/>
                      <w:szCs w:val="21"/>
                      <w:lang w:eastAsia="zh-CN"/>
                    </w:rPr>
                    <w:t>梅塘镇人民政府</w:t>
                  </w:r>
                </w:p>
              </w:tc>
              <w:tc>
                <w:tcPr>
                  <w:tcW w:w="722" w:type="dxa"/>
                  <w:vAlign w:val="center"/>
                </w:tcPr>
                <w:p>
                  <w:pPr>
                    <w:jc w:val="center"/>
                    <w:rPr>
                      <w:rFonts w:hint="eastAsia"/>
                      <w:color w:val="auto"/>
                      <w:szCs w:val="21"/>
                      <w:lang w:val="en-US" w:eastAsia="zh-CN"/>
                    </w:rPr>
                  </w:pPr>
                  <w:r>
                    <w:rPr>
                      <w:rFonts w:hint="eastAsia"/>
                      <w:color w:val="auto"/>
                      <w:szCs w:val="21"/>
                      <w:lang w:val="en-US" w:eastAsia="zh-CN"/>
                    </w:rPr>
                    <w:t>SE</w:t>
                  </w:r>
                </w:p>
              </w:tc>
              <w:tc>
                <w:tcPr>
                  <w:tcW w:w="1116" w:type="dxa"/>
                  <w:vAlign w:val="center"/>
                </w:tcPr>
                <w:p>
                  <w:pPr>
                    <w:jc w:val="center"/>
                    <w:rPr>
                      <w:rFonts w:hint="eastAsia"/>
                      <w:color w:val="auto"/>
                      <w:szCs w:val="21"/>
                      <w:lang w:val="en-US" w:eastAsia="zh-CN"/>
                    </w:rPr>
                  </w:pPr>
                  <w:r>
                    <w:rPr>
                      <w:rFonts w:hint="eastAsia"/>
                      <w:color w:val="auto"/>
                      <w:szCs w:val="21"/>
                      <w:lang w:val="en-US" w:eastAsia="zh-CN"/>
                    </w:rPr>
                    <w:t>160</w:t>
                  </w:r>
                </w:p>
              </w:tc>
              <w:tc>
                <w:tcPr>
                  <w:tcW w:w="1092" w:type="dxa"/>
                  <w:vAlign w:val="center"/>
                </w:tcPr>
                <w:p>
                  <w:pPr>
                    <w:jc w:val="center"/>
                    <w:rPr>
                      <w:rFonts w:hint="eastAsia"/>
                      <w:color w:val="auto"/>
                      <w:szCs w:val="21"/>
                      <w:lang w:eastAsia="zh-CN"/>
                    </w:rPr>
                  </w:pPr>
                  <w:r>
                    <w:rPr>
                      <w:rFonts w:hint="eastAsia"/>
                      <w:color w:val="auto"/>
                      <w:szCs w:val="21"/>
                      <w:lang w:eastAsia="zh-CN"/>
                    </w:rPr>
                    <w:t>行政办公</w:t>
                  </w:r>
                </w:p>
              </w:tc>
              <w:tc>
                <w:tcPr>
                  <w:tcW w:w="1653" w:type="dxa"/>
                  <w:vAlign w:val="center"/>
                </w:tcPr>
                <w:p>
                  <w:pPr>
                    <w:jc w:val="center"/>
                    <w:rPr>
                      <w:rFonts w:hint="eastAsia"/>
                      <w:color w:val="auto"/>
                      <w:szCs w:val="21"/>
                      <w:lang w:val="en-US" w:eastAsia="zh-CN"/>
                    </w:rPr>
                  </w:pPr>
                  <w:r>
                    <w:rPr>
                      <w:rFonts w:hint="eastAsia"/>
                      <w:color w:val="auto"/>
                      <w:szCs w:val="21"/>
                      <w:lang w:val="en-US" w:eastAsia="zh-CN"/>
                    </w:rPr>
                    <w:t>89人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rFonts w:hint="eastAsia" w:eastAsia="宋体"/>
                      <w:color w:val="auto"/>
                      <w:szCs w:val="21"/>
                      <w:lang w:eastAsia="zh-CN"/>
                    </w:rPr>
                  </w:pPr>
                  <w:r>
                    <w:rPr>
                      <w:rFonts w:hint="eastAsia"/>
                      <w:color w:val="auto"/>
                      <w:szCs w:val="21"/>
                      <w:lang w:eastAsia="zh-CN"/>
                    </w:rPr>
                    <w:t>仁美村</w:t>
                  </w:r>
                </w:p>
              </w:tc>
              <w:tc>
                <w:tcPr>
                  <w:tcW w:w="722" w:type="dxa"/>
                  <w:vAlign w:val="center"/>
                </w:tcPr>
                <w:p>
                  <w:pPr>
                    <w:ind w:left="-105" w:leftChars="-50" w:right="-105" w:rightChars="-50"/>
                    <w:jc w:val="center"/>
                    <w:rPr>
                      <w:rFonts w:hint="eastAsia" w:eastAsia="宋体"/>
                      <w:color w:val="auto"/>
                      <w:szCs w:val="21"/>
                      <w:lang w:val="en-US" w:eastAsia="zh-CN"/>
                    </w:rPr>
                  </w:pPr>
                  <w:r>
                    <w:rPr>
                      <w:rFonts w:hint="eastAsia"/>
                      <w:color w:val="auto"/>
                      <w:szCs w:val="21"/>
                      <w:lang w:val="en-US" w:eastAsia="zh-CN"/>
                    </w:rPr>
                    <w:t>SW</w:t>
                  </w:r>
                </w:p>
              </w:tc>
              <w:tc>
                <w:tcPr>
                  <w:tcW w:w="1116" w:type="dxa"/>
                  <w:vAlign w:val="center"/>
                </w:tcPr>
                <w:p>
                  <w:pPr>
                    <w:jc w:val="center"/>
                    <w:rPr>
                      <w:rFonts w:hint="eastAsia" w:eastAsia="宋体"/>
                      <w:color w:val="auto"/>
                      <w:szCs w:val="21"/>
                      <w:lang w:val="en-US" w:eastAsia="zh-CN"/>
                    </w:rPr>
                  </w:pPr>
                  <w:r>
                    <w:rPr>
                      <w:rFonts w:hint="eastAsia"/>
                      <w:color w:val="auto"/>
                      <w:szCs w:val="21"/>
                      <w:lang w:val="en-US" w:eastAsia="zh-CN"/>
                    </w:rPr>
                    <w:t>220</w:t>
                  </w:r>
                </w:p>
              </w:tc>
              <w:tc>
                <w:tcPr>
                  <w:tcW w:w="1092" w:type="dxa"/>
                  <w:vAlign w:val="center"/>
                </w:tcPr>
                <w:p>
                  <w:pPr>
                    <w:jc w:val="center"/>
                    <w:rPr>
                      <w:rFonts w:hint="eastAsia" w:eastAsia="宋体"/>
                      <w:color w:val="auto"/>
                      <w:szCs w:val="21"/>
                      <w:lang w:eastAsia="zh-CN"/>
                    </w:rPr>
                  </w:pPr>
                  <w:r>
                    <w:rPr>
                      <w:rFonts w:hint="eastAsia"/>
                      <w:color w:val="auto"/>
                      <w:szCs w:val="21"/>
                      <w:lang w:eastAsia="zh-CN"/>
                    </w:rPr>
                    <w:t>住宅</w:t>
                  </w:r>
                </w:p>
              </w:tc>
              <w:tc>
                <w:tcPr>
                  <w:tcW w:w="1653" w:type="dxa"/>
                  <w:vAlign w:val="center"/>
                </w:tcPr>
                <w:p>
                  <w:pPr>
                    <w:jc w:val="center"/>
                    <w:rPr>
                      <w:rFonts w:hint="eastAsia" w:eastAsia="宋体"/>
                      <w:color w:val="auto"/>
                      <w:szCs w:val="21"/>
                      <w:lang w:val="en-US" w:eastAsia="zh-CN"/>
                    </w:rPr>
                  </w:pPr>
                  <w:r>
                    <w:rPr>
                      <w:rFonts w:hint="eastAsia"/>
                      <w:color w:val="auto"/>
                      <w:szCs w:val="21"/>
                      <w:lang w:val="en-US" w:eastAsia="zh-CN"/>
                    </w:rPr>
                    <w:t>20户，70人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rFonts w:hint="eastAsia" w:eastAsia="宋体"/>
                      <w:color w:val="auto"/>
                      <w:szCs w:val="21"/>
                      <w:lang w:eastAsia="zh-CN"/>
                    </w:rPr>
                  </w:pPr>
                  <w:r>
                    <w:rPr>
                      <w:rFonts w:hint="eastAsia"/>
                      <w:color w:val="auto"/>
                      <w:szCs w:val="21"/>
                      <w:lang w:eastAsia="zh-CN"/>
                    </w:rPr>
                    <w:t>大园村</w:t>
                  </w:r>
                </w:p>
              </w:tc>
              <w:tc>
                <w:tcPr>
                  <w:tcW w:w="722" w:type="dxa"/>
                  <w:vAlign w:val="center"/>
                </w:tcPr>
                <w:p>
                  <w:pPr>
                    <w:ind w:left="-105" w:leftChars="-50" w:right="-105" w:rightChars="-50"/>
                    <w:jc w:val="center"/>
                    <w:rPr>
                      <w:rFonts w:hint="eastAsia" w:eastAsia="宋体"/>
                      <w:color w:val="auto"/>
                      <w:szCs w:val="21"/>
                      <w:lang w:val="en-US" w:eastAsia="zh-CN"/>
                    </w:rPr>
                  </w:pPr>
                  <w:r>
                    <w:rPr>
                      <w:rFonts w:hint="eastAsia"/>
                      <w:color w:val="auto"/>
                      <w:szCs w:val="21"/>
                      <w:lang w:val="en-US" w:eastAsia="zh-CN"/>
                    </w:rPr>
                    <w:t>NE</w:t>
                  </w:r>
                </w:p>
              </w:tc>
              <w:tc>
                <w:tcPr>
                  <w:tcW w:w="1116" w:type="dxa"/>
                  <w:vAlign w:val="center"/>
                </w:tcPr>
                <w:p>
                  <w:pPr>
                    <w:jc w:val="center"/>
                    <w:rPr>
                      <w:rFonts w:hint="eastAsia" w:eastAsia="宋体"/>
                      <w:color w:val="auto"/>
                      <w:szCs w:val="21"/>
                      <w:lang w:val="en-US" w:eastAsia="zh-CN"/>
                    </w:rPr>
                  </w:pPr>
                  <w:r>
                    <w:rPr>
                      <w:rFonts w:hint="eastAsia"/>
                      <w:color w:val="auto"/>
                      <w:szCs w:val="21"/>
                      <w:lang w:val="en-US" w:eastAsia="zh-CN"/>
                    </w:rPr>
                    <w:t>280</w:t>
                  </w:r>
                </w:p>
              </w:tc>
              <w:tc>
                <w:tcPr>
                  <w:tcW w:w="1092" w:type="dxa"/>
                  <w:vAlign w:val="center"/>
                </w:tcPr>
                <w:p>
                  <w:pPr>
                    <w:jc w:val="center"/>
                    <w:rPr>
                      <w:rFonts w:hint="eastAsia" w:eastAsia="宋体"/>
                      <w:color w:val="auto"/>
                      <w:szCs w:val="21"/>
                      <w:lang w:eastAsia="zh-CN"/>
                    </w:rPr>
                  </w:pPr>
                  <w:r>
                    <w:rPr>
                      <w:rFonts w:hint="eastAsia"/>
                      <w:color w:val="auto"/>
                      <w:szCs w:val="21"/>
                      <w:lang w:eastAsia="zh-CN"/>
                    </w:rPr>
                    <w:t>住宅</w:t>
                  </w:r>
                </w:p>
              </w:tc>
              <w:tc>
                <w:tcPr>
                  <w:tcW w:w="1653" w:type="dxa"/>
                  <w:vAlign w:val="center"/>
                </w:tcPr>
                <w:p>
                  <w:pPr>
                    <w:jc w:val="center"/>
                    <w:rPr>
                      <w:rFonts w:hint="eastAsia" w:eastAsia="宋体"/>
                      <w:color w:val="auto"/>
                      <w:szCs w:val="21"/>
                      <w:lang w:val="en-US" w:eastAsia="zh-CN"/>
                    </w:rPr>
                  </w:pPr>
                  <w:r>
                    <w:rPr>
                      <w:rFonts w:hint="eastAsia"/>
                      <w:color w:val="auto"/>
                      <w:szCs w:val="21"/>
                      <w:lang w:val="en-US" w:eastAsia="zh-CN"/>
                    </w:rPr>
                    <w:t>20户，80人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rFonts w:hint="eastAsia"/>
                      <w:color w:val="auto"/>
                      <w:szCs w:val="21"/>
                      <w:lang w:eastAsia="zh-CN"/>
                    </w:rPr>
                  </w:pPr>
                  <w:r>
                    <w:rPr>
                      <w:rFonts w:hint="eastAsia"/>
                      <w:color w:val="auto"/>
                      <w:szCs w:val="21"/>
                      <w:lang w:eastAsia="zh-CN"/>
                    </w:rPr>
                    <w:t>新寨村</w:t>
                  </w:r>
                </w:p>
              </w:tc>
              <w:tc>
                <w:tcPr>
                  <w:tcW w:w="722" w:type="dxa"/>
                  <w:vAlign w:val="center"/>
                </w:tcPr>
                <w:p>
                  <w:pPr>
                    <w:ind w:left="-105" w:leftChars="-50" w:right="-105" w:rightChars="-50"/>
                    <w:jc w:val="center"/>
                    <w:rPr>
                      <w:rFonts w:hint="eastAsia"/>
                      <w:color w:val="auto"/>
                      <w:szCs w:val="21"/>
                      <w:lang w:val="en-US" w:eastAsia="zh-CN"/>
                    </w:rPr>
                  </w:pPr>
                  <w:r>
                    <w:rPr>
                      <w:rFonts w:hint="eastAsia"/>
                      <w:color w:val="auto"/>
                      <w:szCs w:val="21"/>
                      <w:lang w:val="en-US" w:eastAsia="zh-CN"/>
                    </w:rPr>
                    <w:t>E</w:t>
                  </w:r>
                </w:p>
              </w:tc>
              <w:tc>
                <w:tcPr>
                  <w:tcW w:w="1116" w:type="dxa"/>
                  <w:vAlign w:val="center"/>
                </w:tcPr>
                <w:p>
                  <w:pPr>
                    <w:jc w:val="center"/>
                    <w:rPr>
                      <w:rFonts w:hint="eastAsia"/>
                      <w:color w:val="auto"/>
                      <w:szCs w:val="21"/>
                      <w:lang w:val="en-US" w:eastAsia="zh-CN"/>
                    </w:rPr>
                  </w:pPr>
                  <w:r>
                    <w:rPr>
                      <w:rFonts w:hint="eastAsia"/>
                      <w:color w:val="auto"/>
                      <w:szCs w:val="21"/>
                      <w:lang w:val="en-US" w:eastAsia="zh-CN"/>
                    </w:rPr>
                    <w:t>294</w:t>
                  </w:r>
                </w:p>
              </w:tc>
              <w:tc>
                <w:tcPr>
                  <w:tcW w:w="1092" w:type="dxa"/>
                  <w:vAlign w:val="center"/>
                </w:tcPr>
                <w:p>
                  <w:pPr>
                    <w:jc w:val="center"/>
                    <w:rPr>
                      <w:rFonts w:hint="eastAsia"/>
                      <w:color w:val="auto"/>
                      <w:szCs w:val="21"/>
                      <w:lang w:eastAsia="zh-CN"/>
                    </w:rPr>
                  </w:pPr>
                  <w:r>
                    <w:rPr>
                      <w:rFonts w:hint="eastAsia"/>
                      <w:color w:val="auto"/>
                      <w:szCs w:val="21"/>
                      <w:lang w:eastAsia="zh-CN"/>
                    </w:rPr>
                    <w:t>住宅</w:t>
                  </w:r>
                </w:p>
              </w:tc>
              <w:tc>
                <w:tcPr>
                  <w:tcW w:w="1653" w:type="dxa"/>
                  <w:vAlign w:val="center"/>
                </w:tcPr>
                <w:p>
                  <w:pPr>
                    <w:jc w:val="center"/>
                    <w:rPr>
                      <w:rFonts w:hint="eastAsia" w:eastAsia="宋体"/>
                      <w:color w:val="auto"/>
                      <w:szCs w:val="21"/>
                      <w:lang w:val="en-US" w:eastAsia="zh-CN"/>
                    </w:rPr>
                  </w:pPr>
                  <w:r>
                    <w:rPr>
                      <w:rFonts w:hint="eastAsia"/>
                      <w:color w:val="auto"/>
                      <w:szCs w:val="21"/>
                      <w:lang w:val="en-US" w:eastAsia="zh-CN"/>
                    </w:rPr>
                    <w:t>35户，130人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rFonts w:hint="eastAsia" w:eastAsia="宋体"/>
                      <w:color w:val="auto"/>
                      <w:szCs w:val="21"/>
                      <w:lang w:eastAsia="zh-CN"/>
                    </w:rPr>
                  </w:pPr>
                  <w:r>
                    <w:rPr>
                      <w:rFonts w:hint="eastAsia"/>
                      <w:color w:val="auto"/>
                      <w:szCs w:val="21"/>
                      <w:lang w:eastAsia="zh-CN"/>
                    </w:rPr>
                    <w:t>顶寨村</w:t>
                  </w:r>
                </w:p>
              </w:tc>
              <w:tc>
                <w:tcPr>
                  <w:tcW w:w="722" w:type="dxa"/>
                  <w:vAlign w:val="center"/>
                </w:tcPr>
                <w:p>
                  <w:pPr>
                    <w:ind w:left="-105" w:leftChars="-50" w:right="-105" w:rightChars="-50"/>
                    <w:jc w:val="center"/>
                    <w:rPr>
                      <w:rFonts w:hint="eastAsia" w:eastAsia="宋体"/>
                      <w:color w:val="auto"/>
                      <w:szCs w:val="21"/>
                      <w:lang w:val="en-US" w:eastAsia="zh-CN"/>
                    </w:rPr>
                  </w:pPr>
                  <w:r>
                    <w:rPr>
                      <w:rFonts w:hint="eastAsia"/>
                      <w:color w:val="auto"/>
                      <w:szCs w:val="21"/>
                      <w:lang w:val="en-US" w:eastAsia="zh-CN"/>
                    </w:rPr>
                    <w:t>SE</w:t>
                  </w:r>
                </w:p>
              </w:tc>
              <w:tc>
                <w:tcPr>
                  <w:tcW w:w="1116" w:type="dxa"/>
                  <w:vAlign w:val="center"/>
                </w:tcPr>
                <w:p>
                  <w:pPr>
                    <w:jc w:val="center"/>
                    <w:rPr>
                      <w:rFonts w:hint="eastAsia" w:eastAsia="宋体"/>
                      <w:color w:val="auto"/>
                      <w:szCs w:val="21"/>
                      <w:lang w:val="en-US" w:eastAsia="zh-CN"/>
                    </w:rPr>
                  </w:pPr>
                  <w:r>
                    <w:rPr>
                      <w:rFonts w:hint="eastAsia"/>
                      <w:color w:val="auto"/>
                      <w:szCs w:val="21"/>
                      <w:lang w:val="en-US" w:eastAsia="zh-CN"/>
                    </w:rPr>
                    <w:t>423</w:t>
                  </w:r>
                </w:p>
              </w:tc>
              <w:tc>
                <w:tcPr>
                  <w:tcW w:w="1092" w:type="dxa"/>
                  <w:vAlign w:val="center"/>
                </w:tcPr>
                <w:p>
                  <w:pPr>
                    <w:jc w:val="center"/>
                    <w:rPr>
                      <w:rFonts w:hint="eastAsia" w:eastAsia="宋体"/>
                      <w:color w:val="auto"/>
                      <w:szCs w:val="21"/>
                      <w:lang w:eastAsia="zh-CN"/>
                    </w:rPr>
                  </w:pPr>
                  <w:r>
                    <w:rPr>
                      <w:rFonts w:hint="eastAsia"/>
                      <w:color w:val="auto"/>
                      <w:szCs w:val="21"/>
                      <w:lang w:eastAsia="zh-CN"/>
                    </w:rPr>
                    <w:t>住宅</w:t>
                  </w:r>
                </w:p>
              </w:tc>
              <w:tc>
                <w:tcPr>
                  <w:tcW w:w="1653" w:type="dxa"/>
                  <w:vAlign w:val="center"/>
                </w:tcPr>
                <w:p>
                  <w:pPr>
                    <w:jc w:val="center"/>
                    <w:rPr>
                      <w:rFonts w:hint="eastAsia" w:eastAsia="宋体"/>
                      <w:color w:val="auto"/>
                      <w:szCs w:val="21"/>
                      <w:lang w:val="en-US" w:eastAsia="zh-CN"/>
                    </w:rPr>
                  </w:pPr>
                  <w:r>
                    <w:rPr>
                      <w:rFonts w:hint="eastAsia"/>
                      <w:color w:val="auto"/>
                      <w:szCs w:val="21"/>
                      <w:lang w:val="en-US" w:eastAsia="zh-CN"/>
                    </w:rPr>
                    <w:t>30户，120人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restart"/>
                  <w:vAlign w:val="center"/>
                </w:tcPr>
                <w:p>
                  <w:pPr>
                    <w:jc w:val="center"/>
                    <w:rPr>
                      <w:color w:val="auto"/>
                      <w:szCs w:val="21"/>
                    </w:rPr>
                  </w:pPr>
                  <w:r>
                    <w:rPr>
                      <w:color w:val="auto"/>
                      <w:szCs w:val="21"/>
                    </w:rPr>
                    <w:t>声环境</w:t>
                  </w:r>
                </w:p>
              </w:tc>
              <w:tc>
                <w:tcPr>
                  <w:tcW w:w="1587" w:type="dxa"/>
                  <w:vAlign w:val="center"/>
                </w:tcPr>
                <w:p>
                  <w:pPr>
                    <w:ind w:left="-105" w:leftChars="-50" w:right="-105" w:rightChars="-50"/>
                    <w:jc w:val="center"/>
                    <w:rPr>
                      <w:color w:val="auto"/>
                      <w:szCs w:val="21"/>
                    </w:rPr>
                  </w:pPr>
                  <w:r>
                    <w:rPr>
                      <w:rFonts w:hint="eastAsia"/>
                      <w:color w:val="auto"/>
                      <w:szCs w:val="21"/>
                      <w:lang w:eastAsia="zh-CN"/>
                    </w:rPr>
                    <w:t>新光村</w:t>
                  </w:r>
                </w:p>
              </w:tc>
              <w:tc>
                <w:tcPr>
                  <w:tcW w:w="722" w:type="dxa"/>
                  <w:vAlign w:val="center"/>
                </w:tcPr>
                <w:p>
                  <w:pPr>
                    <w:jc w:val="center"/>
                    <w:rPr>
                      <w:color w:val="auto"/>
                      <w:szCs w:val="21"/>
                    </w:rPr>
                  </w:pPr>
                  <w:r>
                    <w:rPr>
                      <w:rFonts w:hint="eastAsia"/>
                      <w:color w:val="auto"/>
                      <w:szCs w:val="21"/>
                      <w:lang w:val="en-US" w:eastAsia="zh-CN"/>
                    </w:rPr>
                    <w:t>E\W\N</w:t>
                  </w:r>
                </w:p>
              </w:tc>
              <w:tc>
                <w:tcPr>
                  <w:tcW w:w="1116" w:type="dxa"/>
                  <w:vAlign w:val="center"/>
                </w:tcPr>
                <w:p>
                  <w:pPr>
                    <w:jc w:val="center"/>
                    <w:rPr>
                      <w:color w:val="auto"/>
                      <w:szCs w:val="21"/>
                    </w:rPr>
                  </w:pPr>
                  <w:r>
                    <w:rPr>
                      <w:rFonts w:hint="eastAsia"/>
                      <w:color w:val="auto"/>
                      <w:szCs w:val="21"/>
                      <w:lang w:val="en-US" w:eastAsia="zh-CN"/>
                    </w:rPr>
                    <w:t>10</w:t>
                  </w:r>
                </w:p>
              </w:tc>
              <w:tc>
                <w:tcPr>
                  <w:tcW w:w="1092" w:type="dxa"/>
                  <w:vAlign w:val="center"/>
                </w:tcPr>
                <w:p>
                  <w:pPr>
                    <w:jc w:val="center"/>
                    <w:rPr>
                      <w:color w:val="auto"/>
                      <w:szCs w:val="21"/>
                    </w:rPr>
                  </w:pPr>
                  <w:r>
                    <w:rPr>
                      <w:rFonts w:hint="eastAsia"/>
                      <w:color w:val="auto"/>
                      <w:szCs w:val="21"/>
                      <w:lang w:eastAsia="zh-CN"/>
                    </w:rPr>
                    <w:t>住宅</w:t>
                  </w:r>
                </w:p>
              </w:tc>
              <w:tc>
                <w:tcPr>
                  <w:tcW w:w="1653" w:type="dxa"/>
                  <w:vAlign w:val="center"/>
                </w:tcPr>
                <w:p>
                  <w:pPr>
                    <w:jc w:val="center"/>
                    <w:rPr>
                      <w:color w:val="auto"/>
                      <w:szCs w:val="21"/>
                    </w:rPr>
                  </w:pPr>
                  <w:r>
                    <w:rPr>
                      <w:rFonts w:hint="eastAsia"/>
                      <w:color w:val="auto"/>
                      <w:szCs w:val="21"/>
                      <w:lang w:val="en-US" w:eastAsia="zh-CN"/>
                    </w:rPr>
                    <w:t>500户，1975人</w:t>
                  </w:r>
                </w:p>
              </w:tc>
              <w:tc>
                <w:tcPr>
                  <w:tcW w:w="1609" w:type="dxa"/>
                  <w:vMerge w:val="restart"/>
                  <w:vAlign w:val="center"/>
                </w:tcPr>
                <w:p>
                  <w:pPr>
                    <w:jc w:val="center"/>
                    <w:rPr>
                      <w:color w:val="auto"/>
                      <w:szCs w:val="21"/>
                    </w:rPr>
                  </w:pPr>
                  <w:r>
                    <w:rPr>
                      <w:color w:val="auto"/>
                      <w:szCs w:val="21"/>
                    </w:rPr>
                    <w:t>（GB3096-2008）中的2类标准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ind w:left="-105" w:leftChars="-50" w:right="-105" w:rightChars="-50"/>
                    <w:jc w:val="center"/>
                    <w:rPr>
                      <w:rFonts w:hint="eastAsia"/>
                      <w:color w:val="auto"/>
                      <w:szCs w:val="21"/>
                      <w:lang w:eastAsia="zh-CN"/>
                    </w:rPr>
                  </w:pPr>
                  <w:r>
                    <w:rPr>
                      <w:rFonts w:hint="eastAsia"/>
                      <w:color w:val="auto"/>
                      <w:szCs w:val="21"/>
                      <w:lang w:eastAsia="zh-CN"/>
                    </w:rPr>
                    <w:t>引榕南村</w:t>
                  </w:r>
                </w:p>
              </w:tc>
              <w:tc>
                <w:tcPr>
                  <w:tcW w:w="722" w:type="dxa"/>
                  <w:vAlign w:val="center"/>
                </w:tcPr>
                <w:p>
                  <w:pPr>
                    <w:jc w:val="center"/>
                    <w:rPr>
                      <w:rFonts w:hint="eastAsia"/>
                      <w:color w:val="auto"/>
                      <w:szCs w:val="21"/>
                      <w:lang w:val="en-US" w:eastAsia="zh-CN"/>
                    </w:rPr>
                  </w:pPr>
                  <w:r>
                    <w:rPr>
                      <w:rFonts w:hint="eastAsia"/>
                      <w:color w:val="auto"/>
                      <w:szCs w:val="21"/>
                      <w:lang w:val="en-US" w:eastAsia="zh-CN"/>
                    </w:rPr>
                    <w:t>S</w:t>
                  </w:r>
                </w:p>
              </w:tc>
              <w:tc>
                <w:tcPr>
                  <w:tcW w:w="1116" w:type="dxa"/>
                  <w:vAlign w:val="center"/>
                </w:tcPr>
                <w:p>
                  <w:pPr>
                    <w:jc w:val="center"/>
                    <w:rPr>
                      <w:rFonts w:hint="eastAsia"/>
                      <w:color w:val="auto"/>
                      <w:szCs w:val="21"/>
                      <w:lang w:val="en-US" w:eastAsia="zh-CN"/>
                    </w:rPr>
                  </w:pPr>
                  <w:r>
                    <w:rPr>
                      <w:rFonts w:hint="eastAsia"/>
                      <w:color w:val="auto"/>
                      <w:szCs w:val="21"/>
                      <w:lang w:val="en-US" w:eastAsia="zh-CN"/>
                    </w:rPr>
                    <w:t>60</w:t>
                  </w:r>
                </w:p>
              </w:tc>
              <w:tc>
                <w:tcPr>
                  <w:tcW w:w="1092" w:type="dxa"/>
                  <w:vAlign w:val="center"/>
                </w:tcPr>
                <w:p>
                  <w:pPr>
                    <w:jc w:val="center"/>
                    <w:rPr>
                      <w:rFonts w:hint="eastAsia"/>
                      <w:color w:val="auto"/>
                      <w:szCs w:val="21"/>
                      <w:lang w:eastAsia="zh-CN"/>
                    </w:rPr>
                  </w:pPr>
                  <w:r>
                    <w:rPr>
                      <w:rFonts w:hint="eastAsia"/>
                      <w:color w:val="auto"/>
                      <w:szCs w:val="21"/>
                      <w:lang w:eastAsia="zh-CN"/>
                    </w:rPr>
                    <w:t>住宅</w:t>
                  </w:r>
                </w:p>
              </w:tc>
              <w:tc>
                <w:tcPr>
                  <w:tcW w:w="1653" w:type="dxa"/>
                  <w:vAlign w:val="center"/>
                </w:tcPr>
                <w:p>
                  <w:pPr>
                    <w:jc w:val="center"/>
                    <w:rPr>
                      <w:rFonts w:hint="eastAsia"/>
                      <w:color w:val="auto"/>
                      <w:szCs w:val="21"/>
                      <w:lang w:val="en-US" w:eastAsia="zh-CN"/>
                    </w:rPr>
                  </w:pPr>
                  <w:r>
                    <w:rPr>
                      <w:rFonts w:hint="eastAsia"/>
                      <w:color w:val="auto"/>
                      <w:szCs w:val="21"/>
                      <w:lang w:val="en-US" w:eastAsia="zh-CN"/>
                    </w:rPr>
                    <w:t>15户，65人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ind w:left="-105" w:leftChars="-50" w:right="-105" w:rightChars="-50"/>
                    <w:jc w:val="center"/>
                    <w:rPr>
                      <w:rFonts w:hint="eastAsia"/>
                      <w:color w:val="auto"/>
                      <w:szCs w:val="21"/>
                      <w:lang w:eastAsia="zh-CN"/>
                    </w:rPr>
                  </w:pPr>
                  <w:r>
                    <w:rPr>
                      <w:rFonts w:hint="eastAsia"/>
                      <w:color w:val="auto"/>
                      <w:szCs w:val="21"/>
                      <w:lang w:eastAsia="zh-CN"/>
                    </w:rPr>
                    <w:t>梅塘镇人民政府</w:t>
                  </w:r>
                </w:p>
              </w:tc>
              <w:tc>
                <w:tcPr>
                  <w:tcW w:w="722" w:type="dxa"/>
                  <w:vAlign w:val="center"/>
                </w:tcPr>
                <w:p>
                  <w:pPr>
                    <w:jc w:val="center"/>
                    <w:rPr>
                      <w:rFonts w:hint="eastAsia"/>
                      <w:color w:val="auto"/>
                      <w:szCs w:val="21"/>
                      <w:lang w:val="en-US" w:eastAsia="zh-CN"/>
                    </w:rPr>
                  </w:pPr>
                  <w:r>
                    <w:rPr>
                      <w:rFonts w:hint="eastAsia"/>
                      <w:color w:val="auto"/>
                      <w:szCs w:val="21"/>
                      <w:lang w:val="en-US" w:eastAsia="zh-CN"/>
                    </w:rPr>
                    <w:t>SE</w:t>
                  </w:r>
                </w:p>
              </w:tc>
              <w:tc>
                <w:tcPr>
                  <w:tcW w:w="1116" w:type="dxa"/>
                  <w:vAlign w:val="center"/>
                </w:tcPr>
                <w:p>
                  <w:pPr>
                    <w:jc w:val="center"/>
                    <w:rPr>
                      <w:rFonts w:hint="eastAsia"/>
                      <w:color w:val="auto"/>
                      <w:szCs w:val="21"/>
                      <w:lang w:val="en-US" w:eastAsia="zh-CN"/>
                    </w:rPr>
                  </w:pPr>
                  <w:r>
                    <w:rPr>
                      <w:rFonts w:hint="eastAsia"/>
                      <w:color w:val="auto"/>
                      <w:szCs w:val="21"/>
                      <w:lang w:val="en-US" w:eastAsia="zh-CN"/>
                    </w:rPr>
                    <w:t>160</w:t>
                  </w:r>
                </w:p>
              </w:tc>
              <w:tc>
                <w:tcPr>
                  <w:tcW w:w="1092" w:type="dxa"/>
                  <w:vAlign w:val="center"/>
                </w:tcPr>
                <w:p>
                  <w:pPr>
                    <w:jc w:val="center"/>
                    <w:rPr>
                      <w:rFonts w:hint="eastAsia"/>
                      <w:color w:val="auto"/>
                      <w:szCs w:val="21"/>
                      <w:lang w:eastAsia="zh-CN"/>
                    </w:rPr>
                  </w:pPr>
                  <w:r>
                    <w:rPr>
                      <w:rFonts w:hint="eastAsia"/>
                      <w:color w:val="auto"/>
                      <w:szCs w:val="21"/>
                      <w:lang w:eastAsia="zh-CN"/>
                    </w:rPr>
                    <w:t>行政办公</w:t>
                  </w:r>
                </w:p>
              </w:tc>
              <w:tc>
                <w:tcPr>
                  <w:tcW w:w="1653" w:type="dxa"/>
                  <w:vAlign w:val="center"/>
                </w:tcPr>
                <w:p>
                  <w:pPr>
                    <w:jc w:val="center"/>
                    <w:rPr>
                      <w:rFonts w:hint="eastAsia"/>
                      <w:color w:val="auto"/>
                      <w:szCs w:val="21"/>
                      <w:lang w:val="en-US" w:eastAsia="zh-CN"/>
                    </w:rPr>
                  </w:pPr>
                  <w:r>
                    <w:rPr>
                      <w:rFonts w:hint="eastAsia"/>
                      <w:color w:val="auto"/>
                      <w:szCs w:val="21"/>
                      <w:lang w:val="en-US" w:eastAsia="zh-CN"/>
                    </w:rPr>
                    <w:t>89人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color w:val="auto"/>
                      <w:szCs w:val="21"/>
                    </w:rPr>
                  </w:pPr>
                  <w:r>
                    <w:rPr>
                      <w:rFonts w:hint="eastAsia"/>
                      <w:color w:val="auto"/>
                      <w:szCs w:val="21"/>
                      <w:lang w:eastAsia="zh-CN"/>
                    </w:rPr>
                    <w:t>仁美村</w:t>
                  </w:r>
                </w:p>
              </w:tc>
              <w:tc>
                <w:tcPr>
                  <w:tcW w:w="722" w:type="dxa"/>
                  <w:vAlign w:val="center"/>
                </w:tcPr>
                <w:p>
                  <w:pPr>
                    <w:ind w:left="-105" w:leftChars="-50" w:right="-105" w:rightChars="-50"/>
                    <w:jc w:val="center"/>
                    <w:rPr>
                      <w:color w:val="auto"/>
                      <w:szCs w:val="21"/>
                    </w:rPr>
                  </w:pPr>
                  <w:r>
                    <w:rPr>
                      <w:rFonts w:hint="eastAsia"/>
                      <w:color w:val="auto"/>
                      <w:szCs w:val="21"/>
                      <w:lang w:val="en-US" w:eastAsia="zh-CN"/>
                    </w:rPr>
                    <w:t>SW</w:t>
                  </w:r>
                </w:p>
              </w:tc>
              <w:tc>
                <w:tcPr>
                  <w:tcW w:w="1116" w:type="dxa"/>
                  <w:vAlign w:val="center"/>
                </w:tcPr>
                <w:p>
                  <w:pPr>
                    <w:jc w:val="center"/>
                    <w:rPr>
                      <w:color w:val="auto"/>
                      <w:szCs w:val="21"/>
                    </w:rPr>
                  </w:pPr>
                  <w:r>
                    <w:rPr>
                      <w:rFonts w:hint="eastAsia"/>
                      <w:color w:val="auto"/>
                      <w:szCs w:val="21"/>
                      <w:lang w:val="en-US" w:eastAsia="zh-CN"/>
                    </w:rPr>
                    <w:t>220</w:t>
                  </w:r>
                </w:p>
              </w:tc>
              <w:tc>
                <w:tcPr>
                  <w:tcW w:w="1092" w:type="dxa"/>
                  <w:vAlign w:val="center"/>
                </w:tcPr>
                <w:p>
                  <w:pPr>
                    <w:jc w:val="center"/>
                    <w:rPr>
                      <w:color w:val="auto"/>
                      <w:szCs w:val="21"/>
                    </w:rPr>
                  </w:pPr>
                  <w:r>
                    <w:rPr>
                      <w:rFonts w:hint="eastAsia"/>
                      <w:color w:val="auto"/>
                      <w:szCs w:val="21"/>
                      <w:lang w:eastAsia="zh-CN"/>
                    </w:rPr>
                    <w:t>住宅</w:t>
                  </w:r>
                </w:p>
              </w:tc>
              <w:tc>
                <w:tcPr>
                  <w:tcW w:w="1653" w:type="dxa"/>
                  <w:vAlign w:val="center"/>
                </w:tcPr>
                <w:p>
                  <w:pPr>
                    <w:jc w:val="center"/>
                    <w:rPr>
                      <w:color w:val="auto"/>
                      <w:szCs w:val="21"/>
                    </w:rPr>
                  </w:pPr>
                  <w:r>
                    <w:rPr>
                      <w:rFonts w:hint="eastAsia"/>
                      <w:color w:val="auto"/>
                      <w:szCs w:val="21"/>
                      <w:lang w:val="en-US" w:eastAsia="zh-CN"/>
                    </w:rPr>
                    <w:t>20户，70人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color w:val="auto"/>
                      <w:szCs w:val="21"/>
                    </w:rPr>
                  </w:pPr>
                  <w:r>
                    <w:rPr>
                      <w:rFonts w:hint="eastAsia"/>
                      <w:color w:val="auto"/>
                      <w:szCs w:val="21"/>
                      <w:lang w:eastAsia="zh-CN"/>
                    </w:rPr>
                    <w:t>大园村</w:t>
                  </w:r>
                </w:p>
              </w:tc>
              <w:tc>
                <w:tcPr>
                  <w:tcW w:w="722" w:type="dxa"/>
                  <w:vAlign w:val="center"/>
                </w:tcPr>
                <w:p>
                  <w:pPr>
                    <w:ind w:left="-105" w:leftChars="-50" w:right="-105" w:rightChars="-50"/>
                    <w:jc w:val="center"/>
                    <w:rPr>
                      <w:color w:val="auto"/>
                      <w:szCs w:val="21"/>
                    </w:rPr>
                  </w:pPr>
                  <w:r>
                    <w:rPr>
                      <w:rFonts w:hint="eastAsia"/>
                      <w:color w:val="auto"/>
                      <w:szCs w:val="21"/>
                      <w:lang w:val="en-US" w:eastAsia="zh-CN"/>
                    </w:rPr>
                    <w:t>NE</w:t>
                  </w:r>
                </w:p>
              </w:tc>
              <w:tc>
                <w:tcPr>
                  <w:tcW w:w="1116" w:type="dxa"/>
                  <w:vAlign w:val="center"/>
                </w:tcPr>
                <w:p>
                  <w:pPr>
                    <w:jc w:val="center"/>
                    <w:rPr>
                      <w:color w:val="auto"/>
                      <w:szCs w:val="21"/>
                    </w:rPr>
                  </w:pPr>
                  <w:r>
                    <w:rPr>
                      <w:rFonts w:hint="eastAsia"/>
                      <w:color w:val="auto"/>
                      <w:szCs w:val="21"/>
                      <w:lang w:val="en-US" w:eastAsia="zh-CN"/>
                    </w:rPr>
                    <w:t>280</w:t>
                  </w:r>
                </w:p>
              </w:tc>
              <w:tc>
                <w:tcPr>
                  <w:tcW w:w="1092" w:type="dxa"/>
                  <w:vAlign w:val="center"/>
                </w:tcPr>
                <w:p>
                  <w:pPr>
                    <w:jc w:val="center"/>
                    <w:rPr>
                      <w:color w:val="auto"/>
                      <w:szCs w:val="21"/>
                    </w:rPr>
                  </w:pPr>
                  <w:r>
                    <w:rPr>
                      <w:rFonts w:hint="eastAsia"/>
                      <w:color w:val="auto"/>
                      <w:szCs w:val="21"/>
                      <w:lang w:eastAsia="zh-CN"/>
                    </w:rPr>
                    <w:t>住宅</w:t>
                  </w:r>
                </w:p>
              </w:tc>
              <w:tc>
                <w:tcPr>
                  <w:tcW w:w="1653" w:type="dxa"/>
                  <w:vAlign w:val="center"/>
                </w:tcPr>
                <w:p>
                  <w:pPr>
                    <w:jc w:val="center"/>
                    <w:rPr>
                      <w:color w:val="auto"/>
                      <w:szCs w:val="21"/>
                    </w:rPr>
                  </w:pPr>
                  <w:r>
                    <w:rPr>
                      <w:rFonts w:hint="eastAsia"/>
                      <w:color w:val="auto"/>
                      <w:szCs w:val="21"/>
                      <w:lang w:val="en-US" w:eastAsia="zh-CN"/>
                    </w:rPr>
                    <w:t>20户，80人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color w:val="auto"/>
                      <w:szCs w:val="21"/>
                    </w:rPr>
                  </w:pPr>
                  <w:r>
                    <w:rPr>
                      <w:rFonts w:hint="eastAsia"/>
                      <w:color w:val="auto"/>
                      <w:szCs w:val="21"/>
                      <w:lang w:eastAsia="zh-CN"/>
                    </w:rPr>
                    <w:t>新寨村</w:t>
                  </w:r>
                </w:p>
              </w:tc>
              <w:tc>
                <w:tcPr>
                  <w:tcW w:w="722" w:type="dxa"/>
                  <w:vAlign w:val="center"/>
                </w:tcPr>
                <w:p>
                  <w:pPr>
                    <w:ind w:left="-105" w:leftChars="-50" w:right="-105" w:rightChars="-50"/>
                    <w:jc w:val="center"/>
                    <w:rPr>
                      <w:color w:val="auto"/>
                      <w:szCs w:val="21"/>
                    </w:rPr>
                  </w:pPr>
                  <w:r>
                    <w:rPr>
                      <w:rFonts w:hint="eastAsia"/>
                      <w:color w:val="auto"/>
                      <w:szCs w:val="21"/>
                      <w:lang w:val="en-US" w:eastAsia="zh-CN"/>
                    </w:rPr>
                    <w:t>E</w:t>
                  </w:r>
                </w:p>
              </w:tc>
              <w:tc>
                <w:tcPr>
                  <w:tcW w:w="1116" w:type="dxa"/>
                  <w:vAlign w:val="center"/>
                </w:tcPr>
                <w:p>
                  <w:pPr>
                    <w:jc w:val="center"/>
                    <w:rPr>
                      <w:color w:val="auto"/>
                      <w:szCs w:val="21"/>
                    </w:rPr>
                  </w:pPr>
                  <w:r>
                    <w:rPr>
                      <w:rFonts w:hint="eastAsia"/>
                      <w:color w:val="auto"/>
                      <w:szCs w:val="21"/>
                      <w:lang w:val="en-US" w:eastAsia="zh-CN"/>
                    </w:rPr>
                    <w:t>294</w:t>
                  </w:r>
                </w:p>
              </w:tc>
              <w:tc>
                <w:tcPr>
                  <w:tcW w:w="1092" w:type="dxa"/>
                  <w:vAlign w:val="center"/>
                </w:tcPr>
                <w:p>
                  <w:pPr>
                    <w:jc w:val="center"/>
                    <w:rPr>
                      <w:color w:val="auto"/>
                      <w:szCs w:val="21"/>
                    </w:rPr>
                  </w:pPr>
                  <w:r>
                    <w:rPr>
                      <w:rFonts w:hint="eastAsia"/>
                      <w:color w:val="auto"/>
                      <w:szCs w:val="21"/>
                      <w:lang w:eastAsia="zh-CN"/>
                    </w:rPr>
                    <w:t>住宅</w:t>
                  </w:r>
                </w:p>
              </w:tc>
              <w:tc>
                <w:tcPr>
                  <w:tcW w:w="1653" w:type="dxa"/>
                  <w:vAlign w:val="center"/>
                </w:tcPr>
                <w:p>
                  <w:pPr>
                    <w:jc w:val="center"/>
                    <w:rPr>
                      <w:color w:val="auto"/>
                      <w:szCs w:val="21"/>
                    </w:rPr>
                  </w:pPr>
                  <w:r>
                    <w:rPr>
                      <w:rFonts w:hint="eastAsia"/>
                      <w:color w:val="auto"/>
                      <w:szCs w:val="21"/>
                      <w:lang w:val="en-US" w:eastAsia="zh-CN"/>
                    </w:rPr>
                    <w:t>35户，130人</w:t>
                  </w:r>
                </w:p>
              </w:tc>
              <w:tc>
                <w:tcPr>
                  <w:tcW w:w="1609" w:type="dxa"/>
                  <w:vMerge w:val="continue"/>
                  <w:vAlign w:val="center"/>
                </w:tcPr>
                <w:p>
                  <w:pPr>
                    <w:jc w:val="center"/>
                    <w:rPr>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auto"/>
                      <w:szCs w:val="21"/>
                    </w:rPr>
                  </w:pPr>
                </w:p>
              </w:tc>
              <w:tc>
                <w:tcPr>
                  <w:tcW w:w="1587" w:type="dxa"/>
                  <w:vAlign w:val="center"/>
                </w:tcPr>
                <w:p>
                  <w:pPr>
                    <w:jc w:val="center"/>
                    <w:rPr>
                      <w:color w:val="auto"/>
                      <w:szCs w:val="21"/>
                    </w:rPr>
                  </w:pPr>
                  <w:r>
                    <w:rPr>
                      <w:rFonts w:hint="eastAsia"/>
                      <w:color w:val="auto"/>
                      <w:szCs w:val="21"/>
                      <w:lang w:eastAsia="zh-CN"/>
                    </w:rPr>
                    <w:t>顶寨村</w:t>
                  </w:r>
                </w:p>
              </w:tc>
              <w:tc>
                <w:tcPr>
                  <w:tcW w:w="722" w:type="dxa"/>
                  <w:vAlign w:val="center"/>
                </w:tcPr>
                <w:p>
                  <w:pPr>
                    <w:ind w:left="-105" w:leftChars="-50" w:right="-105" w:rightChars="-50"/>
                    <w:jc w:val="center"/>
                    <w:rPr>
                      <w:color w:val="auto"/>
                      <w:szCs w:val="21"/>
                    </w:rPr>
                  </w:pPr>
                  <w:r>
                    <w:rPr>
                      <w:rFonts w:hint="eastAsia"/>
                      <w:color w:val="auto"/>
                      <w:szCs w:val="21"/>
                      <w:lang w:val="en-US" w:eastAsia="zh-CN"/>
                    </w:rPr>
                    <w:t>SE</w:t>
                  </w:r>
                </w:p>
              </w:tc>
              <w:tc>
                <w:tcPr>
                  <w:tcW w:w="1116" w:type="dxa"/>
                  <w:vAlign w:val="center"/>
                </w:tcPr>
                <w:p>
                  <w:pPr>
                    <w:jc w:val="center"/>
                    <w:rPr>
                      <w:color w:val="auto"/>
                      <w:szCs w:val="21"/>
                    </w:rPr>
                  </w:pPr>
                  <w:r>
                    <w:rPr>
                      <w:rFonts w:hint="eastAsia"/>
                      <w:color w:val="auto"/>
                      <w:szCs w:val="21"/>
                      <w:lang w:val="en-US" w:eastAsia="zh-CN"/>
                    </w:rPr>
                    <w:t>423</w:t>
                  </w:r>
                </w:p>
              </w:tc>
              <w:tc>
                <w:tcPr>
                  <w:tcW w:w="1092" w:type="dxa"/>
                  <w:vAlign w:val="center"/>
                </w:tcPr>
                <w:p>
                  <w:pPr>
                    <w:jc w:val="center"/>
                    <w:rPr>
                      <w:color w:val="auto"/>
                      <w:szCs w:val="21"/>
                    </w:rPr>
                  </w:pPr>
                  <w:r>
                    <w:rPr>
                      <w:rFonts w:hint="eastAsia"/>
                      <w:color w:val="auto"/>
                      <w:szCs w:val="21"/>
                      <w:lang w:eastAsia="zh-CN"/>
                    </w:rPr>
                    <w:t>住宅</w:t>
                  </w:r>
                </w:p>
              </w:tc>
              <w:tc>
                <w:tcPr>
                  <w:tcW w:w="1653" w:type="dxa"/>
                  <w:vAlign w:val="center"/>
                </w:tcPr>
                <w:p>
                  <w:pPr>
                    <w:jc w:val="center"/>
                    <w:rPr>
                      <w:color w:val="auto"/>
                      <w:szCs w:val="21"/>
                    </w:rPr>
                  </w:pPr>
                  <w:r>
                    <w:rPr>
                      <w:rFonts w:hint="eastAsia"/>
                      <w:color w:val="auto"/>
                      <w:szCs w:val="21"/>
                      <w:lang w:val="en-US" w:eastAsia="zh-CN"/>
                    </w:rPr>
                    <w:t>30户，120人</w:t>
                  </w:r>
                </w:p>
              </w:tc>
              <w:tc>
                <w:tcPr>
                  <w:tcW w:w="1609" w:type="dxa"/>
                  <w:vMerge w:val="continue"/>
                  <w:vAlign w:val="center"/>
                </w:tcPr>
                <w:p>
                  <w:pPr>
                    <w:jc w:val="center"/>
                    <w:rPr>
                      <w:color w:val="auto"/>
                      <w:szCs w:val="21"/>
                    </w:rPr>
                  </w:pPr>
                </w:p>
              </w:tc>
            </w:tr>
          </w:tbl>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p>
            <w:pPr>
              <w:adjustRightInd w:val="0"/>
              <w:snapToGrid w:val="0"/>
              <w:spacing w:line="360" w:lineRule="auto"/>
              <w:rPr>
                <w:b/>
                <w:bCs/>
                <w:color w:val="auto"/>
                <w:sz w:val="28"/>
              </w:rPr>
            </w:pPr>
          </w:p>
        </w:tc>
      </w:tr>
    </w:tbl>
    <w:p>
      <w:pPr>
        <w:pStyle w:val="3"/>
        <w:jc w:val="left"/>
        <w:rPr>
          <w:b/>
          <w:bCs/>
          <w:color w:val="auto"/>
          <w:szCs w:val="28"/>
        </w:rPr>
        <w:sectPr>
          <w:footerReference r:id="rId6" w:type="default"/>
          <w:pgSz w:w="11907" w:h="16840"/>
          <w:pgMar w:top="1304" w:right="1134" w:bottom="1134" w:left="1304" w:header="964" w:footer="964" w:gutter="0"/>
          <w:pgBorders>
            <w:top w:val="none" w:sz="0" w:space="0"/>
            <w:left w:val="none" w:sz="0" w:space="0"/>
            <w:bottom w:val="none" w:sz="0" w:space="0"/>
            <w:right w:val="none" w:sz="0" w:space="0"/>
          </w:pgBorders>
          <w:cols w:space="720" w:num="1"/>
          <w:docGrid w:type="lines" w:linePitch="334" w:charSpace="6716"/>
        </w:sectPr>
      </w:pPr>
    </w:p>
    <w:p>
      <w:pPr>
        <w:pStyle w:val="3"/>
        <w:jc w:val="left"/>
        <w:rPr>
          <w:b/>
          <w:bCs/>
          <w:color w:val="auto"/>
          <w:szCs w:val="28"/>
        </w:rPr>
      </w:pPr>
      <w:r>
        <w:rPr>
          <w:b/>
          <w:bCs/>
          <w:color w:val="auto"/>
          <w:szCs w:val="28"/>
        </w:rPr>
        <w:t>评价适用标准</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3"/>
        <w:gridCol w:w="88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3216" w:hRule="atLeast"/>
        </w:trPr>
        <w:tc>
          <w:tcPr>
            <w:tcW w:w="753" w:type="dxa"/>
            <w:vAlign w:val="center"/>
          </w:tcPr>
          <w:p>
            <w:pPr>
              <w:pStyle w:val="65"/>
              <w:topLinePunct w:val="0"/>
              <w:autoSpaceDE/>
              <w:autoSpaceDN/>
              <w:adjustRightInd/>
              <w:spacing w:before="120"/>
              <w:textAlignment w:val="auto"/>
              <w:rPr>
                <w:rFonts w:ascii="Times New Roman" w:hAnsi="Times New Roman"/>
                <w:color w:val="auto"/>
                <w:kern w:val="2"/>
              </w:rPr>
            </w:pPr>
            <w:r>
              <w:rPr>
                <w:rFonts w:ascii="Times New Roman" w:hAnsi="Times New Roman"/>
                <w:color w:val="auto"/>
                <w:kern w:val="2"/>
              </w:rPr>
              <w:t>环境质量标准</w:t>
            </w:r>
          </w:p>
        </w:tc>
        <w:tc>
          <w:tcPr>
            <w:tcW w:w="8818" w:type="dxa"/>
            <w:vAlign w:val="center"/>
          </w:tcPr>
          <w:p>
            <w:pPr>
              <w:pStyle w:val="46"/>
              <w:adjustRightInd w:val="0"/>
              <w:snapToGrid/>
              <w:ind w:firstLine="480" w:firstLineChars="200"/>
              <w:rPr>
                <w:rFonts w:ascii="Times New Roman"/>
                <w:color w:val="auto"/>
                <w:szCs w:val="21"/>
              </w:rPr>
            </w:pPr>
            <w:r>
              <w:rPr>
                <w:rFonts w:ascii="Times New Roman"/>
                <w:color w:val="auto"/>
                <w:szCs w:val="21"/>
              </w:rPr>
              <w:t>1、项目附近水体为</w:t>
            </w:r>
            <w:r>
              <w:rPr>
                <w:rFonts w:hint="eastAsia" w:ascii="Times New Roman"/>
                <w:color w:val="auto"/>
                <w:szCs w:val="21"/>
                <w:lang w:eastAsia="zh-CN"/>
              </w:rPr>
              <w:t>引榕总干渠</w:t>
            </w:r>
            <w:r>
              <w:rPr>
                <w:rFonts w:ascii="Times New Roman"/>
                <w:color w:val="auto"/>
                <w:szCs w:val="21"/>
              </w:rPr>
              <w:t>，</w:t>
            </w:r>
            <w:r>
              <w:rPr>
                <w:rFonts w:hint="eastAsia" w:ascii="Times New Roman"/>
                <w:color w:val="auto"/>
                <w:szCs w:val="21"/>
                <w:lang w:eastAsia="zh-CN"/>
              </w:rPr>
              <w:t>为未分类河段</w:t>
            </w:r>
            <w:r>
              <w:rPr>
                <w:rFonts w:ascii="Times New Roman"/>
                <w:color w:val="auto"/>
                <w:szCs w:val="21"/>
              </w:rPr>
              <w:t>，</w:t>
            </w:r>
            <w:r>
              <w:rPr>
                <w:rFonts w:hint="eastAsia" w:ascii="Times New Roman"/>
                <w:color w:val="auto"/>
                <w:szCs w:val="21"/>
                <w:lang w:eastAsia="zh-CN"/>
              </w:rPr>
              <w:t>建议</w:t>
            </w:r>
            <w:r>
              <w:rPr>
                <w:rFonts w:ascii="Times New Roman"/>
                <w:color w:val="auto"/>
                <w:szCs w:val="21"/>
              </w:rPr>
              <w:t>执行《地表水环境质量标准》（GB3838-2002）中的</w:t>
            </w:r>
            <w:r>
              <w:rPr>
                <w:rFonts w:hint="eastAsia" w:ascii="Times New Roman"/>
                <w:color w:val="auto"/>
                <w:szCs w:val="21"/>
              </w:rPr>
              <w:fldChar w:fldCharType="begin"/>
            </w:r>
            <w:r>
              <w:rPr>
                <w:rFonts w:hint="eastAsia" w:ascii="Times New Roman"/>
                <w:color w:val="auto"/>
                <w:szCs w:val="21"/>
              </w:rPr>
              <w:instrText xml:space="preserve"> = 3 \* ROMAN </w:instrText>
            </w:r>
            <w:r>
              <w:rPr>
                <w:rFonts w:hint="eastAsia" w:ascii="Times New Roman"/>
                <w:color w:val="auto"/>
                <w:szCs w:val="21"/>
              </w:rPr>
              <w:fldChar w:fldCharType="separate"/>
            </w:r>
            <w:r>
              <w:rPr>
                <w:rFonts w:hint="eastAsia" w:ascii="Times New Roman"/>
                <w:color w:val="auto"/>
                <w:szCs w:val="21"/>
              </w:rPr>
              <w:t>V</w:t>
            </w:r>
            <w:r>
              <w:rPr>
                <w:rFonts w:hint="eastAsia" w:ascii="Times New Roman"/>
                <w:color w:val="auto"/>
                <w:szCs w:val="21"/>
              </w:rPr>
              <w:fldChar w:fldCharType="end"/>
            </w:r>
            <w:r>
              <w:rPr>
                <w:rFonts w:ascii="Times New Roman"/>
                <w:color w:val="auto"/>
                <w:szCs w:val="21"/>
              </w:rPr>
              <w:t>类标准。</w:t>
            </w:r>
          </w:p>
          <w:p>
            <w:pPr>
              <w:pStyle w:val="46"/>
              <w:adjustRightInd w:val="0"/>
              <w:snapToGrid/>
              <w:ind w:firstLine="480" w:firstLineChars="200"/>
              <w:rPr>
                <w:rFonts w:ascii="Times New Roman"/>
                <w:color w:val="auto"/>
                <w:szCs w:val="21"/>
              </w:rPr>
            </w:pPr>
            <w:r>
              <w:rPr>
                <w:rFonts w:ascii="Times New Roman"/>
                <w:color w:val="auto"/>
                <w:szCs w:val="21"/>
              </w:rPr>
              <w:t>2、本项目位于</w:t>
            </w:r>
            <w:r>
              <w:rPr>
                <w:rFonts w:hint="eastAsia" w:ascii="Times New Roman"/>
                <w:color w:val="auto"/>
                <w:szCs w:val="21"/>
                <w:lang w:eastAsia="zh-CN"/>
              </w:rPr>
              <w:t>普宁市梅塘镇新光村镇政府西侧</w:t>
            </w:r>
            <w:r>
              <w:rPr>
                <w:rFonts w:ascii="Times New Roman"/>
                <w:color w:val="auto"/>
                <w:szCs w:val="21"/>
              </w:rPr>
              <w:t>，根据《揭阳市环境保护规划（2007-2020）》及《关于&lt;揭阳市环境保护规划（2007-2020）&gt;的批复》（揭府函[2008]103号），项目所在区域环境空气属于二类区，执行《环境空气质量标准》（GB3095-2012）</w:t>
            </w:r>
            <w:r>
              <w:rPr>
                <w:rFonts w:hint="eastAsia" w:ascii="Times New Roman"/>
                <w:color w:val="auto"/>
                <w:szCs w:val="21"/>
                <w:lang w:eastAsia="zh-CN"/>
              </w:rPr>
              <w:t>及</w:t>
            </w:r>
            <w:r>
              <w:rPr>
                <w:rFonts w:hint="eastAsia" w:ascii="Times New Roman"/>
                <w:color w:val="FF0000"/>
                <w:szCs w:val="21"/>
                <w:lang w:val="en-US" w:eastAsia="zh-CN"/>
              </w:rPr>
              <w:t>2018年修改单</w:t>
            </w:r>
            <w:r>
              <w:rPr>
                <w:rFonts w:ascii="Times New Roman"/>
                <w:color w:val="auto"/>
                <w:szCs w:val="21"/>
              </w:rPr>
              <w:t>中的二级标准。</w:t>
            </w:r>
          </w:p>
          <w:p>
            <w:pPr>
              <w:pStyle w:val="46"/>
              <w:adjustRightInd w:val="0"/>
              <w:snapToGrid/>
              <w:ind w:firstLine="480" w:firstLineChars="200"/>
              <w:rPr>
                <w:rFonts w:ascii="Times New Roman"/>
                <w:color w:val="auto"/>
                <w:szCs w:val="21"/>
              </w:rPr>
            </w:pPr>
            <w:r>
              <w:rPr>
                <w:rFonts w:ascii="Times New Roman"/>
                <w:color w:val="auto"/>
                <w:szCs w:val="21"/>
              </w:rPr>
              <w:t>3、本项目所在区域位于普宁，属于《声环境质量标准》（GB 3096-2008）2类声环境功能控制区。因此，项目各边界执行《声环境质量标准》（GB3096-2008）中2类标准。</w:t>
            </w:r>
          </w:p>
          <w:p>
            <w:pPr>
              <w:pStyle w:val="46"/>
              <w:adjustRightInd w:val="0"/>
              <w:snapToGrid/>
              <w:ind w:firstLine="480" w:firstLineChars="200"/>
              <w:rPr>
                <w:rFonts w:ascii="Times New Roman"/>
                <w:color w:val="auto"/>
              </w:rPr>
            </w:pPr>
            <w:r>
              <w:rPr>
                <w:rFonts w:ascii="Times New Roman"/>
                <w:color w:val="auto"/>
              </w:rPr>
              <w:t>环境质量标准见表4-1。</w:t>
            </w:r>
          </w:p>
          <w:p>
            <w:pPr>
              <w:spacing w:line="360" w:lineRule="auto"/>
              <w:ind w:firstLine="482" w:firstLineChars="200"/>
              <w:jc w:val="center"/>
              <w:rPr>
                <w:b/>
                <w:color w:val="auto"/>
                <w:sz w:val="24"/>
                <w:szCs w:val="20"/>
              </w:rPr>
            </w:pPr>
            <w:r>
              <w:rPr>
                <w:b/>
                <w:color w:val="auto"/>
                <w:sz w:val="24"/>
                <w:szCs w:val="20"/>
              </w:rPr>
              <w:t>表4-1  环境质量标准一览表</w:t>
            </w:r>
          </w:p>
          <w:tbl>
            <w:tblPr>
              <w:tblStyle w:val="31"/>
              <w:tblW w:w="84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959"/>
              <w:gridCol w:w="1138"/>
              <w:gridCol w:w="851"/>
              <w:gridCol w:w="823"/>
              <w:gridCol w:w="877"/>
              <w:gridCol w:w="7"/>
              <w:gridCol w:w="1175"/>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jc w:val="center"/>
              </w:trPr>
              <w:tc>
                <w:tcPr>
                  <w:tcW w:w="753" w:type="dxa"/>
                  <w:vAlign w:val="center"/>
                </w:tcPr>
                <w:p>
                  <w:pPr>
                    <w:jc w:val="center"/>
                    <w:rPr>
                      <w:b/>
                      <w:color w:val="auto"/>
                      <w:szCs w:val="21"/>
                    </w:rPr>
                  </w:pPr>
                  <w:r>
                    <w:rPr>
                      <w:b/>
                      <w:color w:val="auto"/>
                      <w:szCs w:val="21"/>
                    </w:rPr>
                    <w:t>环境要素</w:t>
                  </w:r>
                </w:p>
              </w:tc>
              <w:tc>
                <w:tcPr>
                  <w:tcW w:w="1959" w:type="dxa"/>
                  <w:vAlign w:val="center"/>
                </w:tcPr>
                <w:p>
                  <w:pPr>
                    <w:jc w:val="center"/>
                    <w:rPr>
                      <w:b/>
                      <w:color w:val="auto"/>
                      <w:szCs w:val="21"/>
                    </w:rPr>
                  </w:pPr>
                  <w:r>
                    <w:rPr>
                      <w:b/>
                      <w:color w:val="auto"/>
                      <w:szCs w:val="21"/>
                    </w:rPr>
                    <w:t>选用标准</w:t>
                  </w:r>
                </w:p>
              </w:tc>
              <w:tc>
                <w:tcPr>
                  <w:tcW w:w="4871" w:type="dxa"/>
                  <w:gridSpan w:val="6"/>
                  <w:vAlign w:val="center"/>
                </w:tcPr>
                <w:p>
                  <w:pPr>
                    <w:jc w:val="center"/>
                    <w:rPr>
                      <w:b/>
                      <w:color w:val="auto"/>
                      <w:szCs w:val="21"/>
                    </w:rPr>
                  </w:pPr>
                  <w:r>
                    <w:rPr>
                      <w:b/>
                      <w:color w:val="auto"/>
                      <w:szCs w:val="21"/>
                    </w:rPr>
                    <w:t>标准值</w:t>
                  </w:r>
                </w:p>
              </w:tc>
              <w:tc>
                <w:tcPr>
                  <w:tcW w:w="866" w:type="dxa"/>
                  <w:vAlign w:val="center"/>
                </w:tcPr>
                <w:p>
                  <w:pPr>
                    <w:jc w:val="center"/>
                    <w:rPr>
                      <w:b/>
                      <w:color w:val="auto"/>
                      <w:szCs w:val="21"/>
                    </w:rPr>
                  </w:pPr>
                  <w:r>
                    <w:rPr>
                      <w:b/>
                      <w:color w:val="auto"/>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753" w:type="dxa"/>
                  <w:vMerge w:val="restart"/>
                  <w:vAlign w:val="center"/>
                </w:tcPr>
                <w:p>
                  <w:pPr>
                    <w:jc w:val="center"/>
                    <w:rPr>
                      <w:b/>
                      <w:color w:val="auto"/>
                      <w:szCs w:val="21"/>
                    </w:rPr>
                  </w:pPr>
                  <w:r>
                    <w:rPr>
                      <w:b/>
                      <w:color w:val="auto"/>
                      <w:szCs w:val="21"/>
                    </w:rPr>
                    <w:t>水环境</w:t>
                  </w:r>
                </w:p>
              </w:tc>
              <w:tc>
                <w:tcPr>
                  <w:tcW w:w="1959" w:type="dxa"/>
                  <w:vMerge w:val="restart"/>
                  <w:vAlign w:val="center"/>
                </w:tcPr>
                <w:p>
                  <w:pPr>
                    <w:jc w:val="center"/>
                    <w:rPr>
                      <w:color w:val="auto"/>
                      <w:kern w:val="0"/>
                      <w:szCs w:val="21"/>
                    </w:rPr>
                  </w:pPr>
                  <w:r>
                    <w:rPr>
                      <w:color w:val="auto"/>
                      <w:kern w:val="0"/>
                      <w:szCs w:val="21"/>
                    </w:rPr>
                    <w:t>《地表水环境质量标准》（GB3838-2002）中的</w:t>
                  </w:r>
                  <w:r>
                    <w:rPr>
                      <w:rFonts w:hint="eastAsia"/>
                      <w:color w:val="auto"/>
                      <w:kern w:val="0"/>
                      <w:szCs w:val="21"/>
                    </w:rPr>
                    <w:fldChar w:fldCharType="begin"/>
                  </w:r>
                  <w:r>
                    <w:rPr>
                      <w:rFonts w:hint="eastAsia"/>
                      <w:color w:val="auto"/>
                      <w:kern w:val="0"/>
                      <w:szCs w:val="21"/>
                    </w:rPr>
                    <w:instrText xml:space="preserve"> = 3 \* ROMAN </w:instrText>
                  </w:r>
                  <w:r>
                    <w:rPr>
                      <w:rFonts w:hint="eastAsia"/>
                      <w:color w:val="auto"/>
                      <w:kern w:val="0"/>
                      <w:szCs w:val="21"/>
                    </w:rPr>
                    <w:fldChar w:fldCharType="separate"/>
                  </w:r>
                  <w:r>
                    <w:rPr>
                      <w:rFonts w:hint="eastAsia"/>
                      <w:color w:val="auto"/>
                      <w:kern w:val="0"/>
                      <w:szCs w:val="21"/>
                    </w:rPr>
                    <w:t>V</w:t>
                  </w:r>
                  <w:r>
                    <w:rPr>
                      <w:rFonts w:hint="eastAsia"/>
                      <w:color w:val="auto"/>
                      <w:kern w:val="0"/>
                      <w:szCs w:val="21"/>
                    </w:rPr>
                    <w:fldChar w:fldCharType="end"/>
                  </w:r>
                  <w:r>
                    <w:rPr>
                      <w:color w:val="auto"/>
                      <w:kern w:val="0"/>
                      <w:szCs w:val="21"/>
                    </w:rPr>
                    <w:t>类标准</w:t>
                  </w:r>
                </w:p>
              </w:tc>
              <w:tc>
                <w:tcPr>
                  <w:tcW w:w="1138" w:type="dxa"/>
                  <w:vAlign w:val="center"/>
                </w:tcPr>
                <w:p>
                  <w:pPr>
                    <w:jc w:val="center"/>
                    <w:rPr>
                      <w:b/>
                      <w:color w:val="auto"/>
                      <w:szCs w:val="21"/>
                    </w:rPr>
                  </w:pPr>
                  <w:r>
                    <w:rPr>
                      <w:b/>
                      <w:color w:val="auto"/>
                      <w:szCs w:val="21"/>
                    </w:rPr>
                    <w:t>pH</w:t>
                  </w:r>
                </w:p>
              </w:tc>
              <w:tc>
                <w:tcPr>
                  <w:tcW w:w="851" w:type="dxa"/>
                  <w:vAlign w:val="center"/>
                </w:tcPr>
                <w:p>
                  <w:pPr>
                    <w:jc w:val="center"/>
                    <w:rPr>
                      <w:b/>
                      <w:color w:val="auto"/>
                      <w:szCs w:val="21"/>
                    </w:rPr>
                  </w:pPr>
                  <w:r>
                    <w:rPr>
                      <w:b/>
                      <w:color w:val="auto"/>
                      <w:szCs w:val="21"/>
                    </w:rPr>
                    <w:t>COD</w:t>
                  </w:r>
                  <w:r>
                    <w:rPr>
                      <w:b/>
                      <w:color w:val="auto"/>
                      <w:szCs w:val="21"/>
                      <w:vertAlign w:val="subscript"/>
                    </w:rPr>
                    <w:t>Cr</w:t>
                  </w:r>
                </w:p>
              </w:tc>
              <w:tc>
                <w:tcPr>
                  <w:tcW w:w="823" w:type="dxa"/>
                  <w:vAlign w:val="center"/>
                </w:tcPr>
                <w:p>
                  <w:pPr>
                    <w:jc w:val="center"/>
                    <w:rPr>
                      <w:b/>
                      <w:color w:val="auto"/>
                      <w:szCs w:val="21"/>
                    </w:rPr>
                  </w:pPr>
                  <w:r>
                    <w:rPr>
                      <w:b/>
                      <w:color w:val="auto"/>
                      <w:szCs w:val="21"/>
                    </w:rPr>
                    <w:t>BOD</w:t>
                  </w:r>
                  <w:r>
                    <w:rPr>
                      <w:b/>
                      <w:color w:val="auto"/>
                      <w:szCs w:val="21"/>
                      <w:vertAlign w:val="subscript"/>
                    </w:rPr>
                    <w:t>5</w:t>
                  </w:r>
                </w:p>
              </w:tc>
              <w:tc>
                <w:tcPr>
                  <w:tcW w:w="877" w:type="dxa"/>
                  <w:vAlign w:val="center"/>
                </w:tcPr>
                <w:p>
                  <w:pPr>
                    <w:jc w:val="center"/>
                    <w:rPr>
                      <w:b/>
                      <w:color w:val="auto"/>
                      <w:szCs w:val="21"/>
                    </w:rPr>
                  </w:pPr>
                  <w:r>
                    <w:rPr>
                      <w:b/>
                      <w:color w:val="auto"/>
                      <w:szCs w:val="21"/>
                    </w:rPr>
                    <w:t>氨氮</w:t>
                  </w:r>
                </w:p>
              </w:tc>
              <w:tc>
                <w:tcPr>
                  <w:tcW w:w="1182" w:type="dxa"/>
                  <w:gridSpan w:val="2"/>
                  <w:vAlign w:val="center"/>
                </w:tcPr>
                <w:p>
                  <w:pPr>
                    <w:jc w:val="center"/>
                    <w:rPr>
                      <w:b/>
                      <w:color w:val="auto"/>
                      <w:szCs w:val="21"/>
                    </w:rPr>
                  </w:pPr>
                  <w:r>
                    <w:rPr>
                      <w:b/>
                      <w:color w:val="auto"/>
                      <w:szCs w:val="21"/>
                    </w:rPr>
                    <w:t>总磷</w:t>
                  </w:r>
                </w:p>
              </w:tc>
              <w:tc>
                <w:tcPr>
                  <w:tcW w:w="866" w:type="dxa"/>
                  <w:vMerge w:val="restart"/>
                  <w:vAlign w:val="center"/>
                </w:tcPr>
                <w:p>
                  <w:pPr>
                    <w:jc w:val="center"/>
                    <w:rPr>
                      <w:color w:val="auto"/>
                      <w:szCs w:val="21"/>
                    </w:rPr>
                  </w:pPr>
                  <w:r>
                    <w:rPr>
                      <w:bCs/>
                      <w:color w:val="auto"/>
                      <w:szCs w:val="21"/>
                    </w:rPr>
                    <w:t>mg/L（pH除外）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jc w:val="center"/>
              </w:trPr>
              <w:tc>
                <w:tcPr>
                  <w:tcW w:w="753" w:type="dxa"/>
                  <w:vMerge w:val="continue"/>
                  <w:vAlign w:val="center"/>
                </w:tcPr>
                <w:p>
                  <w:pPr>
                    <w:jc w:val="center"/>
                    <w:rPr>
                      <w:b/>
                      <w:color w:val="auto"/>
                      <w:szCs w:val="21"/>
                    </w:rPr>
                  </w:pPr>
                </w:p>
              </w:tc>
              <w:tc>
                <w:tcPr>
                  <w:tcW w:w="1959" w:type="dxa"/>
                  <w:vMerge w:val="continue"/>
                  <w:vAlign w:val="center"/>
                </w:tcPr>
                <w:p>
                  <w:pPr>
                    <w:jc w:val="center"/>
                    <w:rPr>
                      <w:color w:val="auto"/>
                      <w:kern w:val="0"/>
                      <w:szCs w:val="21"/>
                    </w:rPr>
                  </w:pPr>
                </w:p>
              </w:tc>
              <w:tc>
                <w:tcPr>
                  <w:tcW w:w="1138" w:type="dxa"/>
                  <w:vAlign w:val="center"/>
                </w:tcPr>
                <w:p>
                  <w:pPr>
                    <w:jc w:val="center"/>
                    <w:rPr>
                      <w:color w:val="auto"/>
                      <w:sz w:val="24"/>
                      <w:szCs w:val="20"/>
                    </w:rPr>
                  </w:pPr>
                  <w:r>
                    <w:rPr>
                      <w:color w:val="auto"/>
                      <w:szCs w:val="21"/>
                    </w:rPr>
                    <w:t>6～9</w:t>
                  </w:r>
                </w:p>
              </w:tc>
              <w:tc>
                <w:tcPr>
                  <w:tcW w:w="851" w:type="dxa"/>
                  <w:vAlign w:val="center"/>
                </w:tcPr>
                <w:p>
                  <w:pPr>
                    <w:jc w:val="center"/>
                    <w:rPr>
                      <w:rFonts w:hint="default" w:eastAsia="宋体"/>
                      <w:color w:val="auto"/>
                      <w:sz w:val="24"/>
                      <w:szCs w:val="20"/>
                      <w:lang w:val="en-US" w:eastAsia="zh-CN"/>
                    </w:rPr>
                  </w:pPr>
                  <w:r>
                    <w:rPr>
                      <w:rFonts w:hint="eastAsia"/>
                      <w:color w:val="auto"/>
                      <w:szCs w:val="21"/>
                      <w:lang w:val="en-US" w:eastAsia="zh-CN"/>
                    </w:rPr>
                    <w:t>40</w:t>
                  </w:r>
                </w:p>
              </w:tc>
              <w:tc>
                <w:tcPr>
                  <w:tcW w:w="823" w:type="dxa"/>
                  <w:vAlign w:val="center"/>
                </w:tcPr>
                <w:p>
                  <w:pPr>
                    <w:jc w:val="center"/>
                    <w:rPr>
                      <w:rFonts w:hint="default" w:eastAsia="宋体"/>
                      <w:color w:val="auto"/>
                      <w:sz w:val="24"/>
                      <w:szCs w:val="20"/>
                      <w:lang w:val="en-US" w:eastAsia="zh-CN"/>
                    </w:rPr>
                  </w:pPr>
                  <w:r>
                    <w:rPr>
                      <w:rFonts w:hint="eastAsia"/>
                      <w:color w:val="auto"/>
                      <w:szCs w:val="21"/>
                      <w:lang w:val="en-US" w:eastAsia="zh-CN"/>
                    </w:rPr>
                    <w:t>10</w:t>
                  </w:r>
                </w:p>
              </w:tc>
              <w:tc>
                <w:tcPr>
                  <w:tcW w:w="877" w:type="dxa"/>
                  <w:vAlign w:val="center"/>
                </w:tcPr>
                <w:p>
                  <w:pPr>
                    <w:jc w:val="center"/>
                    <w:rPr>
                      <w:rFonts w:hint="default" w:eastAsia="宋体"/>
                      <w:color w:val="auto"/>
                      <w:sz w:val="24"/>
                      <w:szCs w:val="20"/>
                      <w:lang w:val="en-US" w:eastAsia="zh-CN"/>
                    </w:rPr>
                  </w:pPr>
                  <w:r>
                    <w:rPr>
                      <w:rFonts w:hint="eastAsia"/>
                      <w:color w:val="auto"/>
                      <w:szCs w:val="21"/>
                      <w:lang w:val="en-US" w:eastAsia="zh-CN"/>
                    </w:rPr>
                    <w:t>2.0</w:t>
                  </w:r>
                </w:p>
              </w:tc>
              <w:tc>
                <w:tcPr>
                  <w:tcW w:w="1182" w:type="dxa"/>
                  <w:gridSpan w:val="2"/>
                  <w:vAlign w:val="center"/>
                </w:tcPr>
                <w:p>
                  <w:pPr>
                    <w:jc w:val="center"/>
                    <w:rPr>
                      <w:rFonts w:hint="default" w:eastAsia="宋体"/>
                      <w:color w:val="auto"/>
                      <w:sz w:val="24"/>
                      <w:szCs w:val="20"/>
                      <w:lang w:val="en-US" w:eastAsia="zh-CN"/>
                    </w:rPr>
                  </w:pPr>
                  <w:r>
                    <w:rPr>
                      <w:rFonts w:hint="eastAsia"/>
                      <w:color w:val="auto"/>
                      <w:szCs w:val="21"/>
                      <w:lang w:val="en-US" w:eastAsia="zh-CN"/>
                    </w:rPr>
                    <w:t>0.4</w:t>
                  </w:r>
                </w:p>
              </w:tc>
              <w:tc>
                <w:tcPr>
                  <w:tcW w:w="866"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753" w:type="dxa"/>
                  <w:vMerge w:val="restart"/>
                  <w:vAlign w:val="center"/>
                </w:tcPr>
                <w:p>
                  <w:pPr>
                    <w:jc w:val="center"/>
                    <w:rPr>
                      <w:b/>
                      <w:color w:val="auto"/>
                      <w:szCs w:val="21"/>
                    </w:rPr>
                  </w:pPr>
                  <w:r>
                    <w:rPr>
                      <w:b/>
                      <w:color w:val="auto"/>
                      <w:szCs w:val="21"/>
                    </w:rPr>
                    <w:t>大气环境</w:t>
                  </w:r>
                </w:p>
              </w:tc>
              <w:tc>
                <w:tcPr>
                  <w:tcW w:w="1959" w:type="dxa"/>
                  <w:vMerge w:val="restart"/>
                  <w:vAlign w:val="center"/>
                </w:tcPr>
                <w:p>
                  <w:pPr>
                    <w:jc w:val="center"/>
                    <w:rPr>
                      <w:color w:val="auto"/>
                      <w:kern w:val="0"/>
                      <w:szCs w:val="21"/>
                    </w:rPr>
                  </w:pPr>
                  <w:r>
                    <w:rPr>
                      <w:color w:val="auto"/>
                      <w:kern w:val="0"/>
                      <w:szCs w:val="21"/>
                    </w:rPr>
                    <w:t>《环境空气质量标准》（GB3095-2012）中</w:t>
                  </w:r>
                  <w:r>
                    <w:rPr>
                      <w:rFonts w:hint="eastAsia"/>
                      <w:color w:val="FF0000"/>
                      <w:kern w:val="0"/>
                      <w:szCs w:val="21"/>
                      <w:lang w:eastAsia="zh-CN"/>
                    </w:rPr>
                    <w:t>及</w:t>
                  </w:r>
                  <w:r>
                    <w:rPr>
                      <w:rFonts w:hint="eastAsia"/>
                      <w:color w:val="FF0000"/>
                      <w:kern w:val="0"/>
                      <w:szCs w:val="21"/>
                      <w:lang w:val="en-US" w:eastAsia="zh-CN"/>
                    </w:rPr>
                    <w:t>2018年修改单</w:t>
                  </w:r>
                  <w:r>
                    <w:rPr>
                      <w:color w:val="auto"/>
                      <w:kern w:val="0"/>
                      <w:szCs w:val="21"/>
                    </w:rPr>
                    <w:t>的二级标准</w:t>
                  </w:r>
                </w:p>
              </w:tc>
              <w:tc>
                <w:tcPr>
                  <w:tcW w:w="1138" w:type="dxa"/>
                  <w:vAlign w:val="center"/>
                </w:tcPr>
                <w:p>
                  <w:pPr>
                    <w:jc w:val="center"/>
                    <w:rPr>
                      <w:b/>
                      <w:color w:val="auto"/>
                      <w:szCs w:val="21"/>
                    </w:rPr>
                  </w:pPr>
                  <w:r>
                    <w:rPr>
                      <w:b/>
                      <w:color w:val="auto"/>
                      <w:szCs w:val="21"/>
                    </w:rPr>
                    <w:t>取值时段</w:t>
                  </w:r>
                </w:p>
              </w:tc>
              <w:tc>
                <w:tcPr>
                  <w:tcW w:w="851" w:type="dxa"/>
                  <w:vAlign w:val="center"/>
                </w:tcPr>
                <w:p>
                  <w:pPr>
                    <w:adjustRightInd w:val="0"/>
                    <w:snapToGrid w:val="0"/>
                    <w:jc w:val="center"/>
                    <w:rPr>
                      <w:b/>
                      <w:color w:val="auto"/>
                      <w:szCs w:val="21"/>
                    </w:rPr>
                  </w:pPr>
                  <w:r>
                    <w:rPr>
                      <w:b/>
                      <w:color w:val="auto"/>
                      <w:szCs w:val="21"/>
                    </w:rPr>
                    <w:t>PM</w:t>
                  </w:r>
                  <w:r>
                    <w:rPr>
                      <w:b/>
                      <w:color w:val="auto"/>
                      <w:szCs w:val="21"/>
                      <w:vertAlign w:val="subscript"/>
                    </w:rPr>
                    <w:t>10</w:t>
                  </w:r>
                </w:p>
              </w:tc>
              <w:tc>
                <w:tcPr>
                  <w:tcW w:w="823" w:type="dxa"/>
                  <w:vAlign w:val="center"/>
                </w:tcPr>
                <w:p>
                  <w:pPr>
                    <w:adjustRightInd w:val="0"/>
                    <w:snapToGrid w:val="0"/>
                    <w:jc w:val="center"/>
                    <w:rPr>
                      <w:b/>
                      <w:color w:val="auto"/>
                      <w:szCs w:val="21"/>
                    </w:rPr>
                  </w:pPr>
                  <w:r>
                    <w:rPr>
                      <w:b/>
                      <w:color w:val="auto"/>
                      <w:szCs w:val="21"/>
                    </w:rPr>
                    <w:t>SO</w:t>
                  </w:r>
                  <w:r>
                    <w:rPr>
                      <w:b/>
                      <w:color w:val="auto"/>
                      <w:szCs w:val="21"/>
                      <w:vertAlign w:val="subscript"/>
                    </w:rPr>
                    <w:t>2</w:t>
                  </w:r>
                </w:p>
              </w:tc>
              <w:tc>
                <w:tcPr>
                  <w:tcW w:w="884" w:type="dxa"/>
                  <w:gridSpan w:val="2"/>
                  <w:vAlign w:val="center"/>
                </w:tcPr>
                <w:p>
                  <w:pPr>
                    <w:adjustRightInd w:val="0"/>
                    <w:snapToGrid w:val="0"/>
                    <w:jc w:val="center"/>
                    <w:rPr>
                      <w:b/>
                      <w:color w:val="auto"/>
                      <w:szCs w:val="21"/>
                    </w:rPr>
                  </w:pPr>
                  <w:r>
                    <w:rPr>
                      <w:b/>
                      <w:color w:val="auto"/>
                      <w:szCs w:val="21"/>
                    </w:rPr>
                    <w:t>NO</w:t>
                  </w:r>
                  <w:r>
                    <w:rPr>
                      <w:b/>
                      <w:color w:val="auto"/>
                      <w:szCs w:val="21"/>
                      <w:vertAlign w:val="subscript"/>
                    </w:rPr>
                    <w:t>2</w:t>
                  </w:r>
                </w:p>
              </w:tc>
              <w:tc>
                <w:tcPr>
                  <w:tcW w:w="1175" w:type="dxa"/>
                  <w:vAlign w:val="center"/>
                </w:tcPr>
                <w:p>
                  <w:pPr>
                    <w:adjustRightInd w:val="0"/>
                    <w:snapToGrid w:val="0"/>
                    <w:jc w:val="center"/>
                    <w:rPr>
                      <w:b/>
                      <w:color w:val="auto"/>
                      <w:szCs w:val="21"/>
                    </w:rPr>
                  </w:pPr>
                  <w:r>
                    <w:rPr>
                      <w:b/>
                      <w:color w:val="auto"/>
                      <w:szCs w:val="21"/>
                    </w:rPr>
                    <w:t>TSP</w:t>
                  </w:r>
                </w:p>
              </w:tc>
              <w:tc>
                <w:tcPr>
                  <w:tcW w:w="866" w:type="dxa"/>
                  <w:vMerge w:val="restart"/>
                  <w:vAlign w:val="center"/>
                </w:tcPr>
                <w:p>
                  <w:pPr>
                    <w:jc w:val="center"/>
                    <w:rPr>
                      <w:color w:val="auto"/>
                      <w:szCs w:val="21"/>
                    </w:rPr>
                  </w:pPr>
                  <w:r>
                    <w:rPr>
                      <w:color w:val="auto"/>
                      <w:szCs w:val="21"/>
                    </w:rPr>
                    <w:t>µg/m</w:t>
                  </w:r>
                  <w:r>
                    <w:rPr>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753" w:type="dxa"/>
                  <w:vMerge w:val="continue"/>
                  <w:vAlign w:val="center"/>
                </w:tcPr>
                <w:p>
                  <w:pPr>
                    <w:jc w:val="center"/>
                    <w:rPr>
                      <w:b/>
                      <w:color w:val="auto"/>
                      <w:szCs w:val="21"/>
                    </w:rPr>
                  </w:pPr>
                </w:p>
              </w:tc>
              <w:tc>
                <w:tcPr>
                  <w:tcW w:w="1959" w:type="dxa"/>
                  <w:vMerge w:val="continue"/>
                  <w:vAlign w:val="center"/>
                </w:tcPr>
                <w:p>
                  <w:pPr>
                    <w:jc w:val="center"/>
                    <w:rPr>
                      <w:color w:val="auto"/>
                      <w:kern w:val="0"/>
                      <w:szCs w:val="21"/>
                    </w:rPr>
                  </w:pPr>
                </w:p>
              </w:tc>
              <w:tc>
                <w:tcPr>
                  <w:tcW w:w="1138" w:type="dxa"/>
                  <w:vAlign w:val="center"/>
                </w:tcPr>
                <w:p>
                  <w:pPr>
                    <w:jc w:val="center"/>
                    <w:rPr>
                      <w:color w:val="auto"/>
                      <w:szCs w:val="21"/>
                    </w:rPr>
                  </w:pPr>
                  <w:r>
                    <w:rPr>
                      <w:color w:val="auto"/>
                      <w:szCs w:val="21"/>
                    </w:rPr>
                    <w:t>1小时平均值</w:t>
                  </w:r>
                </w:p>
              </w:tc>
              <w:tc>
                <w:tcPr>
                  <w:tcW w:w="851" w:type="dxa"/>
                  <w:vAlign w:val="center"/>
                </w:tcPr>
                <w:p>
                  <w:pPr>
                    <w:autoSpaceDE w:val="0"/>
                    <w:autoSpaceDN w:val="0"/>
                    <w:adjustRightInd w:val="0"/>
                    <w:snapToGrid w:val="0"/>
                    <w:jc w:val="center"/>
                    <w:textAlignment w:val="baseline"/>
                    <w:rPr>
                      <w:color w:val="auto"/>
                      <w:kern w:val="0"/>
                      <w:szCs w:val="21"/>
                    </w:rPr>
                  </w:pPr>
                  <w:r>
                    <w:rPr>
                      <w:color w:val="auto"/>
                      <w:kern w:val="0"/>
                      <w:szCs w:val="21"/>
                    </w:rPr>
                    <w:t>/</w:t>
                  </w:r>
                </w:p>
              </w:tc>
              <w:tc>
                <w:tcPr>
                  <w:tcW w:w="823" w:type="dxa"/>
                  <w:vAlign w:val="center"/>
                </w:tcPr>
                <w:p>
                  <w:pPr>
                    <w:autoSpaceDE w:val="0"/>
                    <w:autoSpaceDN w:val="0"/>
                    <w:adjustRightInd w:val="0"/>
                    <w:snapToGrid w:val="0"/>
                    <w:jc w:val="center"/>
                    <w:textAlignment w:val="baseline"/>
                    <w:rPr>
                      <w:color w:val="auto"/>
                      <w:kern w:val="0"/>
                      <w:szCs w:val="21"/>
                    </w:rPr>
                  </w:pPr>
                  <w:r>
                    <w:rPr>
                      <w:color w:val="auto"/>
                      <w:kern w:val="0"/>
                      <w:szCs w:val="21"/>
                    </w:rPr>
                    <w:t>500</w:t>
                  </w:r>
                </w:p>
              </w:tc>
              <w:tc>
                <w:tcPr>
                  <w:tcW w:w="884" w:type="dxa"/>
                  <w:gridSpan w:val="2"/>
                  <w:vAlign w:val="center"/>
                </w:tcPr>
                <w:p>
                  <w:pPr>
                    <w:autoSpaceDE w:val="0"/>
                    <w:autoSpaceDN w:val="0"/>
                    <w:adjustRightInd w:val="0"/>
                    <w:snapToGrid w:val="0"/>
                    <w:jc w:val="center"/>
                    <w:textAlignment w:val="baseline"/>
                    <w:rPr>
                      <w:color w:val="auto"/>
                      <w:kern w:val="0"/>
                      <w:szCs w:val="21"/>
                    </w:rPr>
                  </w:pPr>
                  <w:r>
                    <w:rPr>
                      <w:color w:val="auto"/>
                      <w:kern w:val="0"/>
                      <w:szCs w:val="21"/>
                    </w:rPr>
                    <w:t>200</w:t>
                  </w:r>
                </w:p>
              </w:tc>
              <w:tc>
                <w:tcPr>
                  <w:tcW w:w="1175" w:type="dxa"/>
                  <w:vAlign w:val="center"/>
                </w:tcPr>
                <w:p>
                  <w:pPr>
                    <w:autoSpaceDE w:val="0"/>
                    <w:autoSpaceDN w:val="0"/>
                    <w:adjustRightInd w:val="0"/>
                    <w:snapToGrid w:val="0"/>
                    <w:jc w:val="center"/>
                    <w:textAlignment w:val="baseline"/>
                    <w:rPr>
                      <w:color w:val="auto"/>
                      <w:kern w:val="0"/>
                      <w:szCs w:val="21"/>
                    </w:rPr>
                  </w:pPr>
                  <w:r>
                    <w:rPr>
                      <w:color w:val="auto"/>
                      <w:kern w:val="0"/>
                      <w:szCs w:val="21"/>
                    </w:rPr>
                    <w:t>/</w:t>
                  </w:r>
                </w:p>
              </w:tc>
              <w:tc>
                <w:tcPr>
                  <w:tcW w:w="866" w:type="dxa"/>
                  <w:vMerge w:val="continue"/>
                  <w:vAlign w:val="center"/>
                </w:tcPr>
                <w:p>
                  <w:pPr>
                    <w:topLinePunct/>
                    <w:autoSpaceDE w:val="0"/>
                    <w:autoSpaceDN w:val="0"/>
                    <w:adjustRightInd w:val="0"/>
                    <w:jc w:val="center"/>
                    <w:textAlignment w:val="baseline"/>
                    <w:rPr>
                      <w:color w:val="auto"/>
                      <w:kern w:val="24"/>
                      <w:position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jc w:val="center"/>
              </w:trPr>
              <w:tc>
                <w:tcPr>
                  <w:tcW w:w="753" w:type="dxa"/>
                  <w:vMerge w:val="continue"/>
                  <w:vAlign w:val="center"/>
                </w:tcPr>
                <w:p>
                  <w:pPr>
                    <w:jc w:val="center"/>
                    <w:rPr>
                      <w:b/>
                      <w:color w:val="auto"/>
                      <w:szCs w:val="21"/>
                    </w:rPr>
                  </w:pPr>
                </w:p>
              </w:tc>
              <w:tc>
                <w:tcPr>
                  <w:tcW w:w="1959" w:type="dxa"/>
                  <w:vMerge w:val="continue"/>
                  <w:vAlign w:val="center"/>
                </w:tcPr>
                <w:p>
                  <w:pPr>
                    <w:jc w:val="center"/>
                    <w:rPr>
                      <w:color w:val="auto"/>
                      <w:kern w:val="0"/>
                      <w:szCs w:val="21"/>
                    </w:rPr>
                  </w:pPr>
                </w:p>
              </w:tc>
              <w:tc>
                <w:tcPr>
                  <w:tcW w:w="1138" w:type="dxa"/>
                  <w:vAlign w:val="center"/>
                </w:tcPr>
                <w:p>
                  <w:pPr>
                    <w:jc w:val="center"/>
                    <w:rPr>
                      <w:color w:val="auto"/>
                      <w:szCs w:val="21"/>
                    </w:rPr>
                  </w:pPr>
                  <w:r>
                    <w:rPr>
                      <w:color w:val="auto"/>
                      <w:szCs w:val="21"/>
                    </w:rPr>
                    <w:t>日平均值</w:t>
                  </w:r>
                </w:p>
              </w:tc>
              <w:tc>
                <w:tcPr>
                  <w:tcW w:w="851" w:type="dxa"/>
                  <w:vAlign w:val="center"/>
                </w:tcPr>
                <w:p>
                  <w:pPr>
                    <w:autoSpaceDE w:val="0"/>
                    <w:autoSpaceDN w:val="0"/>
                    <w:adjustRightInd w:val="0"/>
                    <w:snapToGrid w:val="0"/>
                    <w:jc w:val="center"/>
                    <w:textAlignment w:val="baseline"/>
                    <w:rPr>
                      <w:color w:val="auto"/>
                      <w:kern w:val="0"/>
                      <w:szCs w:val="21"/>
                    </w:rPr>
                  </w:pPr>
                  <w:r>
                    <w:rPr>
                      <w:color w:val="auto"/>
                      <w:kern w:val="0"/>
                      <w:szCs w:val="21"/>
                    </w:rPr>
                    <w:t>150</w:t>
                  </w:r>
                </w:p>
              </w:tc>
              <w:tc>
                <w:tcPr>
                  <w:tcW w:w="823" w:type="dxa"/>
                  <w:vAlign w:val="center"/>
                </w:tcPr>
                <w:p>
                  <w:pPr>
                    <w:autoSpaceDE w:val="0"/>
                    <w:autoSpaceDN w:val="0"/>
                    <w:adjustRightInd w:val="0"/>
                    <w:snapToGrid w:val="0"/>
                    <w:jc w:val="center"/>
                    <w:textAlignment w:val="baseline"/>
                    <w:rPr>
                      <w:color w:val="auto"/>
                      <w:kern w:val="0"/>
                      <w:szCs w:val="21"/>
                    </w:rPr>
                  </w:pPr>
                  <w:r>
                    <w:rPr>
                      <w:color w:val="auto"/>
                      <w:kern w:val="0"/>
                      <w:szCs w:val="21"/>
                    </w:rPr>
                    <w:t>150</w:t>
                  </w:r>
                </w:p>
              </w:tc>
              <w:tc>
                <w:tcPr>
                  <w:tcW w:w="884" w:type="dxa"/>
                  <w:gridSpan w:val="2"/>
                  <w:vAlign w:val="center"/>
                </w:tcPr>
                <w:p>
                  <w:pPr>
                    <w:autoSpaceDE w:val="0"/>
                    <w:autoSpaceDN w:val="0"/>
                    <w:adjustRightInd w:val="0"/>
                    <w:snapToGrid w:val="0"/>
                    <w:jc w:val="center"/>
                    <w:textAlignment w:val="baseline"/>
                    <w:rPr>
                      <w:color w:val="auto"/>
                      <w:kern w:val="0"/>
                      <w:szCs w:val="21"/>
                    </w:rPr>
                  </w:pPr>
                  <w:r>
                    <w:rPr>
                      <w:color w:val="auto"/>
                      <w:kern w:val="0"/>
                      <w:szCs w:val="21"/>
                    </w:rPr>
                    <w:t>80</w:t>
                  </w:r>
                </w:p>
              </w:tc>
              <w:tc>
                <w:tcPr>
                  <w:tcW w:w="1175" w:type="dxa"/>
                  <w:vAlign w:val="center"/>
                </w:tcPr>
                <w:p>
                  <w:pPr>
                    <w:autoSpaceDE w:val="0"/>
                    <w:autoSpaceDN w:val="0"/>
                    <w:adjustRightInd w:val="0"/>
                    <w:snapToGrid w:val="0"/>
                    <w:jc w:val="center"/>
                    <w:textAlignment w:val="baseline"/>
                    <w:rPr>
                      <w:color w:val="auto"/>
                      <w:kern w:val="0"/>
                      <w:szCs w:val="21"/>
                    </w:rPr>
                  </w:pPr>
                  <w:r>
                    <w:rPr>
                      <w:color w:val="auto"/>
                      <w:kern w:val="0"/>
                      <w:szCs w:val="21"/>
                    </w:rPr>
                    <w:t>300</w:t>
                  </w:r>
                </w:p>
              </w:tc>
              <w:tc>
                <w:tcPr>
                  <w:tcW w:w="866" w:type="dxa"/>
                  <w:vMerge w:val="continue"/>
                  <w:vAlign w:val="center"/>
                </w:tcPr>
                <w:p>
                  <w:pPr>
                    <w:topLinePunct/>
                    <w:autoSpaceDE w:val="0"/>
                    <w:autoSpaceDN w:val="0"/>
                    <w:adjustRightInd w:val="0"/>
                    <w:jc w:val="center"/>
                    <w:textAlignment w:val="baseline"/>
                    <w:rPr>
                      <w:color w:val="auto"/>
                      <w:kern w:val="24"/>
                      <w:position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753" w:type="dxa"/>
                  <w:vMerge w:val="continue"/>
                  <w:vAlign w:val="center"/>
                </w:tcPr>
                <w:p>
                  <w:pPr>
                    <w:jc w:val="center"/>
                    <w:rPr>
                      <w:b/>
                      <w:color w:val="auto"/>
                      <w:szCs w:val="21"/>
                    </w:rPr>
                  </w:pPr>
                </w:p>
              </w:tc>
              <w:tc>
                <w:tcPr>
                  <w:tcW w:w="1959" w:type="dxa"/>
                  <w:vMerge w:val="continue"/>
                  <w:vAlign w:val="center"/>
                </w:tcPr>
                <w:p>
                  <w:pPr>
                    <w:jc w:val="center"/>
                    <w:rPr>
                      <w:color w:val="auto"/>
                      <w:kern w:val="0"/>
                      <w:szCs w:val="21"/>
                    </w:rPr>
                  </w:pPr>
                </w:p>
              </w:tc>
              <w:tc>
                <w:tcPr>
                  <w:tcW w:w="1138" w:type="dxa"/>
                  <w:vAlign w:val="center"/>
                </w:tcPr>
                <w:p>
                  <w:pPr>
                    <w:jc w:val="center"/>
                    <w:rPr>
                      <w:color w:val="auto"/>
                      <w:szCs w:val="21"/>
                    </w:rPr>
                  </w:pPr>
                  <w:r>
                    <w:rPr>
                      <w:color w:val="auto"/>
                      <w:szCs w:val="21"/>
                    </w:rPr>
                    <w:t>年平均值</w:t>
                  </w:r>
                </w:p>
              </w:tc>
              <w:tc>
                <w:tcPr>
                  <w:tcW w:w="851" w:type="dxa"/>
                  <w:vAlign w:val="center"/>
                </w:tcPr>
                <w:p>
                  <w:pPr>
                    <w:autoSpaceDE w:val="0"/>
                    <w:autoSpaceDN w:val="0"/>
                    <w:adjustRightInd w:val="0"/>
                    <w:snapToGrid w:val="0"/>
                    <w:jc w:val="center"/>
                    <w:textAlignment w:val="baseline"/>
                    <w:rPr>
                      <w:color w:val="auto"/>
                      <w:kern w:val="0"/>
                      <w:szCs w:val="21"/>
                    </w:rPr>
                  </w:pPr>
                  <w:r>
                    <w:rPr>
                      <w:color w:val="auto"/>
                      <w:kern w:val="0"/>
                      <w:szCs w:val="21"/>
                    </w:rPr>
                    <w:t>70</w:t>
                  </w:r>
                </w:p>
              </w:tc>
              <w:tc>
                <w:tcPr>
                  <w:tcW w:w="823" w:type="dxa"/>
                  <w:vAlign w:val="center"/>
                </w:tcPr>
                <w:p>
                  <w:pPr>
                    <w:autoSpaceDE w:val="0"/>
                    <w:autoSpaceDN w:val="0"/>
                    <w:adjustRightInd w:val="0"/>
                    <w:snapToGrid w:val="0"/>
                    <w:jc w:val="center"/>
                    <w:textAlignment w:val="baseline"/>
                    <w:rPr>
                      <w:color w:val="auto"/>
                      <w:kern w:val="0"/>
                      <w:szCs w:val="21"/>
                    </w:rPr>
                  </w:pPr>
                  <w:r>
                    <w:rPr>
                      <w:color w:val="auto"/>
                      <w:kern w:val="0"/>
                      <w:szCs w:val="21"/>
                    </w:rPr>
                    <w:t>60</w:t>
                  </w:r>
                </w:p>
              </w:tc>
              <w:tc>
                <w:tcPr>
                  <w:tcW w:w="884" w:type="dxa"/>
                  <w:gridSpan w:val="2"/>
                  <w:vAlign w:val="center"/>
                </w:tcPr>
                <w:p>
                  <w:pPr>
                    <w:autoSpaceDE w:val="0"/>
                    <w:autoSpaceDN w:val="0"/>
                    <w:adjustRightInd w:val="0"/>
                    <w:snapToGrid w:val="0"/>
                    <w:jc w:val="center"/>
                    <w:textAlignment w:val="baseline"/>
                    <w:rPr>
                      <w:color w:val="auto"/>
                      <w:kern w:val="0"/>
                      <w:szCs w:val="21"/>
                    </w:rPr>
                  </w:pPr>
                  <w:r>
                    <w:rPr>
                      <w:color w:val="auto"/>
                      <w:kern w:val="0"/>
                      <w:szCs w:val="21"/>
                    </w:rPr>
                    <w:t>40</w:t>
                  </w:r>
                </w:p>
              </w:tc>
              <w:tc>
                <w:tcPr>
                  <w:tcW w:w="1175" w:type="dxa"/>
                  <w:vAlign w:val="center"/>
                </w:tcPr>
                <w:p>
                  <w:pPr>
                    <w:autoSpaceDE w:val="0"/>
                    <w:autoSpaceDN w:val="0"/>
                    <w:adjustRightInd w:val="0"/>
                    <w:snapToGrid w:val="0"/>
                    <w:jc w:val="center"/>
                    <w:textAlignment w:val="baseline"/>
                    <w:rPr>
                      <w:color w:val="auto"/>
                      <w:kern w:val="0"/>
                      <w:szCs w:val="21"/>
                    </w:rPr>
                  </w:pPr>
                  <w:r>
                    <w:rPr>
                      <w:color w:val="auto"/>
                      <w:kern w:val="0"/>
                      <w:szCs w:val="21"/>
                    </w:rPr>
                    <w:t>200</w:t>
                  </w:r>
                </w:p>
              </w:tc>
              <w:tc>
                <w:tcPr>
                  <w:tcW w:w="866" w:type="dxa"/>
                  <w:vMerge w:val="continue"/>
                  <w:vAlign w:val="center"/>
                </w:tcPr>
                <w:p>
                  <w:pPr>
                    <w:topLinePunct/>
                    <w:autoSpaceDE w:val="0"/>
                    <w:autoSpaceDN w:val="0"/>
                    <w:adjustRightInd w:val="0"/>
                    <w:jc w:val="center"/>
                    <w:textAlignment w:val="baseline"/>
                    <w:rPr>
                      <w:color w:val="auto"/>
                      <w:kern w:val="24"/>
                      <w:position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jc w:val="center"/>
              </w:trPr>
              <w:tc>
                <w:tcPr>
                  <w:tcW w:w="753" w:type="dxa"/>
                  <w:vMerge w:val="restart"/>
                  <w:vAlign w:val="center"/>
                </w:tcPr>
                <w:p>
                  <w:pPr>
                    <w:jc w:val="center"/>
                    <w:rPr>
                      <w:b/>
                      <w:color w:val="auto"/>
                      <w:szCs w:val="21"/>
                    </w:rPr>
                  </w:pPr>
                  <w:r>
                    <w:rPr>
                      <w:b/>
                      <w:color w:val="auto"/>
                      <w:szCs w:val="21"/>
                    </w:rPr>
                    <w:t>声环境</w:t>
                  </w:r>
                </w:p>
              </w:tc>
              <w:tc>
                <w:tcPr>
                  <w:tcW w:w="1959" w:type="dxa"/>
                  <w:vMerge w:val="restart"/>
                  <w:vAlign w:val="center"/>
                </w:tcPr>
                <w:p>
                  <w:pPr>
                    <w:jc w:val="center"/>
                    <w:rPr>
                      <w:color w:val="auto"/>
                      <w:kern w:val="0"/>
                      <w:szCs w:val="21"/>
                    </w:rPr>
                  </w:pPr>
                  <w:r>
                    <w:rPr>
                      <w:color w:val="auto"/>
                      <w:kern w:val="0"/>
                      <w:szCs w:val="21"/>
                    </w:rPr>
                    <w:t>《声环境质量标准》（GB3096-2008）</w:t>
                  </w:r>
                </w:p>
              </w:tc>
              <w:tc>
                <w:tcPr>
                  <w:tcW w:w="1138" w:type="dxa"/>
                  <w:vAlign w:val="center"/>
                </w:tcPr>
                <w:p>
                  <w:pPr>
                    <w:jc w:val="center"/>
                    <w:rPr>
                      <w:b/>
                      <w:color w:val="auto"/>
                      <w:sz w:val="24"/>
                      <w:szCs w:val="20"/>
                    </w:rPr>
                  </w:pPr>
                  <w:r>
                    <w:rPr>
                      <w:b/>
                      <w:color w:val="auto"/>
                      <w:szCs w:val="20"/>
                    </w:rPr>
                    <w:t>标准名称</w:t>
                  </w:r>
                </w:p>
              </w:tc>
              <w:tc>
                <w:tcPr>
                  <w:tcW w:w="1674" w:type="dxa"/>
                  <w:gridSpan w:val="2"/>
                  <w:vAlign w:val="center"/>
                </w:tcPr>
                <w:p>
                  <w:pPr>
                    <w:jc w:val="center"/>
                    <w:rPr>
                      <w:b/>
                      <w:color w:val="auto"/>
                      <w:sz w:val="24"/>
                      <w:szCs w:val="20"/>
                    </w:rPr>
                  </w:pPr>
                  <w:r>
                    <w:rPr>
                      <w:b/>
                      <w:color w:val="auto"/>
                      <w:szCs w:val="20"/>
                    </w:rPr>
                    <w:t>昼间</w:t>
                  </w:r>
                </w:p>
              </w:tc>
              <w:tc>
                <w:tcPr>
                  <w:tcW w:w="2059" w:type="dxa"/>
                  <w:gridSpan w:val="3"/>
                  <w:vAlign w:val="center"/>
                </w:tcPr>
                <w:p>
                  <w:pPr>
                    <w:jc w:val="center"/>
                    <w:rPr>
                      <w:b/>
                      <w:color w:val="auto"/>
                      <w:sz w:val="24"/>
                      <w:szCs w:val="20"/>
                    </w:rPr>
                  </w:pPr>
                  <w:r>
                    <w:rPr>
                      <w:b/>
                      <w:color w:val="auto"/>
                      <w:szCs w:val="20"/>
                    </w:rPr>
                    <w:t>夜间</w:t>
                  </w:r>
                </w:p>
              </w:tc>
              <w:tc>
                <w:tcPr>
                  <w:tcW w:w="866" w:type="dxa"/>
                  <w:vMerge w:val="restart"/>
                  <w:vAlign w:val="center"/>
                </w:tcPr>
                <w:p>
                  <w:pPr>
                    <w:jc w:val="center"/>
                    <w:rPr>
                      <w:color w:val="auto"/>
                      <w:szCs w:val="21"/>
                    </w:rPr>
                  </w:pPr>
                  <w:r>
                    <w:rPr>
                      <w:color w:val="auto"/>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753" w:type="dxa"/>
                  <w:vMerge w:val="continue"/>
                  <w:vAlign w:val="center"/>
                </w:tcPr>
                <w:p>
                  <w:pPr>
                    <w:jc w:val="center"/>
                    <w:rPr>
                      <w:color w:val="auto"/>
                      <w:szCs w:val="21"/>
                    </w:rPr>
                  </w:pPr>
                </w:p>
              </w:tc>
              <w:tc>
                <w:tcPr>
                  <w:tcW w:w="1959" w:type="dxa"/>
                  <w:vMerge w:val="continue"/>
                  <w:vAlign w:val="center"/>
                </w:tcPr>
                <w:p>
                  <w:pPr>
                    <w:jc w:val="center"/>
                    <w:rPr>
                      <w:color w:val="auto"/>
                      <w:kern w:val="0"/>
                      <w:szCs w:val="21"/>
                    </w:rPr>
                  </w:pPr>
                </w:p>
              </w:tc>
              <w:tc>
                <w:tcPr>
                  <w:tcW w:w="1138" w:type="dxa"/>
                  <w:vAlign w:val="center"/>
                </w:tcPr>
                <w:p>
                  <w:pPr>
                    <w:jc w:val="center"/>
                    <w:rPr>
                      <w:color w:val="auto"/>
                      <w:szCs w:val="20"/>
                    </w:rPr>
                  </w:pPr>
                  <w:r>
                    <w:rPr>
                      <w:color w:val="auto"/>
                      <w:szCs w:val="20"/>
                    </w:rPr>
                    <w:t>2类标准</w:t>
                  </w:r>
                </w:p>
              </w:tc>
              <w:tc>
                <w:tcPr>
                  <w:tcW w:w="1674" w:type="dxa"/>
                  <w:gridSpan w:val="2"/>
                  <w:vAlign w:val="center"/>
                </w:tcPr>
                <w:p>
                  <w:pPr>
                    <w:autoSpaceDE w:val="0"/>
                    <w:autoSpaceDN w:val="0"/>
                    <w:adjustRightInd w:val="0"/>
                    <w:snapToGrid w:val="0"/>
                    <w:spacing w:line="360" w:lineRule="atLeast"/>
                    <w:jc w:val="center"/>
                    <w:textAlignment w:val="baseline"/>
                    <w:rPr>
                      <w:color w:val="auto"/>
                      <w:kern w:val="0"/>
                      <w:szCs w:val="21"/>
                    </w:rPr>
                  </w:pPr>
                  <w:r>
                    <w:rPr>
                      <w:color w:val="auto"/>
                      <w:kern w:val="0"/>
                      <w:szCs w:val="21"/>
                    </w:rPr>
                    <w:t>60</w:t>
                  </w:r>
                </w:p>
              </w:tc>
              <w:tc>
                <w:tcPr>
                  <w:tcW w:w="2059" w:type="dxa"/>
                  <w:gridSpan w:val="3"/>
                  <w:vAlign w:val="center"/>
                </w:tcPr>
                <w:p>
                  <w:pPr>
                    <w:autoSpaceDE w:val="0"/>
                    <w:autoSpaceDN w:val="0"/>
                    <w:adjustRightInd w:val="0"/>
                    <w:snapToGrid w:val="0"/>
                    <w:spacing w:line="360" w:lineRule="atLeast"/>
                    <w:jc w:val="center"/>
                    <w:textAlignment w:val="baseline"/>
                    <w:rPr>
                      <w:color w:val="auto"/>
                      <w:kern w:val="0"/>
                      <w:szCs w:val="21"/>
                    </w:rPr>
                  </w:pPr>
                  <w:r>
                    <w:rPr>
                      <w:color w:val="auto"/>
                      <w:kern w:val="0"/>
                      <w:szCs w:val="21"/>
                    </w:rPr>
                    <w:t>50</w:t>
                  </w:r>
                </w:p>
              </w:tc>
              <w:tc>
                <w:tcPr>
                  <w:tcW w:w="866" w:type="dxa"/>
                  <w:vMerge w:val="continue"/>
                  <w:vAlign w:val="center"/>
                </w:tcPr>
                <w:p>
                  <w:pPr>
                    <w:jc w:val="center"/>
                    <w:rPr>
                      <w:color w:val="auto"/>
                      <w:sz w:val="24"/>
                      <w:szCs w:val="20"/>
                    </w:rPr>
                  </w:pPr>
                </w:p>
              </w:tc>
            </w:tr>
          </w:tbl>
          <w:p>
            <w:pPr>
              <w:tabs>
                <w:tab w:val="left" w:pos="297"/>
              </w:tabs>
              <w:adjustRightInd w:val="0"/>
              <w:snapToGrid w:val="0"/>
              <w:spacing w:line="360" w:lineRule="auto"/>
              <w:rPr>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rPr>
        <w:tc>
          <w:tcPr>
            <w:tcW w:w="753" w:type="dxa"/>
            <w:vAlign w:val="center"/>
          </w:tcPr>
          <w:p>
            <w:pPr>
              <w:pStyle w:val="65"/>
              <w:topLinePunct w:val="0"/>
              <w:autoSpaceDE/>
              <w:autoSpaceDN/>
              <w:adjustRightInd/>
              <w:spacing w:before="120"/>
              <w:textAlignment w:val="auto"/>
              <w:rPr>
                <w:rFonts w:ascii="Times New Roman" w:hAnsi="Times New Roman"/>
                <w:color w:val="auto"/>
                <w:kern w:val="2"/>
                <w:szCs w:val="24"/>
              </w:rPr>
            </w:pPr>
            <w:r>
              <w:rPr>
                <w:rFonts w:ascii="Times New Roman" w:hAnsi="Times New Roman"/>
                <w:color w:val="auto"/>
                <w:kern w:val="2"/>
                <w:szCs w:val="24"/>
              </w:rPr>
              <w:t>污染物排放标准</w:t>
            </w:r>
          </w:p>
        </w:tc>
        <w:tc>
          <w:tcPr>
            <w:tcW w:w="8818" w:type="dxa"/>
            <w:vAlign w:val="center"/>
          </w:tcPr>
          <w:p>
            <w:pPr>
              <w:pStyle w:val="46"/>
              <w:adjustRightInd w:val="0"/>
              <w:snapToGrid/>
              <w:ind w:firstLine="480" w:firstLineChars="200"/>
              <w:rPr>
                <w:rFonts w:ascii="Times New Roman"/>
                <w:color w:val="auto"/>
                <w:szCs w:val="21"/>
              </w:rPr>
            </w:pPr>
            <w:r>
              <w:rPr>
                <w:rFonts w:ascii="Times New Roman"/>
                <w:color w:val="auto"/>
                <w:szCs w:val="21"/>
              </w:rPr>
              <w:t>1. 项目</w:t>
            </w:r>
            <w:r>
              <w:rPr>
                <w:rFonts w:hint="eastAsia" w:ascii="Times New Roman"/>
                <w:color w:val="auto"/>
                <w:szCs w:val="21"/>
                <w:lang w:eastAsia="zh-CN"/>
              </w:rPr>
              <w:t>没有</w:t>
            </w:r>
            <w:r>
              <w:rPr>
                <w:rFonts w:ascii="Times New Roman"/>
                <w:color w:val="auto"/>
                <w:szCs w:val="21"/>
              </w:rPr>
              <w:t>生产废水</w:t>
            </w:r>
            <w:r>
              <w:rPr>
                <w:rFonts w:hint="eastAsia" w:ascii="Times New Roman"/>
                <w:color w:val="auto"/>
                <w:szCs w:val="21"/>
                <w:lang w:eastAsia="zh-CN"/>
              </w:rPr>
              <w:t>产生</w:t>
            </w:r>
            <w:r>
              <w:rPr>
                <w:rFonts w:ascii="Times New Roman"/>
                <w:color w:val="auto"/>
                <w:szCs w:val="21"/>
              </w:rPr>
              <w:t>，生活污水经处理达到</w:t>
            </w:r>
            <w:r>
              <w:rPr>
                <w:rFonts w:ascii="Times New Roman"/>
                <w:color w:val="auto"/>
              </w:rPr>
              <w:t>《城市污水再生利用 城市杂用水水质》（GB/T18920-2002）中城市绿化水质标准</w:t>
            </w:r>
            <w:r>
              <w:rPr>
                <w:rFonts w:ascii="Times New Roman"/>
                <w:color w:val="auto"/>
                <w:szCs w:val="21"/>
              </w:rPr>
              <w:t>后用于厂内绿化；</w:t>
            </w:r>
          </w:p>
          <w:p>
            <w:pPr>
              <w:pStyle w:val="46"/>
              <w:adjustRightInd w:val="0"/>
              <w:snapToGrid/>
              <w:ind w:firstLine="480" w:firstLineChars="200"/>
              <w:rPr>
                <w:rFonts w:ascii="Times New Roman"/>
                <w:color w:val="auto"/>
                <w:szCs w:val="21"/>
              </w:rPr>
            </w:pPr>
            <w:r>
              <w:rPr>
                <w:rFonts w:ascii="Times New Roman"/>
                <w:color w:val="auto"/>
                <w:szCs w:val="21"/>
              </w:rPr>
              <w:t>2、营运期</w:t>
            </w:r>
            <w:r>
              <w:rPr>
                <w:rFonts w:ascii="Times New Roman"/>
                <w:color w:val="auto"/>
                <w:szCs w:val="24"/>
              </w:rPr>
              <w:t>废气执行</w:t>
            </w:r>
            <w:r>
              <w:rPr>
                <w:rFonts w:hint="eastAsia" w:ascii="Times New Roman"/>
                <w:color w:val="auto"/>
                <w:szCs w:val="24"/>
                <w:lang w:eastAsia="zh-CN"/>
              </w:rPr>
              <w:t>广东省地方标准</w:t>
            </w:r>
            <w:r>
              <w:rPr>
                <w:rFonts w:ascii="Times New Roman"/>
                <w:color w:val="auto"/>
                <w:szCs w:val="24"/>
              </w:rPr>
              <w:t>《大气污染物排放</w:t>
            </w:r>
            <w:r>
              <w:rPr>
                <w:rFonts w:hint="eastAsia" w:ascii="Times New Roman"/>
                <w:color w:val="auto"/>
                <w:szCs w:val="24"/>
                <w:lang w:eastAsia="zh-CN"/>
              </w:rPr>
              <w:t>限值</w:t>
            </w:r>
            <w:r>
              <w:rPr>
                <w:rFonts w:ascii="Times New Roman"/>
                <w:color w:val="auto"/>
                <w:szCs w:val="24"/>
              </w:rPr>
              <w:t>》（</w:t>
            </w:r>
            <w:r>
              <w:rPr>
                <w:rFonts w:hint="eastAsia" w:ascii="Times New Roman"/>
                <w:color w:val="auto"/>
                <w:szCs w:val="24"/>
                <w:lang w:val="en-US" w:eastAsia="zh-CN"/>
              </w:rPr>
              <w:t>DB44/27-2001</w:t>
            </w:r>
            <w:r>
              <w:rPr>
                <w:rFonts w:ascii="Times New Roman"/>
                <w:color w:val="auto"/>
                <w:szCs w:val="24"/>
              </w:rPr>
              <w:t>）</w:t>
            </w:r>
            <w:r>
              <w:rPr>
                <w:rFonts w:hint="eastAsia" w:ascii="Times New Roman"/>
                <w:color w:val="auto"/>
                <w:szCs w:val="24"/>
                <w:lang w:eastAsia="zh-CN"/>
              </w:rPr>
              <w:t>第二时段二级标准无组织排放监控浓度限值</w:t>
            </w:r>
            <w:r>
              <w:rPr>
                <w:rFonts w:ascii="Times New Roman"/>
                <w:color w:val="auto"/>
                <w:szCs w:val="21"/>
              </w:rPr>
              <w:t>。</w:t>
            </w:r>
          </w:p>
          <w:p>
            <w:pPr>
              <w:pStyle w:val="46"/>
              <w:adjustRightInd w:val="0"/>
              <w:snapToGrid/>
              <w:ind w:firstLine="480" w:firstLineChars="200"/>
              <w:rPr>
                <w:rFonts w:ascii="Times New Roman"/>
                <w:color w:val="auto"/>
                <w:szCs w:val="21"/>
              </w:rPr>
            </w:pPr>
            <w:r>
              <w:rPr>
                <w:rFonts w:ascii="Times New Roman"/>
                <w:color w:val="auto"/>
                <w:szCs w:val="21"/>
              </w:rPr>
              <w:t>3、运营期执行《工业企业厂界环境噪声排放标准》（GB12348-2008）2类标准。</w:t>
            </w:r>
          </w:p>
          <w:p>
            <w:pPr>
              <w:pStyle w:val="46"/>
              <w:adjustRightInd w:val="0"/>
              <w:snapToGrid/>
              <w:ind w:firstLine="480" w:firstLineChars="200"/>
              <w:rPr>
                <w:rFonts w:ascii="Times New Roman"/>
                <w:color w:val="auto"/>
                <w:szCs w:val="21"/>
                <w:highlight w:val="yellow"/>
              </w:rPr>
            </w:pPr>
            <w:r>
              <w:rPr>
                <w:rFonts w:hint="eastAsia" w:ascii="Times New Roman"/>
                <w:color w:val="auto"/>
                <w:szCs w:val="21"/>
              </w:rPr>
              <w:t>4、本项目一般固体废物应执行《一般工业固体废物贮存、处置场污染控制标准》（GB18599-2001）（2013年修改版）及其修改单（环境保护部公告2013年第36号）中规定的贮存、处置场的运行管理环境保护要求。</w:t>
            </w:r>
          </w:p>
          <w:p>
            <w:pPr>
              <w:pStyle w:val="46"/>
              <w:adjustRightInd w:val="0"/>
              <w:snapToGrid/>
              <w:ind w:firstLine="480" w:firstLineChars="200"/>
              <w:rPr>
                <w:rFonts w:ascii="Times New Roman"/>
                <w:color w:val="auto"/>
                <w:szCs w:val="21"/>
              </w:rPr>
            </w:pPr>
            <w:r>
              <w:rPr>
                <w:rFonts w:hint="eastAsia" w:ascii="Times New Roman"/>
                <w:color w:val="auto"/>
                <w:szCs w:val="21"/>
              </w:rPr>
              <w:t>生活垃圾统一堆放，交由环卫部门集中处理，执行《生活垃圾填埋污染控制标准》（GB16889-1997）。</w:t>
            </w:r>
          </w:p>
          <w:p>
            <w:pPr>
              <w:adjustRightInd w:val="0"/>
              <w:snapToGrid w:val="0"/>
              <w:spacing w:line="360" w:lineRule="auto"/>
              <w:ind w:firstLine="480" w:firstLineChars="200"/>
              <w:rPr>
                <w:color w:val="auto"/>
                <w:sz w:val="24"/>
              </w:rPr>
            </w:pPr>
            <w:r>
              <w:rPr>
                <w:color w:val="auto"/>
                <w:sz w:val="24"/>
              </w:rPr>
              <w:t>污染物排放标准见表4-2。</w:t>
            </w:r>
          </w:p>
          <w:p>
            <w:pPr>
              <w:spacing w:line="360" w:lineRule="auto"/>
              <w:ind w:firstLine="472" w:firstLineChars="196"/>
              <w:jc w:val="center"/>
              <w:rPr>
                <w:b/>
                <w:bCs/>
                <w:color w:val="auto"/>
                <w:sz w:val="24"/>
              </w:rPr>
            </w:pPr>
            <w:r>
              <w:rPr>
                <w:b/>
                <w:bCs/>
                <w:color w:val="auto"/>
                <w:sz w:val="24"/>
              </w:rPr>
              <w:t>表4-2 污染物排放标准一览表</w:t>
            </w:r>
          </w:p>
          <w:tbl>
            <w:tblPr>
              <w:tblStyle w:val="31"/>
              <w:tblW w:w="83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2066"/>
              <w:gridCol w:w="908"/>
              <w:gridCol w:w="916"/>
              <w:gridCol w:w="742"/>
              <w:gridCol w:w="204"/>
              <w:gridCol w:w="614"/>
              <w:gridCol w:w="709"/>
              <w:gridCol w:w="49"/>
              <w:gridCol w:w="783"/>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468" w:type="dxa"/>
                  <w:vMerge w:val="restart"/>
                  <w:vAlign w:val="center"/>
                </w:tcPr>
                <w:p>
                  <w:pPr>
                    <w:adjustRightInd w:val="0"/>
                    <w:snapToGrid w:val="0"/>
                    <w:jc w:val="center"/>
                    <w:rPr>
                      <w:b/>
                      <w:color w:val="auto"/>
                      <w:szCs w:val="20"/>
                    </w:rPr>
                  </w:pPr>
                  <w:r>
                    <w:rPr>
                      <w:b/>
                      <w:color w:val="auto"/>
                      <w:szCs w:val="20"/>
                    </w:rPr>
                    <w:t>废水</w:t>
                  </w:r>
                </w:p>
              </w:tc>
              <w:tc>
                <w:tcPr>
                  <w:tcW w:w="2066" w:type="dxa"/>
                  <w:vMerge w:val="restart"/>
                  <w:vAlign w:val="center"/>
                </w:tcPr>
                <w:p>
                  <w:pPr>
                    <w:adjustRightInd w:val="0"/>
                    <w:snapToGrid w:val="0"/>
                    <w:jc w:val="center"/>
                    <w:rPr>
                      <w:color w:val="auto"/>
                      <w:szCs w:val="20"/>
                    </w:rPr>
                  </w:pPr>
                  <w:r>
                    <w:rPr>
                      <w:color w:val="auto"/>
                      <w:szCs w:val="20"/>
                    </w:rPr>
                    <w:t>《城市污水再生利用 城市杂用水水质》（GB/T18920-2002）中城市绿化水质标准</w:t>
                  </w:r>
                </w:p>
              </w:tc>
              <w:tc>
                <w:tcPr>
                  <w:tcW w:w="908" w:type="dxa"/>
                  <w:vAlign w:val="center"/>
                </w:tcPr>
                <w:p>
                  <w:pPr>
                    <w:adjustRightInd w:val="0"/>
                    <w:snapToGrid w:val="0"/>
                    <w:jc w:val="center"/>
                    <w:rPr>
                      <w:b/>
                      <w:color w:val="auto"/>
                      <w:szCs w:val="20"/>
                    </w:rPr>
                  </w:pPr>
                  <w:r>
                    <w:rPr>
                      <w:b/>
                      <w:color w:val="auto"/>
                      <w:szCs w:val="20"/>
                    </w:rPr>
                    <w:t>污染物</w:t>
                  </w:r>
                </w:p>
              </w:tc>
              <w:tc>
                <w:tcPr>
                  <w:tcW w:w="916" w:type="dxa"/>
                  <w:vAlign w:val="center"/>
                </w:tcPr>
                <w:p>
                  <w:pPr>
                    <w:adjustRightInd w:val="0"/>
                    <w:snapToGrid w:val="0"/>
                    <w:jc w:val="center"/>
                    <w:rPr>
                      <w:b/>
                      <w:color w:val="auto"/>
                      <w:szCs w:val="20"/>
                    </w:rPr>
                  </w:pPr>
                  <w:r>
                    <w:rPr>
                      <w:b/>
                      <w:color w:val="auto"/>
                      <w:szCs w:val="20"/>
                    </w:rPr>
                    <w:t>CODcr</w:t>
                  </w:r>
                </w:p>
              </w:tc>
              <w:tc>
                <w:tcPr>
                  <w:tcW w:w="742" w:type="dxa"/>
                  <w:vAlign w:val="center"/>
                </w:tcPr>
                <w:p>
                  <w:pPr>
                    <w:adjustRightInd w:val="0"/>
                    <w:snapToGrid w:val="0"/>
                    <w:jc w:val="center"/>
                    <w:rPr>
                      <w:b/>
                      <w:color w:val="auto"/>
                      <w:szCs w:val="20"/>
                    </w:rPr>
                  </w:pPr>
                  <w:r>
                    <w:rPr>
                      <w:b/>
                      <w:color w:val="auto"/>
                      <w:szCs w:val="20"/>
                    </w:rPr>
                    <w:t>BOD</w:t>
                  </w:r>
                  <w:r>
                    <w:rPr>
                      <w:b/>
                      <w:color w:val="auto"/>
                      <w:szCs w:val="20"/>
                      <w:vertAlign w:val="subscript"/>
                    </w:rPr>
                    <w:t>5</w:t>
                  </w:r>
                </w:p>
              </w:tc>
              <w:tc>
                <w:tcPr>
                  <w:tcW w:w="818" w:type="dxa"/>
                  <w:gridSpan w:val="2"/>
                  <w:vAlign w:val="center"/>
                </w:tcPr>
                <w:p>
                  <w:pPr>
                    <w:adjustRightInd w:val="0"/>
                    <w:snapToGrid w:val="0"/>
                    <w:jc w:val="center"/>
                    <w:rPr>
                      <w:b/>
                      <w:color w:val="auto"/>
                      <w:szCs w:val="20"/>
                    </w:rPr>
                  </w:pPr>
                  <w:r>
                    <w:rPr>
                      <w:b/>
                      <w:color w:val="auto"/>
                      <w:szCs w:val="20"/>
                    </w:rPr>
                    <w:t>SS</w:t>
                  </w:r>
                </w:p>
              </w:tc>
              <w:tc>
                <w:tcPr>
                  <w:tcW w:w="709" w:type="dxa"/>
                  <w:vAlign w:val="center"/>
                </w:tcPr>
                <w:p>
                  <w:pPr>
                    <w:adjustRightInd w:val="0"/>
                    <w:snapToGrid w:val="0"/>
                    <w:jc w:val="center"/>
                    <w:rPr>
                      <w:b/>
                      <w:color w:val="auto"/>
                      <w:szCs w:val="20"/>
                    </w:rPr>
                  </w:pPr>
                  <w:r>
                    <w:rPr>
                      <w:b/>
                      <w:color w:val="auto"/>
                      <w:szCs w:val="20"/>
                    </w:rPr>
                    <w:t>氨氮</w:t>
                  </w:r>
                </w:p>
              </w:tc>
              <w:tc>
                <w:tcPr>
                  <w:tcW w:w="832" w:type="dxa"/>
                  <w:gridSpan w:val="2"/>
                  <w:vAlign w:val="center"/>
                </w:tcPr>
                <w:p>
                  <w:pPr>
                    <w:adjustRightInd w:val="0"/>
                    <w:snapToGrid w:val="0"/>
                    <w:jc w:val="center"/>
                    <w:rPr>
                      <w:b/>
                      <w:color w:val="auto"/>
                      <w:szCs w:val="20"/>
                    </w:rPr>
                  </w:pPr>
                  <w:r>
                    <w:rPr>
                      <w:b/>
                      <w:color w:val="auto"/>
                      <w:szCs w:val="20"/>
                    </w:rPr>
                    <w:t>pH</w:t>
                  </w:r>
                </w:p>
              </w:tc>
              <w:tc>
                <w:tcPr>
                  <w:tcW w:w="863" w:type="dxa"/>
                  <w:vAlign w:val="center"/>
                </w:tcPr>
                <w:p>
                  <w:pPr>
                    <w:adjustRightInd w:val="0"/>
                    <w:snapToGrid w:val="0"/>
                    <w:jc w:val="center"/>
                    <w:rPr>
                      <w:b/>
                      <w:color w:val="auto"/>
                      <w:szCs w:val="20"/>
                    </w:rPr>
                  </w:pPr>
                  <w:r>
                    <w:rPr>
                      <w:b/>
                      <w:color w:val="auto"/>
                      <w:szCs w:val="2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468" w:type="dxa"/>
                  <w:vMerge w:val="continue"/>
                  <w:vAlign w:val="center"/>
                </w:tcPr>
                <w:p>
                  <w:pPr>
                    <w:adjustRightInd w:val="0"/>
                    <w:snapToGrid w:val="0"/>
                    <w:jc w:val="center"/>
                    <w:rPr>
                      <w:b/>
                      <w:color w:val="auto"/>
                      <w:szCs w:val="20"/>
                    </w:rPr>
                  </w:pPr>
                </w:p>
              </w:tc>
              <w:tc>
                <w:tcPr>
                  <w:tcW w:w="2066" w:type="dxa"/>
                  <w:vMerge w:val="continue"/>
                  <w:vAlign w:val="center"/>
                </w:tcPr>
                <w:p>
                  <w:pPr>
                    <w:adjustRightInd w:val="0"/>
                    <w:snapToGrid w:val="0"/>
                    <w:jc w:val="center"/>
                    <w:rPr>
                      <w:color w:val="auto"/>
                      <w:szCs w:val="20"/>
                    </w:rPr>
                  </w:pPr>
                </w:p>
              </w:tc>
              <w:tc>
                <w:tcPr>
                  <w:tcW w:w="908" w:type="dxa"/>
                  <w:vAlign w:val="center"/>
                </w:tcPr>
                <w:p>
                  <w:pPr>
                    <w:adjustRightInd w:val="0"/>
                    <w:snapToGrid w:val="0"/>
                    <w:jc w:val="center"/>
                    <w:rPr>
                      <w:color w:val="auto"/>
                      <w:szCs w:val="20"/>
                    </w:rPr>
                  </w:pPr>
                  <w:r>
                    <w:rPr>
                      <w:color w:val="auto"/>
                      <w:szCs w:val="20"/>
                    </w:rPr>
                    <w:t>标准值</w:t>
                  </w:r>
                </w:p>
              </w:tc>
              <w:tc>
                <w:tcPr>
                  <w:tcW w:w="916" w:type="dxa"/>
                  <w:vAlign w:val="center"/>
                </w:tcPr>
                <w:p>
                  <w:pPr>
                    <w:adjustRightInd w:val="0"/>
                    <w:snapToGrid w:val="0"/>
                    <w:spacing w:before="66" w:beforeLines="20" w:after="66" w:afterLines="20"/>
                    <w:jc w:val="center"/>
                    <w:rPr>
                      <w:color w:val="auto"/>
                      <w:szCs w:val="20"/>
                    </w:rPr>
                  </w:pPr>
                  <w:r>
                    <w:rPr>
                      <w:rFonts w:hint="eastAsia"/>
                      <w:color w:val="auto"/>
                      <w:szCs w:val="20"/>
                    </w:rPr>
                    <w:t>/</w:t>
                  </w:r>
                </w:p>
              </w:tc>
              <w:tc>
                <w:tcPr>
                  <w:tcW w:w="742" w:type="dxa"/>
                  <w:vAlign w:val="center"/>
                </w:tcPr>
                <w:p>
                  <w:pPr>
                    <w:adjustRightInd w:val="0"/>
                    <w:snapToGrid w:val="0"/>
                    <w:spacing w:before="66" w:beforeLines="20" w:after="66" w:afterLines="20"/>
                    <w:jc w:val="center"/>
                    <w:rPr>
                      <w:color w:val="auto"/>
                      <w:szCs w:val="20"/>
                    </w:rPr>
                  </w:pPr>
                  <w:r>
                    <w:rPr>
                      <w:rFonts w:hint="eastAsia"/>
                      <w:color w:val="auto"/>
                      <w:szCs w:val="20"/>
                    </w:rPr>
                    <w:t>20</w:t>
                  </w:r>
                </w:p>
              </w:tc>
              <w:tc>
                <w:tcPr>
                  <w:tcW w:w="818" w:type="dxa"/>
                  <w:gridSpan w:val="2"/>
                  <w:vAlign w:val="center"/>
                </w:tcPr>
                <w:p>
                  <w:pPr>
                    <w:adjustRightInd w:val="0"/>
                    <w:snapToGrid w:val="0"/>
                    <w:spacing w:before="66" w:beforeLines="20" w:after="66" w:afterLines="20"/>
                    <w:jc w:val="center"/>
                    <w:rPr>
                      <w:color w:val="auto"/>
                      <w:szCs w:val="20"/>
                    </w:rPr>
                  </w:pPr>
                  <w:r>
                    <w:rPr>
                      <w:rFonts w:hint="eastAsia"/>
                      <w:color w:val="auto"/>
                      <w:szCs w:val="20"/>
                    </w:rPr>
                    <w:t>/</w:t>
                  </w:r>
                </w:p>
              </w:tc>
              <w:tc>
                <w:tcPr>
                  <w:tcW w:w="709" w:type="dxa"/>
                  <w:vAlign w:val="center"/>
                </w:tcPr>
                <w:p>
                  <w:pPr>
                    <w:adjustRightInd w:val="0"/>
                    <w:snapToGrid w:val="0"/>
                    <w:spacing w:before="66" w:beforeLines="20" w:after="66" w:afterLines="20"/>
                    <w:jc w:val="center"/>
                    <w:rPr>
                      <w:color w:val="auto"/>
                      <w:szCs w:val="20"/>
                    </w:rPr>
                  </w:pPr>
                  <w:r>
                    <w:rPr>
                      <w:rFonts w:hint="eastAsia"/>
                      <w:color w:val="auto"/>
                      <w:szCs w:val="20"/>
                    </w:rPr>
                    <w:t>20</w:t>
                  </w:r>
                </w:p>
              </w:tc>
              <w:tc>
                <w:tcPr>
                  <w:tcW w:w="832" w:type="dxa"/>
                  <w:gridSpan w:val="2"/>
                  <w:vAlign w:val="center"/>
                </w:tcPr>
                <w:p>
                  <w:pPr>
                    <w:adjustRightInd w:val="0"/>
                    <w:snapToGrid w:val="0"/>
                    <w:jc w:val="center"/>
                    <w:rPr>
                      <w:color w:val="auto"/>
                      <w:szCs w:val="20"/>
                    </w:rPr>
                  </w:pPr>
                  <w:r>
                    <w:rPr>
                      <w:rFonts w:hint="eastAsia"/>
                      <w:color w:val="auto"/>
                      <w:szCs w:val="20"/>
                    </w:rPr>
                    <w:t>6.0</w:t>
                  </w:r>
                  <w:r>
                    <w:rPr>
                      <w:color w:val="auto"/>
                      <w:szCs w:val="20"/>
                    </w:rPr>
                    <w:t>-</w:t>
                  </w:r>
                  <w:r>
                    <w:rPr>
                      <w:rFonts w:hint="eastAsia"/>
                      <w:color w:val="auto"/>
                      <w:szCs w:val="20"/>
                    </w:rPr>
                    <w:t>9.0</w:t>
                  </w:r>
                </w:p>
              </w:tc>
              <w:tc>
                <w:tcPr>
                  <w:tcW w:w="863" w:type="dxa"/>
                  <w:vAlign w:val="center"/>
                </w:tcPr>
                <w:p>
                  <w:pPr>
                    <w:adjustRightInd w:val="0"/>
                    <w:snapToGrid w:val="0"/>
                    <w:jc w:val="center"/>
                    <w:rPr>
                      <w:color w:val="auto"/>
                      <w:szCs w:val="20"/>
                    </w:rPr>
                  </w:pPr>
                  <w:r>
                    <w:rPr>
                      <w:color w:val="auto"/>
                      <w:szCs w:val="20"/>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jc w:val="center"/>
              </w:trPr>
              <w:tc>
                <w:tcPr>
                  <w:tcW w:w="468" w:type="dxa"/>
                  <w:vMerge w:val="restart"/>
                  <w:vAlign w:val="center"/>
                </w:tcPr>
                <w:p>
                  <w:pPr>
                    <w:adjustRightInd w:val="0"/>
                    <w:snapToGrid w:val="0"/>
                    <w:jc w:val="center"/>
                    <w:rPr>
                      <w:b/>
                      <w:color w:val="auto"/>
                      <w:szCs w:val="20"/>
                    </w:rPr>
                  </w:pPr>
                  <w:r>
                    <w:rPr>
                      <w:b/>
                      <w:color w:val="auto"/>
                      <w:szCs w:val="20"/>
                    </w:rPr>
                    <w:t>废气</w:t>
                  </w:r>
                </w:p>
              </w:tc>
              <w:tc>
                <w:tcPr>
                  <w:tcW w:w="2066" w:type="dxa"/>
                  <w:vMerge w:val="restart"/>
                  <w:vAlign w:val="center"/>
                </w:tcPr>
                <w:p>
                  <w:pPr>
                    <w:adjustRightInd w:val="0"/>
                    <w:snapToGrid w:val="0"/>
                    <w:jc w:val="center"/>
                    <w:rPr>
                      <w:color w:val="auto"/>
                      <w:szCs w:val="20"/>
                    </w:rPr>
                  </w:pPr>
                  <w:r>
                    <w:rPr>
                      <w:rFonts w:hint="eastAsia" w:ascii="Times New Roman"/>
                      <w:color w:val="auto"/>
                      <w:szCs w:val="24"/>
                      <w:lang w:eastAsia="zh-CN"/>
                    </w:rPr>
                    <w:t>广东省地方标准</w:t>
                  </w:r>
                  <w:r>
                    <w:rPr>
                      <w:rFonts w:ascii="Times New Roman"/>
                      <w:color w:val="auto"/>
                      <w:szCs w:val="24"/>
                    </w:rPr>
                    <w:t>《大气污染物排放</w:t>
                  </w:r>
                  <w:r>
                    <w:rPr>
                      <w:rFonts w:hint="eastAsia" w:ascii="Times New Roman"/>
                      <w:color w:val="auto"/>
                      <w:szCs w:val="24"/>
                      <w:lang w:eastAsia="zh-CN"/>
                    </w:rPr>
                    <w:t>限值</w:t>
                  </w:r>
                  <w:r>
                    <w:rPr>
                      <w:rFonts w:ascii="Times New Roman"/>
                      <w:color w:val="auto"/>
                      <w:szCs w:val="24"/>
                    </w:rPr>
                    <w:t>》（</w:t>
                  </w:r>
                  <w:r>
                    <w:rPr>
                      <w:rFonts w:hint="eastAsia" w:ascii="Times New Roman"/>
                      <w:color w:val="auto"/>
                      <w:szCs w:val="24"/>
                      <w:lang w:val="en-US" w:eastAsia="zh-CN"/>
                    </w:rPr>
                    <w:t>DB44/27-2001</w:t>
                  </w:r>
                  <w:r>
                    <w:rPr>
                      <w:rFonts w:ascii="Times New Roman"/>
                      <w:color w:val="auto"/>
                      <w:szCs w:val="24"/>
                    </w:rPr>
                    <w:t>）</w:t>
                  </w:r>
                  <w:r>
                    <w:rPr>
                      <w:rFonts w:hint="eastAsia" w:ascii="Times New Roman"/>
                      <w:color w:val="auto"/>
                      <w:szCs w:val="24"/>
                      <w:lang w:eastAsia="zh-CN"/>
                    </w:rPr>
                    <w:t>第二时段二级标准</w:t>
                  </w:r>
                </w:p>
              </w:tc>
              <w:tc>
                <w:tcPr>
                  <w:tcW w:w="908" w:type="dxa"/>
                  <w:tcBorders>
                    <w:top w:val="single" w:color="auto" w:sz="8" w:space="0"/>
                  </w:tcBorders>
                  <w:vAlign w:val="center"/>
                </w:tcPr>
                <w:p>
                  <w:pPr>
                    <w:widowControl/>
                    <w:jc w:val="center"/>
                    <w:rPr>
                      <w:color w:val="auto"/>
                      <w:szCs w:val="20"/>
                    </w:rPr>
                  </w:pPr>
                  <w:r>
                    <w:rPr>
                      <w:b/>
                      <w:color w:val="auto"/>
                      <w:szCs w:val="20"/>
                    </w:rPr>
                    <w:t>污染物</w:t>
                  </w:r>
                </w:p>
              </w:tc>
              <w:tc>
                <w:tcPr>
                  <w:tcW w:w="3234" w:type="dxa"/>
                  <w:gridSpan w:val="6"/>
                  <w:tcBorders>
                    <w:top w:val="single" w:color="auto" w:sz="8" w:space="0"/>
                  </w:tcBorders>
                  <w:vAlign w:val="center"/>
                </w:tcPr>
                <w:p>
                  <w:pPr>
                    <w:adjustRightInd w:val="0"/>
                    <w:snapToGrid w:val="0"/>
                    <w:jc w:val="center"/>
                    <w:rPr>
                      <w:b/>
                      <w:color w:val="auto"/>
                      <w:szCs w:val="20"/>
                    </w:rPr>
                  </w:pPr>
                  <w:r>
                    <w:rPr>
                      <w:b/>
                      <w:color w:val="auto"/>
                      <w:szCs w:val="20"/>
                    </w:rPr>
                    <w:t>最高允许排放浓度(</w:t>
                  </w:r>
                  <w:r>
                    <w:rPr>
                      <w:color w:val="auto"/>
                      <w:szCs w:val="20"/>
                    </w:rPr>
                    <w:t>mg/m</w:t>
                  </w:r>
                  <w:r>
                    <w:rPr>
                      <w:color w:val="auto"/>
                      <w:szCs w:val="20"/>
                      <w:vertAlign w:val="superscript"/>
                    </w:rPr>
                    <w:t>3</w:t>
                  </w:r>
                  <w:r>
                    <w:rPr>
                      <w:color w:val="auto"/>
                      <w:szCs w:val="20"/>
                    </w:rPr>
                    <w:t>)</w:t>
                  </w:r>
                </w:p>
              </w:tc>
              <w:tc>
                <w:tcPr>
                  <w:tcW w:w="1646" w:type="dxa"/>
                  <w:gridSpan w:val="2"/>
                  <w:tcBorders>
                    <w:top w:val="single" w:color="auto" w:sz="8" w:space="0"/>
                  </w:tcBorders>
                  <w:vAlign w:val="center"/>
                </w:tcPr>
                <w:p>
                  <w:pPr>
                    <w:jc w:val="center"/>
                    <w:rPr>
                      <w:b/>
                      <w:color w:val="auto"/>
                      <w:szCs w:val="20"/>
                    </w:rPr>
                  </w:pPr>
                  <w:r>
                    <w:rPr>
                      <w:b/>
                      <w:color w:val="auto"/>
                      <w:szCs w:val="20"/>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468" w:type="dxa"/>
                  <w:vMerge w:val="continue"/>
                  <w:vAlign w:val="center"/>
                </w:tcPr>
                <w:p>
                  <w:pPr>
                    <w:adjustRightInd w:val="0"/>
                    <w:snapToGrid w:val="0"/>
                    <w:jc w:val="center"/>
                    <w:rPr>
                      <w:b/>
                      <w:color w:val="auto"/>
                      <w:szCs w:val="20"/>
                    </w:rPr>
                  </w:pPr>
                </w:p>
              </w:tc>
              <w:tc>
                <w:tcPr>
                  <w:tcW w:w="2066" w:type="dxa"/>
                  <w:vMerge w:val="continue"/>
                  <w:vAlign w:val="center"/>
                </w:tcPr>
                <w:p>
                  <w:pPr>
                    <w:adjustRightInd w:val="0"/>
                    <w:snapToGrid w:val="0"/>
                    <w:jc w:val="center"/>
                    <w:rPr>
                      <w:color w:val="auto"/>
                      <w:szCs w:val="20"/>
                    </w:rPr>
                  </w:pPr>
                </w:p>
              </w:tc>
              <w:tc>
                <w:tcPr>
                  <w:tcW w:w="908" w:type="dxa"/>
                  <w:tcBorders>
                    <w:top w:val="single" w:color="auto" w:sz="8" w:space="0"/>
                  </w:tcBorders>
                  <w:vAlign w:val="center"/>
                </w:tcPr>
                <w:p>
                  <w:pPr>
                    <w:jc w:val="center"/>
                    <w:rPr>
                      <w:rFonts w:hint="eastAsia" w:eastAsia="宋体"/>
                      <w:color w:val="auto"/>
                      <w:lang w:eastAsia="zh-CN"/>
                    </w:rPr>
                  </w:pPr>
                  <w:r>
                    <w:rPr>
                      <w:rFonts w:hint="eastAsia"/>
                      <w:color w:val="auto"/>
                      <w:lang w:eastAsia="zh-CN"/>
                    </w:rPr>
                    <w:t>颗粒物</w:t>
                  </w:r>
                </w:p>
              </w:tc>
              <w:tc>
                <w:tcPr>
                  <w:tcW w:w="3234" w:type="dxa"/>
                  <w:gridSpan w:val="6"/>
                  <w:tcBorders>
                    <w:top w:val="single" w:color="auto" w:sz="8" w:space="0"/>
                  </w:tcBorders>
                  <w:vAlign w:val="center"/>
                </w:tcPr>
                <w:p>
                  <w:pPr>
                    <w:jc w:val="center"/>
                    <w:rPr>
                      <w:rFonts w:hint="eastAsia" w:eastAsia="宋体"/>
                      <w:color w:val="auto"/>
                      <w:szCs w:val="20"/>
                      <w:lang w:val="en-US" w:eastAsia="zh-CN"/>
                    </w:rPr>
                  </w:pPr>
                  <w:r>
                    <w:rPr>
                      <w:rFonts w:hint="eastAsia"/>
                      <w:color w:val="auto"/>
                      <w:szCs w:val="20"/>
                      <w:lang w:val="en-US" w:eastAsia="zh-CN"/>
                    </w:rPr>
                    <w:t>120</w:t>
                  </w:r>
                </w:p>
              </w:tc>
              <w:tc>
                <w:tcPr>
                  <w:tcW w:w="1646" w:type="dxa"/>
                  <w:gridSpan w:val="2"/>
                  <w:tcBorders>
                    <w:top w:val="single" w:color="auto" w:sz="8" w:space="0"/>
                  </w:tcBorders>
                  <w:vAlign w:val="center"/>
                </w:tcPr>
                <w:p>
                  <w:pPr>
                    <w:adjustRightInd w:val="0"/>
                    <w:snapToGrid w:val="0"/>
                    <w:jc w:val="center"/>
                    <w:rPr>
                      <w:rFonts w:hint="eastAsia" w:eastAsia="宋体"/>
                      <w:color w:val="auto"/>
                      <w:szCs w:val="20"/>
                      <w:lang w:eastAsia="zh-CN"/>
                    </w:rPr>
                  </w:pPr>
                  <w:r>
                    <w:rPr>
                      <w:rFonts w:hint="eastAsia"/>
                      <w:color w:val="auto"/>
                      <w:szCs w:val="20"/>
                      <w:lang w:eastAsia="zh-CN"/>
                    </w:rPr>
                    <w:t>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468" w:type="dxa"/>
                  <w:vMerge w:val="continue"/>
                  <w:vAlign w:val="center"/>
                </w:tcPr>
                <w:p>
                  <w:pPr>
                    <w:adjustRightInd w:val="0"/>
                    <w:snapToGrid w:val="0"/>
                    <w:jc w:val="center"/>
                    <w:rPr>
                      <w:b/>
                      <w:color w:val="auto"/>
                      <w:szCs w:val="20"/>
                    </w:rPr>
                  </w:pPr>
                </w:p>
              </w:tc>
              <w:tc>
                <w:tcPr>
                  <w:tcW w:w="2066" w:type="dxa"/>
                  <w:vMerge w:val="restart"/>
                  <w:vAlign w:val="center"/>
                </w:tcPr>
                <w:p>
                  <w:pPr>
                    <w:adjustRightInd w:val="0"/>
                    <w:snapToGrid w:val="0"/>
                    <w:jc w:val="center"/>
                    <w:rPr>
                      <w:color w:val="auto"/>
                      <w:szCs w:val="20"/>
                    </w:rPr>
                  </w:pPr>
                  <w:r>
                    <w:rPr>
                      <w:rFonts w:hint="eastAsia" w:ascii="Times New Roman"/>
                      <w:color w:val="auto"/>
                      <w:szCs w:val="24"/>
                      <w:lang w:eastAsia="zh-CN"/>
                    </w:rPr>
                    <w:t>广东省地方标准</w:t>
                  </w:r>
                  <w:r>
                    <w:rPr>
                      <w:rFonts w:ascii="Times New Roman"/>
                      <w:color w:val="auto"/>
                      <w:szCs w:val="24"/>
                    </w:rPr>
                    <w:t>《大气污染物排放</w:t>
                  </w:r>
                  <w:r>
                    <w:rPr>
                      <w:rFonts w:hint="eastAsia" w:ascii="Times New Roman"/>
                      <w:color w:val="auto"/>
                      <w:szCs w:val="24"/>
                      <w:lang w:eastAsia="zh-CN"/>
                    </w:rPr>
                    <w:t>限值</w:t>
                  </w:r>
                  <w:r>
                    <w:rPr>
                      <w:rFonts w:ascii="Times New Roman"/>
                      <w:color w:val="auto"/>
                      <w:szCs w:val="24"/>
                    </w:rPr>
                    <w:t>》（</w:t>
                  </w:r>
                  <w:r>
                    <w:rPr>
                      <w:rFonts w:hint="eastAsia" w:ascii="Times New Roman"/>
                      <w:color w:val="auto"/>
                      <w:szCs w:val="24"/>
                      <w:lang w:val="en-US" w:eastAsia="zh-CN"/>
                    </w:rPr>
                    <w:t>DB44/27-2001</w:t>
                  </w:r>
                  <w:r>
                    <w:rPr>
                      <w:rFonts w:ascii="Times New Roman"/>
                      <w:color w:val="auto"/>
                      <w:szCs w:val="24"/>
                    </w:rPr>
                    <w:t>）</w:t>
                  </w:r>
                  <w:r>
                    <w:rPr>
                      <w:rFonts w:hint="eastAsia" w:ascii="Times New Roman"/>
                      <w:color w:val="auto"/>
                      <w:szCs w:val="24"/>
                      <w:lang w:eastAsia="zh-CN"/>
                    </w:rPr>
                    <w:t>第二时段二级标准无组织排放监控浓度限值</w:t>
                  </w:r>
                </w:p>
              </w:tc>
              <w:tc>
                <w:tcPr>
                  <w:tcW w:w="908" w:type="dxa"/>
                  <w:tcBorders>
                    <w:top w:val="single" w:color="auto" w:sz="8" w:space="0"/>
                  </w:tcBorders>
                  <w:vAlign w:val="center"/>
                </w:tcPr>
                <w:p>
                  <w:pPr>
                    <w:widowControl/>
                    <w:jc w:val="center"/>
                    <w:rPr>
                      <w:color w:val="auto"/>
                      <w:szCs w:val="20"/>
                    </w:rPr>
                  </w:pPr>
                  <w:r>
                    <w:rPr>
                      <w:b/>
                      <w:color w:val="auto"/>
                      <w:szCs w:val="20"/>
                    </w:rPr>
                    <w:t>污染物</w:t>
                  </w:r>
                </w:p>
              </w:tc>
              <w:tc>
                <w:tcPr>
                  <w:tcW w:w="3234" w:type="dxa"/>
                  <w:gridSpan w:val="6"/>
                  <w:vAlign w:val="center"/>
                </w:tcPr>
                <w:p>
                  <w:pPr>
                    <w:adjustRightInd w:val="0"/>
                    <w:snapToGrid w:val="0"/>
                    <w:jc w:val="center"/>
                    <w:rPr>
                      <w:b/>
                      <w:color w:val="auto"/>
                      <w:szCs w:val="20"/>
                    </w:rPr>
                  </w:pPr>
                  <w:r>
                    <w:rPr>
                      <w:b/>
                      <w:color w:val="auto"/>
                      <w:szCs w:val="20"/>
                    </w:rPr>
                    <w:t>浓度限值(</w:t>
                  </w:r>
                  <w:r>
                    <w:rPr>
                      <w:color w:val="auto"/>
                      <w:szCs w:val="20"/>
                    </w:rPr>
                    <w:t>mg/m</w:t>
                  </w:r>
                  <w:r>
                    <w:rPr>
                      <w:color w:val="auto"/>
                      <w:szCs w:val="20"/>
                      <w:vertAlign w:val="superscript"/>
                    </w:rPr>
                    <w:t>3</w:t>
                  </w:r>
                  <w:r>
                    <w:rPr>
                      <w:color w:val="auto"/>
                      <w:szCs w:val="20"/>
                    </w:rPr>
                    <w:t>)</w:t>
                  </w:r>
                </w:p>
              </w:tc>
              <w:tc>
                <w:tcPr>
                  <w:tcW w:w="1646" w:type="dxa"/>
                  <w:gridSpan w:val="2"/>
                  <w:vAlign w:val="center"/>
                </w:tcPr>
                <w:p>
                  <w:pPr>
                    <w:jc w:val="center"/>
                    <w:rPr>
                      <w:b/>
                      <w:color w:val="auto"/>
                      <w:szCs w:val="20"/>
                    </w:rPr>
                  </w:pPr>
                  <w:r>
                    <w:rPr>
                      <w:b/>
                      <w:color w:val="auto"/>
                      <w:szCs w:val="20"/>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468" w:type="dxa"/>
                  <w:vMerge w:val="continue"/>
                  <w:vAlign w:val="center"/>
                </w:tcPr>
                <w:p>
                  <w:pPr>
                    <w:adjustRightInd w:val="0"/>
                    <w:snapToGrid w:val="0"/>
                    <w:jc w:val="center"/>
                    <w:rPr>
                      <w:b/>
                      <w:color w:val="auto"/>
                      <w:szCs w:val="20"/>
                    </w:rPr>
                  </w:pPr>
                </w:p>
              </w:tc>
              <w:tc>
                <w:tcPr>
                  <w:tcW w:w="2066" w:type="dxa"/>
                  <w:vMerge w:val="continue"/>
                  <w:vAlign w:val="center"/>
                </w:tcPr>
                <w:p>
                  <w:pPr>
                    <w:adjustRightInd w:val="0"/>
                    <w:snapToGrid w:val="0"/>
                    <w:jc w:val="center"/>
                    <w:rPr>
                      <w:color w:val="auto"/>
                      <w:szCs w:val="20"/>
                    </w:rPr>
                  </w:pPr>
                </w:p>
              </w:tc>
              <w:tc>
                <w:tcPr>
                  <w:tcW w:w="908" w:type="dxa"/>
                  <w:tcBorders>
                    <w:top w:val="single" w:color="auto" w:sz="8" w:space="0"/>
                  </w:tcBorders>
                  <w:vAlign w:val="center"/>
                </w:tcPr>
                <w:p>
                  <w:pPr>
                    <w:jc w:val="center"/>
                    <w:rPr>
                      <w:rFonts w:hint="eastAsia" w:eastAsia="宋体"/>
                      <w:color w:val="auto"/>
                      <w:lang w:eastAsia="zh-CN"/>
                    </w:rPr>
                  </w:pPr>
                  <w:r>
                    <w:rPr>
                      <w:rFonts w:hint="eastAsia"/>
                      <w:color w:val="auto"/>
                      <w:lang w:eastAsia="zh-CN"/>
                    </w:rPr>
                    <w:t>颗粒物</w:t>
                  </w:r>
                </w:p>
              </w:tc>
              <w:tc>
                <w:tcPr>
                  <w:tcW w:w="3234" w:type="dxa"/>
                  <w:gridSpan w:val="6"/>
                  <w:vAlign w:val="center"/>
                </w:tcPr>
                <w:p>
                  <w:pPr>
                    <w:jc w:val="center"/>
                    <w:rPr>
                      <w:color w:val="auto"/>
                      <w:szCs w:val="20"/>
                    </w:rPr>
                  </w:pPr>
                  <w:r>
                    <w:rPr>
                      <w:color w:val="auto"/>
                      <w:szCs w:val="20"/>
                    </w:rPr>
                    <w:t>1.0</w:t>
                  </w:r>
                </w:p>
              </w:tc>
              <w:tc>
                <w:tcPr>
                  <w:tcW w:w="1646" w:type="dxa"/>
                  <w:gridSpan w:val="2"/>
                  <w:vAlign w:val="center"/>
                </w:tcPr>
                <w:p>
                  <w:pPr>
                    <w:adjustRightInd w:val="0"/>
                    <w:snapToGrid w:val="0"/>
                    <w:jc w:val="center"/>
                    <w:rPr>
                      <w:color w:val="auto"/>
                      <w:szCs w:val="20"/>
                    </w:rPr>
                  </w:pPr>
                  <w:r>
                    <w:rPr>
                      <w:color w:val="auto"/>
                      <w:szCs w:val="20"/>
                    </w:rPr>
                    <w:t>企业边界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468" w:type="dxa"/>
                  <w:vAlign w:val="center"/>
                </w:tcPr>
                <w:p>
                  <w:pPr>
                    <w:adjustRightInd w:val="0"/>
                    <w:snapToGrid w:val="0"/>
                    <w:jc w:val="center"/>
                    <w:rPr>
                      <w:rFonts w:hint="eastAsia" w:eastAsia="宋体"/>
                      <w:color w:val="auto"/>
                      <w:szCs w:val="20"/>
                      <w:lang w:eastAsia="zh-CN"/>
                    </w:rPr>
                  </w:pPr>
                  <w:r>
                    <w:rPr>
                      <w:rFonts w:hint="eastAsia"/>
                      <w:b/>
                      <w:bCs/>
                      <w:color w:val="auto"/>
                      <w:szCs w:val="20"/>
                      <w:lang w:eastAsia="zh-CN"/>
                    </w:rPr>
                    <w:t>噪声</w:t>
                  </w:r>
                </w:p>
              </w:tc>
              <w:tc>
                <w:tcPr>
                  <w:tcW w:w="2066" w:type="dxa"/>
                  <w:vAlign w:val="center"/>
                </w:tcPr>
                <w:p>
                  <w:pPr>
                    <w:adjustRightInd w:val="0"/>
                    <w:snapToGrid w:val="0"/>
                    <w:jc w:val="center"/>
                    <w:rPr>
                      <w:color w:val="auto"/>
                      <w:szCs w:val="20"/>
                    </w:rPr>
                  </w:pPr>
                  <w:r>
                    <w:rPr>
                      <w:color w:val="auto"/>
                      <w:szCs w:val="20"/>
                    </w:rPr>
                    <w:t>《工业企业厂界环境噪声排放标准》（GB12348-2008）</w:t>
                  </w:r>
                </w:p>
              </w:tc>
              <w:tc>
                <w:tcPr>
                  <w:tcW w:w="908" w:type="dxa"/>
                  <w:vAlign w:val="center"/>
                </w:tcPr>
                <w:p>
                  <w:pPr>
                    <w:adjustRightInd w:val="0"/>
                    <w:snapToGrid w:val="0"/>
                    <w:jc w:val="center"/>
                    <w:rPr>
                      <w:color w:val="auto"/>
                      <w:szCs w:val="20"/>
                    </w:rPr>
                  </w:pPr>
                  <w:r>
                    <w:rPr>
                      <w:color w:val="auto"/>
                      <w:szCs w:val="20"/>
                    </w:rPr>
                    <w:t>2类</w:t>
                  </w:r>
                </w:p>
              </w:tc>
              <w:tc>
                <w:tcPr>
                  <w:tcW w:w="1862" w:type="dxa"/>
                  <w:gridSpan w:val="3"/>
                  <w:vAlign w:val="center"/>
                </w:tcPr>
                <w:p>
                  <w:pPr>
                    <w:adjustRightInd w:val="0"/>
                    <w:snapToGrid w:val="0"/>
                    <w:jc w:val="center"/>
                    <w:rPr>
                      <w:color w:val="auto"/>
                      <w:szCs w:val="20"/>
                    </w:rPr>
                  </w:pPr>
                  <w:r>
                    <w:rPr>
                      <w:color w:val="auto"/>
                      <w:szCs w:val="20"/>
                    </w:rPr>
                    <w:t>60</w:t>
                  </w:r>
                </w:p>
              </w:tc>
              <w:tc>
                <w:tcPr>
                  <w:tcW w:w="2155" w:type="dxa"/>
                  <w:gridSpan w:val="4"/>
                  <w:vAlign w:val="center"/>
                </w:tcPr>
                <w:p>
                  <w:pPr>
                    <w:adjustRightInd w:val="0"/>
                    <w:snapToGrid w:val="0"/>
                    <w:jc w:val="center"/>
                    <w:rPr>
                      <w:color w:val="auto"/>
                      <w:szCs w:val="20"/>
                    </w:rPr>
                  </w:pPr>
                  <w:r>
                    <w:rPr>
                      <w:color w:val="auto"/>
                      <w:szCs w:val="20"/>
                    </w:rPr>
                    <w:t>50</w:t>
                  </w:r>
                </w:p>
              </w:tc>
              <w:tc>
                <w:tcPr>
                  <w:tcW w:w="863" w:type="dxa"/>
                  <w:vAlign w:val="center"/>
                </w:tcPr>
                <w:p>
                  <w:pPr>
                    <w:adjustRightInd w:val="0"/>
                    <w:snapToGrid w:val="0"/>
                    <w:jc w:val="center"/>
                    <w:rPr>
                      <w:color w:val="auto"/>
                      <w:szCs w:val="20"/>
                    </w:rPr>
                  </w:pPr>
                </w:p>
              </w:tc>
            </w:tr>
          </w:tbl>
          <w:p>
            <w:pPr>
              <w:adjustRightInd w:val="0"/>
              <w:snapToGrid w:val="0"/>
              <w:spacing w:line="360" w:lineRule="auto"/>
              <w:rPr>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795" w:hRule="atLeast"/>
        </w:trPr>
        <w:tc>
          <w:tcPr>
            <w:tcW w:w="753" w:type="dxa"/>
            <w:tcBorders>
              <w:bottom w:val="single" w:color="000000" w:sz="6" w:space="0"/>
            </w:tcBorders>
            <w:vAlign w:val="center"/>
          </w:tcPr>
          <w:p>
            <w:pPr>
              <w:spacing w:before="120"/>
              <w:jc w:val="center"/>
              <w:rPr>
                <w:color w:val="auto"/>
                <w:sz w:val="28"/>
              </w:rPr>
            </w:pPr>
            <w:r>
              <w:rPr>
                <w:color w:val="auto"/>
                <w:sz w:val="28"/>
              </w:rPr>
              <w:t>总量控制标准</w:t>
            </w:r>
          </w:p>
        </w:tc>
        <w:tc>
          <w:tcPr>
            <w:tcW w:w="8818" w:type="dxa"/>
            <w:tcBorders>
              <w:bottom w:val="single" w:color="000000" w:sz="6" w:space="0"/>
            </w:tcBorders>
          </w:tcPr>
          <w:p>
            <w:pPr>
              <w:adjustRightInd w:val="0"/>
              <w:snapToGrid w:val="0"/>
              <w:spacing w:line="360" w:lineRule="auto"/>
              <w:rPr>
                <w:color w:val="auto"/>
                <w:szCs w:val="21"/>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snapToGrid w:val="0"/>
              <w:spacing w:line="360" w:lineRule="auto"/>
              <w:ind w:right="42" w:rightChars="20" w:firstLine="480" w:firstLineChars="200"/>
              <w:rPr>
                <w:color w:val="auto"/>
                <w:sz w:val="24"/>
              </w:rPr>
            </w:pPr>
            <w:r>
              <w:rPr>
                <w:color w:val="auto"/>
                <w:sz w:val="24"/>
              </w:rPr>
              <w:t>根据</w:t>
            </w:r>
            <w:r>
              <w:rPr>
                <w:color w:val="auto"/>
                <w:spacing w:val="8"/>
                <w:sz w:val="24"/>
              </w:rPr>
              <w:t>《国务院关于印发大气污染防治行动计划的通知》（国发[2013]37号）的通知</w:t>
            </w:r>
            <w:r>
              <w:rPr>
                <w:color w:val="auto"/>
                <w:sz w:val="24"/>
              </w:rPr>
              <w:t>和《</w:t>
            </w:r>
            <w:r>
              <w:rPr>
                <w:color w:val="auto"/>
                <w:sz w:val="24"/>
                <w:szCs w:val="20"/>
              </w:rPr>
              <w:t>广东省环境保护“十三五”规划</w:t>
            </w:r>
            <w:r>
              <w:rPr>
                <w:color w:val="auto"/>
                <w:sz w:val="24"/>
              </w:rPr>
              <w:t>》的通知，揭阳市实施总量控制的主要污染物为二氧化硫、化学需氧量、氮氧化物、氨氮、总氮、挥发性有机物、重点行业的重点重金属排放量。</w:t>
            </w:r>
          </w:p>
          <w:p>
            <w:pPr>
              <w:spacing w:line="360" w:lineRule="auto"/>
              <w:ind w:firstLine="480" w:firstLineChars="200"/>
              <w:rPr>
                <w:bCs/>
                <w:color w:val="auto"/>
                <w:sz w:val="24"/>
              </w:rPr>
            </w:pPr>
            <w:r>
              <w:rPr>
                <w:bCs/>
                <w:color w:val="auto"/>
                <w:sz w:val="24"/>
              </w:rPr>
              <w:t>本项目废气经</w:t>
            </w:r>
            <w:r>
              <w:rPr>
                <w:rFonts w:hint="eastAsia"/>
                <w:bCs/>
                <w:color w:val="auto"/>
                <w:sz w:val="24"/>
                <w:lang w:eastAsia="zh-CN"/>
              </w:rPr>
              <w:t>多筒式除尘机</w:t>
            </w:r>
            <w:r>
              <w:rPr>
                <w:bCs/>
                <w:color w:val="auto"/>
                <w:sz w:val="24"/>
              </w:rPr>
              <w:t>处理后通过</w:t>
            </w:r>
            <w:r>
              <w:rPr>
                <w:rFonts w:hint="eastAsia"/>
                <w:bCs/>
                <w:color w:val="auto"/>
                <w:sz w:val="24"/>
                <w:lang w:val="en-US" w:eastAsia="zh-CN"/>
              </w:rPr>
              <w:t>2根15</w:t>
            </w:r>
            <w:r>
              <w:rPr>
                <w:bCs/>
                <w:color w:val="auto"/>
                <w:sz w:val="24"/>
              </w:rPr>
              <w:t>米的</w:t>
            </w:r>
            <w:r>
              <w:rPr>
                <w:rFonts w:hint="eastAsia"/>
                <w:bCs/>
                <w:color w:val="auto"/>
                <w:sz w:val="24"/>
                <w:lang w:eastAsia="zh-CN"/>
              </w:rPr>
              <w:t>排气筒</w:t>
            </w:r>
            <w:r>
              <w:rPr>
                <w:bCs/>
                <w:color w:val="auto"/>
                <w:sz w:val="24"/>
              </w:rPr>
              <w:t>高空排放，主要污染因子为</w:t>
            </w:r>
            <w:r>
              <w:rPr>
                <w:rFonts w:hint="eastAsia"/>
                <w:bCs/>
                <w:color w:val="auto"/>
                <w:sz w:val="24"/>
                <w:lang w:eastAsia="zh-CN"/>
              </w:rPr>
              <w:t>颗粒物</w:t>
            </w:r>
            <w:r>
              <w:rPr>
                <w:bCs/>
                <w:color w:val="auto"/>
                <w:sz w:val="24"/>
              </w:rPr>
              <w:t>，</w:t>
            </w:r>
            <w:r>
              <w:rPr>
                <w:rFonts w:hint="eastAsia"/>
                <w:bCs/>
                <w:color w:val="auto"/>
                <w:sz w:val="24"/>
                <w:lang w:eastAsia="zh-CN"/>
              </w:rPr>
              <w:t>有组织</w:t>
            </w:r>
            <w:r>
              <w:rPr>
                <w:bCs/>
                <w:color w:val="auto"/>
                <w:sz w:val="24"/>
              </w:rPr>
              <w:t>排放量</w:t>
            </w:r>
            <w:r>
              <w:rPr>
                <w:bCs/>
                <w:color w:val="auto"/>
                <w:sz w:val="24"/>
                <w:highlight w:val="none"/>
              </w:rPr>
              <w:t>为0.</w:t>
            </w:r>
            <w:r>
              <w:rPr>
                <w:rFonts w:hint="eastAsia"/>
                <w:bCs/>
                <w:color w:val="auto"/>
                <w:sz w:val="24"/>
                <w:highlight w:val="none"/>
                <w:lang w:val="en-US" w:eastAsia="zh-CN"/>
              </w:rPr>
              <w:t>18</w:t>
            </w:r>
            <w:r>
              <w:rPr>
                <w:bCs/>
                <w:color w:val="auto"/>
                <w:sz w:val="24"/>
                <w:highlight w:val="none"/>
              </w:rPr>
              <w:t>t/a，</w:t>
            </w:r>
            <w:r>
              <w:rPr>
                <w:rFonts w:hint="eastAsia"/>
                <w:bCs/>
                <w:color w:val="auto"/>
                <w:sz w:val="24"/>
                <w:lang w:eastAsia="zh-CN"/>
              </w:rPr>
              <w:t>没有排放其他需</w:t>
            </w:r>
            <w:r>
              <w:rPr>
                <w:color w:val="auto"/>
                <w:sz w:val="24"/>
              </w:rPr>
              <w:t>实施总量控制的主要污染物</w:t>
            </w:r>
            <w:r>
              <w:rPr>
                <w:rFonts w:hint="eastAsia"/>
                <w:color w:val="auto"/>
                <w:sz w:val="24"/>
                <w:lang w:eastAsia="zh-CN"/>
              </w:rPr>
              <w:t>，</w:t>
            </w:r>
            <w:r>
              <w:rPr>
                <w:bCs/>
                <w:color w:val="auto"/>
                <w:sz w:val="24"/>
              </w:rPr>
              <w:t>因此，项目</w:t>
            </w:r>
            <w:r>
              <w:rPr>
                <w:rFonts w:hint="eastAsia"/>
                <w:bCs/>
                <w:color w:val="auto"/>
                <w:sz w:val="24"/>
                <w:lang w:eastAsia="zh-CN"/>
              </w:rPr>
              <w:t>不</w:t>
            </w:r>
            <w:r>
              <w:rPr>
                <w:bCs/>
                <w:color w:val="auto"/>
                <w:sz w:val="24"/>
              </w:rPr>
              <w:t>需申请的大气污染物总量控制指标。</w:t>
            </w:r>
          </w:p>
          <w:p>
            <w:pPr>
              <w:spacing w:line="360" w:lineRule="auto"/>
              <w:ind w:firstLine="480" w:firstLineChars="200"/>
              <w:rPr>
                <w:rFonts w:hint="eastAsia" w:eastAsia="宋体"/>
                <w:bCs/>
                <w:color w:val="auto"/>
                <w:sz w:val="24"/>
                <w:lang w:eastAsia="zh-CN"/>
              </w:rPr>
            </w:pPr>
            <w:r>
              <w:rPr>
                <w:bCs/>
                <w:color w:val="auto"/>
                <w:sz w:val="24"/>
              </w:rPr>
              <w:t>本项目无生产废水</w:t>
            </w:r>
            <w:r>
              <w:rPr>
                <w:rFonts w:hint="eastAsia"/>
                <w:bCs/>
                <w:color w:val="auto"/>
                <w:sz w:val="24"/>
                <w:lang w:eastAsia="zh-CN"/>
              </w:rPr>
              <w:t>产生</w:t>
            </w:r>
            <w:r>
              <w:rPr>
                <w:bCs/>
                <w:color w:val="auto"/>
                <w:sz w:val="24"/>
              </w:rPr>
              <w:t>，生活污水经</w:t>
            </w:r>
            <w:r>
              <w:rPr>
                <w:rFonts w:hint="eastAsia"/>
                <w:bCs/>
                <w:color w:val="auto"/>
                <w:sz w:val="24"/>
                <w:lang w:eastAsia="zh-CN"/>
              </w:rPr>
              <w:t>生化池</w:t>
            </w:r>
            <w:r>
              <w:rPr>
                <w:bCs/>
                <w:color w:val="auto"/>
                <w:sz w:val="24"/>
              </w:rPr>
              <w:t>处理达标后回用于厂内绿化。因此，无需申请水污染物中</w:t>
            </w:r>
            <w:r>
              <w:rPr>
                <w:color w:val="auto"/>
                <w:sz w:val="24"/>
              </w:rPr>
              <w:t>化学需氧量、氨氮、总氮的</w:t>
            </w:r>
            <w:r>
              <w:rPr>
                <w:bCs/>
                <w:color w:val="auto"/>
                <w:sz w:val="24"/>
              </w:rPr>
              <w:t>总量控制指标</w:t>
            </w:r>
            <w:r>
              <w:rPr>
                <w:rFonts w:hint="eastAsia"/>
                <w:bCs/>
                <w:color w:val="auto"/>
                <w:sz w:val="24"/>
                <w:lang w:eastAsia="zh-CN"/>
              </w:rPr>
              <w:t>。</w:t>
            </w: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adjustRightInd w:val="0"/>
              <w:snapToGrid w:val="0"/>
              <w:spacing w:line="360" w:lineRule="auto"/>
              <w:ind w:firstLine="360" w:firstLineChars="150"/>
              <w:rPr>
                <w:color w:val="auto"/>
                <w:sz w:val="24"/>
              </w:rPr>
            </w:pPr>
          </w:p>
          <w:p>
            <w:pPr>
              <w:pStyle w:val="2"/>
              <w:ind w:firstLine="480"/>
              <w:rPr>
                <w:color w:val="auto"/>
                <w:sz w:val="24"/>
              </w:rPr>
            </w:pPr>
          </w:p>
          <w:p>
            <w:pPr>
              <w:pStyle w:val="2"/>
              <w:ind w:firstLine="480"/>
              <w:rPr>
                <w:color w:val="auto"/>
                <w:sz w:val="24"/>
              </w:rPr>
            </w:pPr>
          </w:p>
          <w:p>
            <w:pPr>
              <w:pStyle w:val="2"/>
              <w:ind w:firstLine="480"/>
              <w:rPr>
                <w:color w:val="auto"/>
                <w:sz w:val="24"/>
              </w:rPr>
            </w:pPr>
          </w:p>
          <w:p>
            <w:pPr>
              <w:adjustRightInd w:val="0"/>
              <w:snapToGrid w:val="0"/>
              <w:spacing w:line="360" w:lineRule="auto"/>
              <w:rPr>
                <w:color w:val="auto"/>
                <w:sz w:val="24"/>
              </w:rPr>
            </w:pPr>
          </w:p>
          <w:p>
            <w:pPr>
              <w:adjustRightInd w:val="0"/>
              <w:snapToGrid w:val="0"/>
              <w:spacing w:line="360" w:lineRule="auto"/>
              <w:ind w:firstLine="360" w:firstLineChars="150"/>
              <w:rPr>
                <w:color w:val="auto"/>
                <w:sz w:val="24"/>
              </w:rPr>
            </w:pPr>
          </w:p>
        </w:tc>
      </w:tr>
    </w:tbl>
    <w:p>
      <w:pPr>
        <w:spacing w:line="300" w:lineRule="auto"/>
        <w:ind w:firstLine="454"/>
        <w:rPr>
          <w:color w:val="auto"/>
          <w:sz w:val="28"/>
        </w:rPr>
        <w:sectPr>
          <w:pgSz w:w="11907" w:h="16840"/>
          <w:pgMar w:top="1304" w:right="1134" w:bottom="1134" w:left="1304" w:header="964" w:footer="964" w:gutter="0"/>
          <w:pgBorders>
            <w:top w:val="none" w:sz="0" w:space="0"/>
            <w:left w:val="none" w:sz="0" w:space="0"/>
            <w:bottom w:val="none" w:sz="0" w:space="0"/>
            <w:right w:val="none" w:sz="0" w:space="0"/>
          </w:pgBorders>
          <w:cols w:space="720" w:num="1"/>
          <w:docGrid w:type="lines" w:linePitch="334" w:charSpace="6716"/>
        </w:sectPr>
      </w:pPr>
    </w:p>
    <w:p>
      <w:pPr>
        <w:pStyle w:val="3"/>
        <w:jc w:val="left"/>
        <w:rPr>
          <w:b/>
          <w:bCs/>
          <w:color w:val="auto"/>
          <w:szCs w:val="28"/>
        </w:rPr>
      </w:pPr>
      <w:r>
        <w:rPr>
          <w:b/>
          <w:bCs/>
          <w:color w:val="auto"/>
          <w:szCs w:val="28"/>
        </w:rPr>
        <w:t>建设项目分析</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trPr>
        <w:tc>
          <w:tcPr>
            <w:tcW w:w="9571" w:type="dxa"/>
            <w:tcBorders>
              <w:bottom w:val="single" w:color="auto" w:sz="4" w:space="0"/>
            </w:tcBorders>
          </w:tcPr>
          <w:p>
            <w:pPr>
              <w:pStyle w:val="18"/>
              <w:spacing w:line="360" w:lineRule="auto"/>
              <w:ind w:firstLine="0"/>
              <w:rPr>
                <w:b/>
                <w:color w:val="auto"/>
                <w:szCs w:val="21"/>
              </w:rPr>
            </w:pPr>
            <w:r>
              <w:rPr>
                <w:b/>
                <w:color w:val="auto"/>
                <w:szCs w:val="21"/>
              </w:rPr>
              <w:t>工艺流程及主要产污环节简述（图示）：</w:t>
            </w:r>
          </w:p>
          <w:p>
            <w:pPr>
              <w:spacing w:line="360" w:lineRule="auto"/>
              <w:rPr>
                <w:b/>
                <w:color w:val="auto"/>
                <w:sz w:val="24"/>
              </w:rPr>
            </w:pPr>
            <w:r>
              <w:rPr>
                <w:b/>
                <w:color w:val="auto"/>
                <w:sz w:val="24"/>
              </w:rPr>
              <w:t>1．工艺流程简述(图示)：</w:t>
            </w:r>
          </w:p>
          <w:p>
            <w:pPr>
              <w:spacing w:line="360" w:lineRule="auto"/>
              <w:ind w:firstLine="482" w:firstLineChars="200"/>
              <w:rPr>
                <w:b/>
                <w:bCs/>
                <w:color w:val="auto"/>
                <w:sz w:val="24"/>
              </w:rPr>
            </w:pPr>
            <w:r>
              <w:rPr>
                <w:b/>
                <w:bCs/>
                <w:color w:val="auto"/>
                <w:sz w:val="24"/>
              </w:rPr>
              <w:t>（1）施工期</w:t>
            </w:r>
          </w:p>
          <w:p>
            <w:pPr>
              <w:spacing w:line="360" w:lineRule="auto"/>
              <w:ind w:firstLine="480" w:firstLineChars="200"/>
              <w:jc w:val="left"/>
              <w:rPr>
                <w:color w:val="auto"/>
                <w:sz w:val="24"/>
              </w:rPr>
            </w:pPr>
            <w:r>
              <w:rPr>
                <w:color w:val="auto"/>
                <w:kern w:val="0"/>
                <w:sz w:val="24"/>
                <w:szCs w:val="24"/>
              </w:rPr>
              <w:t>本项目</w:t>
            </w:r>
            <w:r>
              <w:rPr>
                <w:rFonts w:hint="eastAsia"/>
                <w:color w:val="auto"/>
                <w:kern w:val="0"/>
                <w:sz w:val="24"/>
                <w:szCs w:val="24"/>
              </w:rPr>
              <w:t>已建成</w:t>
            </w:r>
            <w:r>
              <w:rPr>
                <w:color w:val="auto"/>
                <w:kern w:val="0"/>
                <w:sz w:val="24"/>
                <w:szCs w:val="24"/>
              </w:rPr>
              <w:t>，不存在施工期，则施工期不在本环评评价范围之内。</w:t>
            </w:r>
          </w:p>
          <w:p>
            <w:pPr>
              <w:spacing w:line="360" w:lineRule="auto"/>
              <w:ind w:firstLine="482" w:firstLineChars="200"/>
              <w:rPr>
                <w:b/>
                <w:bCs/>
                <w:color w:val="auto"/>
                <w:sz w:val="24"/>
              </w:rPr>
            </w:pPr>
            <w:r>
              <w:rPr>
                <w:b/>
                <w:bCs/>
                <w:color w:val="auto"/>
                <w:sz w:val="24"/>
              </w:rPr>
              <w:t>（2）运营期</w:t>
            </w:r>
          </w:p>
          <w:p>
            <w:pPr>
              <w:spacing w:line="360" w:lineRule="auto"/>
              <w:rPr>
                <w:rFonts w:hint="eastAsia" w:eastAsia="仿宋_GB2312"/>
                <w:color w:val="auto"/>
                <w:sz w:val="24"/>
                <w:lang w:eastAsia="zh-CN"/>
              </w:rPr>
            </w:pPr>
            <w:r>
              <w:rPr>
                <w:color w:val="auto"/>
                <w:sz w:val="24"/>
              </w:rPr>
              <mc:AlternateContent>
                <mc:Choice Requires="wpc">
                  <w:drawing>
                    <wp:inline distT="0" distB="0" distL="114300" distR="114300">
                      <wp:extent cx="5486400" cy="3091180"/>
                      <wp:effectExtent l="0" t="0" r="0" b="0"/>
                      <wp:docPr id="2" name="画布 2"/>
                      <wp:cNvGraphicFramePr/>
                      <a:graphic xmlns:a="http://schemas.openxmlformats.org/drawingml/2006/main">
                        <a:graphicData uri="http://schemas.microsoft.com/office/word/2010/wordprocessingCanvas">
                          <wpc:wpc>
                            <wpc:bg/>
                            <wpc:whole/>
                            <wps:wsp>
                              <wps:cNvPr id="3" name="流程图: 过程 3"/>
                              <wps:cNvSpPr/>
                              <wps:spPr>
                                <a:xfrm>
                                  <a:off x="2322830" y="194310"/>
                                  <a:ext cx="857250" cy="323850"/>
                                </a:xfrm>
                                <a:prstGeom prst="flowChartProcess">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碎布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 name="流程图: 过程 4"/>
                              <wps:cNvSpPr/>
                              <wps:spPr>
                                <a:xfrm>
                                  <a:off x="2322830" y="808355"/>
                                  <a:ext cx="857250" cy="323850"/>
                                </a:xfrm>
                                <a:prstGeom prst="flowChartProcess">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开松</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 name="流程图: 过程 6"/>
                              <wps:cNvSpPr/>
                              <wps:spPr>
                                <a:xfrm>
                                  <a:off x="2322830" y="1427480"/>
                                  <a:ext cx="857250" cy="323850"/>
                                </a:xfrm>
                                <a:prstGeom prst="flowChartProcess">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highlight w:val="none"/>
                                        <w:lang w:eastAsia="zh-CN"/>
                                        <w14:textFill>
                                          <w14:solidFill>
                                            <w14:schemeClr w14:val="tx1"/>
                                          </w14:solidFill>
                                        </w14:textFill>
                                      </w:rPr>
                                    </w:pPr>
                                    <w:r>
                                      <w:rPr>
                                        <w:rFonts w:hint="eastAsia"/>
                                        <w:b w:val="0"/>
                                        <w:bCs w:val="0"/>
                                        <w:color w:val="000000" w:themeColor="text1"/>
                                        <w:highlight w:val="none"/>
                                        <w:lang w:eastAsia="zh-CN"/>
                                        <w14:textFill>
                                          <w14:solidFill>
                                            <w14:schemeClr w14:val="tx1"/>
                                          </w14:solidFill>
                                        </w14:textFill>
                                      </w:rPr>
                                      <w:t>梳棉</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 name="流程图: 过程 7"/>
                              <wps:cNvSpPr/>
                              <wps:spPr>
                                <a:xfrm>
                                  <a:off x="2313305" y="2027555"/>
                                  <a:ext cx="857250" cy="323850"/>
                                </a:xfrm>
                                <a:prstGeom prst="flowChartProcess">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打包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 name="流程图: 过程 8"/>
                              <wps:cNvSpPr/>
                              <wps:spPr>
                                <a:xfrm>
                                  <a:off x="2322830" y="2656205"/>
                                  <a:ext cx="857250" cy="323850"/>
                                </a:xfrm>
                                <a:prstGeom prst="flowChartProcess">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再生棉</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 name="直接箭头连接符 9"/>
                              <wps:cNvCnPr>
                                <a:stCxn id="3" idx="2"/>
                                <a:endCxn id="4" idx="0"/>
                              </wps:cNvCnPr>
                              <wps:spPr>
                                <a:xfrm>
                                  <a:off x="2751455" y="518160"/>
                                  <a:ext cx="0" cy="2901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 name="直接箭头连接符 10"/>
                              <wps:cNvCnPr/>
                              <wps:spPr>
                                <a:xfrm>
                                  <a:off x="2760980" y="1132205"/>
                                  <a:ext cx="0" cy="2901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 name="直接箭头连接符 11"/>
                              <wps:cNvCnPr/>
                              <wps:spPr>
                                <a:xfrm>
                                  <a:off x="2751455" y="1741805"/>
                                  <a:ext cx="0" cy="2901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 name="直接箭头连接符 13"/>
                              <wps:cNvCnPr/>
                              <wps:spPr>
                                <a:xfrm>
                                  <a:off x="2741930" y="2341880"/>
                                  <a:ext cx="0" cy="29019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 name="流程图: 过程 14"/>
                              <wps:cNvSpPr/>
                              <wps:spPr>
                                <a:xfrm>
                                  <a:off x="3465830" y="808355"/>
                                  <a:ext cx="857250" cy="323850"/>
                                </a:xfrm>
                                <a:prstGeom prst="flowChartProcess">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N、G、S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流程图: 过程 15"/>
                              <wps:cNvSpPr/>
                              <wps:spPr>
                                <a:xfrm>
                                  <a:off x="3503930" y="1427480"/>
                                  <a:ext cx="857250" cy="323850"/>
                                </a:xfrm>
                                <a:prstGeom prst="flowChartProcess">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N、G、S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流程图: 过程 16"/>
                              <wps:cNvSpPr/>
                              <wps:spPr>
                                <a:xfrm>
                                  <a:off x="3522980" y="2027555"/>
                                  <a:ext cx="857250" cy="323850"/>
                                </a:xfrm>
                                <a:prstGeom prst="flowChartProcess">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直接箭头连接符 17"/>
                              <wps:cNvCnPr>
                                <a:stCxn id="4" idx="3"/>
                                <a:endCxn id="14" idx="1"/>
                              </wps:cNvCnPr>
                              <wps:spPr>
                                <a:xfrm>
                                  <a:off x="3180080" y="970280"/>
                                  <a:ext cx="28575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a:stCxn id="6" idx="3"/>
                                <a:endCxn id="15" idx="1"/>
                              </wps:cNvCnPr>
                              <wps:spPr>
                                <a:xfrm>
                                  <a:off x="3180080" y="1589405"/>
                                  <a:ext cx="32385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 name="直接箭头连接符 19"/>
                              <wps:cNvCnPr>
                                <a:stCxn id="7" idx="3"/>
                                <a:endCxn id="16" idx="1"/>
                              </wps:cNvCnPr>
                              <wps:spPr>
                                <a:xfrm>
                                  <a:off x="3170555" y="2189480"/>
                                  <a:ext cx="35242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 name="自选图形 14"/>
                              <wps:cNvSpPr>
                                <a:spLocks noChangeArrowheads="1"/>
                              </wps:cNvSpPr>
                              <wps:spPr bwMode="auto">
                                <a:xfrm>
                                  <a:off x="179705" y="2522855"/>
                                  <a:ext cx="1851025" cy="495300"/>
                                </a:xfrm>
                                <a:prstGeom prst="flowChartProcess">
                                  <a:avLst/>
                                </a:prstGeom>
                                <a:noFill/>
                                <a:ln w="9525" cap="rnd">
                                  <a:solidFill>
                                    <a:srgbClr val="000000"/>
                                  </a:solidFill>
                                  <a:prstDash val="sysDot"/>
                                  <a:miter lim="800000"/>
                                </a:ln>
                                <a:effectLst/>
                              </wps:spPr>
                              <wps:txbx>
                                <w:txbxContent>
                                  <w:p>
                                    <w:r>
                                      <w:rPr>
                                        <w:rFonts w:hint="eastAsia"/>
                                      </w:rPr>
                                      <w:t>G—废气  W—废水</w:t>
                                    </w:r>
                                  </w:p>
                                  <w:p>
                                    <w:r>
                                      <w:rPr>
                                        <w:rFonts w:hint="eastAsia"/>
                                      </w:rPr>
                                      <w:t>S—固体废物  N—噪声</w:t>
                                    </w:r>
                                  </w:p>
                                </w:txbxContent>
                              </wps:txbx>
                              <wps:bodyPr rot="0" vert="horz" wrap="square" lIns="91440" tIns="45720" rIns="91440" bIns="45720" anchor="t" anchorCtr="0" upright="1">
                                <a:noAutofit/>
                              </wps:bodyPr>
                            </wps:wsp>
                          </wpc:wpc>
                        </a:graphicData>
                      </a:graphic>
                    </wp:inline>
                  </w:drawing>
                </mc:Choice>
                <mc:Fallback>
                  <w:pict>
                    <v:group id="_x0000_s1026" o:spid="_x0000_s1026" o:spt="203" style="height:243.4pt;width:432pt;" coordsize="5486400,3091180" editas="canvas" o:gfxdata="UEsDBAoAAAAAAIdO4kAAAAAAAAAAAAAAAAAEAAAAZHJzL1BLAwQUAAAACACHTuJA0q4RRNYAAAAF&#10;AQAADwAAAGRycy9kb3ducmV2LnhtbE2PQWvCQBCF7wX/wzJCL6VuLBJCmo0HQZRSkMbW85odk2B2&#10;NmbXxP77TnuplwePN7z3Tba82VYM2PvGkYL5LAKBVDrTUKXgc79+TkD4oMno1hEq+EYPy3zykOnU&#10;uJE+cChCJbiEfKoV1CF0qZS+rNFqP3MdEmcn11sd2PaVNL0eudy28iWKYml1Q7xQ6w5XNZbn4moV&#10;jOVuOOzfN3L3dNg6umwvq+LrTanH6Tx6BRHwFv6P4Ref0SFnpqO7kvGiVcCPhD/lLIkXbI8KFkmc&#10;gMwzeU+f/wBQSwMEFAAAAAgAh07iQMR0KhcDBgAA8iwAAA4AAABkcnMvZTJvRG9jLnhtbO1aTW/k&#10;NBi+I/EfrNzZifMxk0Sdrqrp7gqpsJUK4uzmayISO9huZ8oJxGGFkDhxW4kDAoQQcFokJAT7a7pd&#10;/gWvnXg6nc70i93VlKaHqRMnjv36ee33efxu3J9WJTpMuSgYHVr4nm2hlMYsKWg+tD784OE7gYWE&#10;JDQhJaPp0DpKhXV/8+23NiZ1lDpszMok5QgaoSKa1ENrLGUd9XoiHqcVEfdYnVKozBiviIRLnvcS&#10;TibQelX2HNvu9yaMJzVncSoE3N1uKq1N3X6WpbF8nGUilagcWtA3qX+5/t1Xv73NDRLlnNTjIm67&#10;QW7Qi4oUFD46a2qbSIIOeHGuqaqIORMsk/diVvVYlhVxqscAo8H2wmgecXZQ67Hk0SSvZ2YC0y7Y&#10;6cbNxu8f7nJUJEPLsRAlFUzRyTd/Hv/xBXKUbSZ1HsEjj3i9V+/y9kbeXKnhTjNeqf8wEDTVVj2a&#10;WTWdShTDTd8L+p4Nxo+hzrVDjIPW7vEYJufce/H4wSVv9syHe6p/s+5MasCQODWT+G9m2huTOtXW&#10;F8oGrZlcY6YXv39+8tNXx0//jtDL50+giNzGYvrpmblEJMByS2zluI4TuGAWsAoOPRe3RjFmC/yB&#10;4xurOW4AZbD/bOgkqrmQj1JWIVUYWlnJJqMx4XK38QYNR3K4I2TzmnlcdYWyh0VZwn0SlRRNhlbo&#10;Oz5MEAEPzEoioVjVgAlBcwuRMgfXjiXXLc69qlrcJmKMDgl4l2BlkagukqgqJDh1WVRDK7DVX9vz&#10;ksIA1Cw1JlElOd2fwjuquM+SIzAyZ42Tijp+WMAXdoiQu4SDV4IxYKWRj+FHDXZosbZkoTHjny67&#10;r54HFECthSbg5dDNTw4ITy1UvksBHyH2PGhW6gsPLA4XfL5mf76GHlQjBkPFsKbVsS6q52Vpihln&#10;1UewIG2pr0IVoTF8uzFeezGSzeoDS1qcbm3px2ApqIncoXt1rBpvZmjrQLKs0JN3ap3WfoDyxmav&#10;He7earh7N4Z7YAeu7zdYWXO4a1QrZ1GTIni+Pyp5g3cNbIPsM491fqFR/b/2i/5qv+jf2C+w5ww8&#10;szl2jqE2p27DuGUbxmC1Ywyu6RjYdW2ISiA+cmxn4Hc7RhdJ6TD0dkZSQIQbfnWeOATXdIxT4uD0&#10;/b4DTqLD7jXfMTrmcKeYQ2jwfvL02Yuvfzj57dfj75+9fP6tKv/yIwrnMD+iDUMWcjSlWowAll0k&#10;oB1oEYJEKU1MDRASXdNE3ooZATdvGlAXq8j2wMcebCBqM/FxgPv6dWi4VRqAqyl1wgltHGpvWs2z&#10;heSkyMdyxCgFeYnxhrBdlWn3XU3qr8C0z3CK10I9SCRJUT6gCZJHNSg/kheE5mWqpgYMsCT6aji6&#10;qlbGfnM0FMQRo04tRVMjnsyhodUUVsKhb4cQaGvtBYMQs7iEdnhYczyABNOqlcvxgBeWl8vwcLo8&#10;4IEHAuXCltrhYc3xMJNll+82eF6bVbvFZXjwcNhqs44LeFgk5R0e1hwPF+iW+HrCpev1faPT3yLh&#10;sou271S0jSG2XUUvoa5d7iBU3jPneCtjZQhQXbP43SZFskP83UL8BRI8vp4G7/qOY+jAbZIaO8Tf&#10;LcTPtPUVQe68wH5eUzHKiQ6Fz2gqEBE1oopmTZraX0VUcYEn2S2LDge2sxgkO5DCYDIYzEGpSRgx&#10;2Qht8kInqihG8qZFlZkkvQJP87r0eTzB+quVuCV4gmBEV90cT9gPQm+RhbtNGoyW6jpAqaBuzVS6&#10;SzRffLHoC8vbKkAZrF0XUANbHRvqI0QMgFpcoWDj93TiE2i/HaDWD1AqHathNS+f/PzPZ19Ctt3x&#10;X9+hcwxeJ+fUOyz+WCDKIAuO5ukW52wyTkkCaV5nYKMYUJM9pdRhtD95jyUgfhPIt9KpV2aLanMa&#10;8QD2thZDECcGi8fQOPCxbUDkhb47S3czDS3sda8qUY/TRPf3FZwTHIltJtX0X5y7B0GDTqltcwpP&#10;z1tUaXUm36tNwjM5ddKk15kEiYOaq3MZNdtXzKCD/VYn1up1tE0CVpm789d6Vz5NVd78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IIAABbQ29u&#10;dGVudF9UeXBlc10ueG1sUEsBAhQACgAAAAAAh07iQAAAAAAAAAAAAAAAAAYAAAAAAAAAAAAQAAAA&#10;VAcAAF9yZWxzL1BLAQIUABQAAAAIAIdO4kCKFGY80QAAAJQBAAALAAAAAAAAAAEAIAAAAHgHAABf&#10;cmVscy8ucmVsc1BLAQIUAAoAAAAAAIdO4kAAAAAAAAAAAAAAAAAEAAAAAAAAAAAAEAAAAAAAAABk&#10;cnMvUEsBAhQAFAAAAAgAh07iQNKuEUTWAAAABQEAAA8AAAAAAAAAAQAgAAAAIgAAAGRycy9kb3du&#10;cmV2LnhtbFBLAQIUABQAAAAIAIdO4kDEdCoXAwYAAPIsAAAOAAAAAAAAAAEAIAAAACUBAABkcnMv&#10;ZTJvRG9jLnhtbFBLBQYAAAAABgAGAFkBAACaCQAAAAA=&#10;">
                      <o:lock v:ext="edit" aspectratio="f"/>
                      <v:shape id="_x0000_s1026" o:spid="_x0000_s1026" style="position:absolute;left:0;top:0;height:3091180;width:5486400;" filled="f" stroked="f" coordsize="21600,21600" o:gfxdata="UEsDBAoAAAAAAIdO4kAAAAAAAAAAAAAAAAAEAAAAZHJzL1BLAwQUAAAACACHTuJA0q4RRNYAAAAF&#10;AQAADwAAAGRycy9kb3ducmV2LnhtbE2PQWvCQBCF7wX/wzJCL6VuLBJCmo0HQZRSkMbW85odk2B2&#10;NmbXxP77TnuplwePN7z3Tba82VYM2PvGkYL5LAKBVDrTUKXgc79+TkD4oMno1hEq+EYPy3zykOnU&#10;uJE+cChCJbiEfKoV1CF0qZS+rNFqP3MdEmcn11sd2PaVNL0eudy28iWKYml1Q7xQ6w5XNZbn4moV&#10;jOVuOOzfN3L3dNg6umwvq+LrTanH6Tx6BRHwFv6P4Ref0SFnpqO7kvGiVcCPhD/lLIkXbI8KFkmc&#10;gMwzeU+f/wBQSwMEFAAAAAgAh07iQBjpyGe2BQAAOSwAAA4AAABkcnMvZTJvRG9jLnhtbO1a3W4j&#10;NRS+R+IdrLmnGc9PMhM1XVUpRUiFrVQQ1878JCNm7MF2m5QruFohJF5gJS4QIISAq+US9mm6LW/B&#10;sT2TpGmn2ZbuqqHTi9QTTzzj4+8cn+/z2X4yK3J0knCRMTqw8JZtoYRGLM7oeGB9+sn+e4GFhCQ0&#10;JjmjycA6TYT1ZOfdd7anZT9x2ITlccIRDEJFf1oOrImUZb/TEdEkKYjYYmVCoTNlvCASLvm4E3My&#10;hdGLvOPYdrczZTwuOYsSIeDbPdNp7ejx0zSJ5NM0FYlE+cCCd5P6k+vPkfrs7GyT/piTcpJF1WuQ&#10;O7xFQTIKD50PtUckQcc8uzJUkUWcCZbKrYgVHZamWZToOcBssL0ymyGhJ0ToyURgnfoFoXWP447G&#10;YAMYsj+FxUh0G5ZClPNFEf/tYUcTUiZ6DqIffXxyyFEWDyzXQpQUAIhXf359/su3Z8//7qOLl8+g&#10;iVy1KNNS331UHvLqSkBTWXiW8kL9B9uh2cByXMcJXFjaU4Bf6Lm4WtNkJlEE/YHfc3zojqDfddwA&#10;2jBgZzFOyYX8IGEFUo2BleZsOpwQLg8NqPSqkpMDIc3P6tvVK1C2n+U5fE/6OUXTgRX6jg+PIgDk&#10;NCcSmkUJkxV0bCGSj8FDIsn1iEs/VSPuETFBJwRAKliexQaWRSbBN/KsgFnY6q9685zCBJSBjElU&#10;S85Gs8pOIxafgpE5M1gXZbSfwRMOiJCHhAO4wRjgsPIpfKjJDixWtSw0YfzL675X9wMKoNdCU3AW&#10;eM0vjglPLJR/SAEfIfY85V36wgOLwwVf7hkt99DjYshgqhhCQxnpprpf5nUz5az4DPx6Vz0VugiN&#10;4NnGeNXFUBonhsgQJbu7+jbwqJLIA3qk/ANXZt49lizN9OIpQxnrVPYDlBukvXG4e81w99Sq3gnu&#10;gR24vm+w8sDhrlGtnEX5iuDj0TDnBu8a2DWyL93W+oVG9f/aL7rNftG9s19gz+l5wWbsA5cQ3zrG&#10;fCt57BtGr9kxerd0DOy6NmQlkP84ttPz2x2jzaR0GrqZmRTwySbiENzSMRbEwen6XQecRKfyDzyV&#10;apnDo2IOYY338+cvXn330/kfv5/9+OLi5feq/dvPKFzC/JAahizkcEZrlp3FiiRXyKZx3QOERPeY&#10;zLuiH2YAddFEtns+9mADUZuJjwPcXUmygKspnu2ENg61NzXzbCE5ycYTOWSUgkrDuCFsr8u0u64m&#10;9a/BtN98hkX6kmT5+zRG8rQESUPyjNBxniijgwGuoeuGhapuZey3R0NBHKmi5/VoMuLJEhoqatoI&#10;h64dQqKttRcMQsxqCG3x8MDxABKM2U0b8IBXwss6PCzCA+55OGjxYALvxsSHuSzbgIdlbVbtFuvw&#10;4OGw0mYdF/CwSsrb+PDA48MNuiW+nXDpel2/1uk3SLhss+1HlW1jyG2b6CX0VeEOjrGO1h5MQYLq&#10;1sFvkxTJFvGPC/E3SPD4dhq86ztOTQc2SWpsEf+4ED/X1huS3GWB/aqmUisnOhUm/WShqUBGZEQV&#10;zZo0tYedYq2o4gJPsisWHfZsZzVJdqCEoa5gqA9K6yKIuhqhKl5oRRXFSN62qDKXpBvwtKxLX8UT&#10;xF+txF2DJ0hGdNfd8YT9IPRWWXhVBqOluhZQKql7YCrdGs0X3yz6QnhrAlSNtdsCqmerY0N9hIgB&#10;UKsRCjZ+Txc+gfbbAurhAUqVYxlWc/Hs13+++gaq7c7++gFdYfC6OKc8YNHnAlEGVXB0nOxyzqaT&#10;hMRQ5nUJNooBmcIlpQ6j0fQjFoP4TaDeSpde1VtUVaeHe7C3VRiCPDFYPYbGgY/tGkRe6Lvzcrd6&#10;oJW97r4K9TiN9fvewznBqdhjUi0/6d9UuwdJg65MrWoKF+ctqtVcyXe/RXh1TZ2sy+vqirrjkqtz&#10;GbXaaiKUra2gg/1Wl6fqOFrV0qoC2OVrvSsvKn53/g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lCAAAW0NvbnRlbnRfVHlwZXNdLnhtbFBLAQIU&#10;AAoAAAAAAIdO4kAAAAAAAAAAAAAAAAAGAAAAAAAAAAAAEAAAAAcHAABfcmVscy9QSwECFAAUAAAA&#10;CACHTuJAihRmPNEAAACUAQAACwAAAAAAAAABACAAAAArBwAAX3JlbHMvLnJlbHNQSwECFAAKAAAA&#10;AACHTuJAAAAAAAAAAAAAAAAABAAAAAAAAAAAABAAAAAAAAAAZHJzL1BLAQIUABQAAAAIAIdO4kDS&#10;rhFE1gAAAAUBAAAPAAAAAAAAAAEAIAAAACIAAABkcnMvZG93bnJldi54bWxQSwECFAAUAAAACACH&#10;TuJAGOnIZ7YFAAA5LAAADgAAAAAAAAABACAAAAAlAQAAZHJzL2Uyb0RvYy54bWxQSwUGAAAAAAYA&#10;BgBZAQAATQkAAAAA&#10;">
                        <v:fill on="f" focussize="0,0"/>
                        <v:stroke on="f"/>
                        <v:imagedata o:title=""/>
                        <o:lock v:ext="edit" aspectratio="f"/>
                      </v:shape>
                      <v:shape id="_x0000_s1026" o:spid="_x0000_s1026" o:spt="109" type="#_x0000_t109" style="position:absolute;left:2322830;top:194310;height:323850;width:857250;v-text-anchor:middle;" filled="f" stroked="f" coordsize="21600,21600" o:gfxdata="UEsDBAoAAAAAAIdO4kAAAAAAAAAAAAAAAAAEAAAAZHJzL1BLAwQUAAAACACHTuJAhWr+L9UAAAAF&#10;AQAADwAAAGRycy9kb3ducmV2LnhtbE2PQUvDQBCF74L/YRnBm91USgxpNqUKvSiCTQXxNs1Ok2B2&#10;NmS3Tf33jl7q5cHjDe99U6zOrlcnGkPn2cB8loAirr3tuDHwvtvcZaBCRLbYeyYD3xRgVV5fFZhb&#10;P/GWTlVslJRwyNFAG+OQax3qlhyGmR+IJTv40WEUOzbajjhJuev1fZKk2mHHstDiQE8t1V/V0Rmo&#10;tw9t9bZ+fP0g97nebSqc0pdnY25v5skSVKRzvBzDL76gQylMe39kG1RvQB6JfypZli7E7g0ssjQD&#10;XRb6P335A1BLAwQUAAAACACHTuJAPhxHQmMCAAB/BAAADgAAAGRycy9lMm9Eb2MueG1srVTNjtMw&#10;EL4j8Q6W72zapIVu1HRVdbUIacVWWhDnqeM0lvyH7TZdbpw48Aj7ArwAV3gafh6DsZPdrYATIgdn&#10;xjP5PPP5m8zPDkqSPXdeGF3R8cmIEq6ZqYXeVvT1q4snM0p8AF2DNJpX9IZ7erZ4/Gje2ZLnpjWy&#10;5o4giPZlZyvahmDLLPOs5Qr8ibFcY7AxTkFA122z2kGH6Epm+Wj0NOuMq60zjHuPu+d9kC4SftNw&#10;Fq6axvNAZEWxtpBWl9ZNXLPFHMqtA9sKNpQB/1CFAqHx0HuocwhAdk78AaUEc8abJpwwozLTNILx&#10;1AN2Mx791s11C5anXpAcb+9p8v8Plr3crx0RdUULSjQovKLvn9//+PTx2+2Xkvz8+gFNUkSaOutL&#10;zL62azd4Hs3Y86FxKr6xG3KoaF7k+axAsm9QEKeTYjywzA+BMIzPps/yKYYZxou8mKGNgNkDjnU+&#10;POdGkWhUtJGmW7Xgwrq/5sQz7C996D+7S48laHMhpMR9KKUmXUVPp/kUjwKUViMhoKksNuv1lhKQ&#10;W9QsCy4hHn0aEc/Bt2QPKBtvpKh7oSgRUK1SKOxiFJ+hcqmxgUhQT0m0wmFzGHjamPoGSXamV5+3&#10;7ELgCZfgwxocyg3JwBEKV7jEZitqBouS1rh3f9uP+agCjFLSoXyxzLc7cJwS+UKjPk7Hk0nUe3Im&#10;yDg67jiyOY7onVoZbHWMw2pZMmN+kHdm44x6g5O2jKdiCDTDs3vyBmcV+rHCWWV8uUxpqHEL4VJf&#10;WxbB+xta7oJpRLq8SFTPzsAfqjxJYZjIOEbHfsp6+G8sfg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Fav4v1QAAAAUBAAAPAAAAAAAAAAEAIAAAACIAAABkcnMvZG93bnJldi54bWxQSwECFAAUAAAA&#10;CACHTuJAPhxHQmMCAAB/BAAADgAAAAAAAAABACAAAAAkAQAAZHJzL2Uyb0RvYy54bWxQSwUGAAAA&#10;AAYABgBZAQAA+QUAAAAA&#10;">
                        <v:fill on="f" focussize="0,0"/>
                        <v:stroke on="f" miterlimit="8" joinstyle="miter"/>
                        <v:imagedata o:title=""/>
                        <o:lock v:ext="edit" aspectratio="f"/>
                        <v:textbo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碎布</w:t>
                              </w:r>
                            </w:p>
                          </w:txbxContent>
                        </v:textbox>
                      </v:shape>
                      <v:shape id="_x0000_s1026" o:spid="_x0000_s1026" o:spt="109" type="#_x0000_t109" style="position:absolute;left:2322830;top:808355;height:323850;width:857250;v-text-anchor:middle;" filled="f" stroked="t" coordsize="21600,21600" o:gfxdata="UEsDBAoAAAAAAIdO4kAAAAAAAAAAAAAAAAAEAAAAZHJzL1BLAwQUAAAACACHTuJAGtG3AdMAAAAF&#10;AQAADwAAAGRycy9kb3ducmV2LnhtbE2O0UrEMBBF3wX/IYzgm5tUSy216SKKIOLLrn5Athnbssmk&#10;NNlu3a939MV9Gbjcy5lTrxfvxIxTHAJpyFYKBFIb7ECdhs+Pl5sSREyGrHGBUMM3Rlg3lxe1qWw4&#10;0gbnbeoEQyhWRkOf0lhJGdsevYmrMCJx9xUmbxLHqZN2MkeGeydvlSqkNwPxh96M+NRju98evAa1&#10;z8OrfXvcnJZsPt255/flfmy1vr7K1AOIhEv6H8OvPqtDw067cCAbhWMG7/4ud2WRc9xpyMuiBNnU&#10;8ty++QFQSwMEFAAAAAgAh07iQFYe/HFyAgAAqAQAAA4AAABkcnMvZTJvRG9jLnhtbK1US44TMRDd&#10;I3EHy3umk04CmdZ0RlFGg5BGTKQBsa647bQl/7CddIYdKxYcgQtwAbZwGj7HoOzu+fBZIXrhVLnK&#10;9Xn1KienB63Invsgranp+GhECTfMNtJsa/ryxfmjOSUhgmlAWcNres0DPV08fHDSuYqXtrWq4Z5g&#10;EBOqztW0jdFVRRFYyzWEI+u4QaOwXkNE1W+LxkOH0bUqytHocdFZ3zhvGQ8Bb896I13k+EJwFi+F&#10;CDwSVVOsLebT53OTzmJxAtXWg2slG8qAf6hCgzSY9DbUGUQgOy//CKUl8zZYEY+Y1YUVQjKee8Bu&#10;xqPfurlqwfHcC4IT3C1M4f+FZc/3a09kU9MpJQY0jujbp7ffP77/+uFzRX58eYcimSaYOhcq9L5y&#10;az9oAcXU80F4nX6xG3KoaTkpy/kEwb6u6Xw0n8xmPcr8EAlD+3z2pJyhmaF9Uk7mKGPA4i6O8yE+&#10;5VaTJNRUKNutWvBx3Y854wz7ixD7ZzfuqQRjz6VSeA+VMqSr6fGsnGEqQGoJBRFF7bDZYLaUgNoi&#10;Z1n0OWKwSjbpdXoc/HazUp7sIfEmf0ORv7il1GcQ2t4vm/petYxIayV1giB9w2tlsNOEZI9dkuJh&#10;cxgA3djmGqfhbU/T4Ni5xAwXEOIaPPISUcNdi5d4JFRqageJktb6N3+7T/5IF7RS0iHPsffXO/Cc&#10;EvXMIJGOx9NpWoysTHE0qPj7ls19i9nplUVIxrjVjmUx+Ud1Iwpv9StcyWXKiiYwDHP3KA/KKvb7&#10;h0vN+HKZ3XAZHMQLc+VYCt6PcrmLVsg85QRUj86AH65D5sywumnf7uvZ6+4PZvE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GtG3AdMAAAAFAQAADwAAAAAAAAABACAAAAAiAAAAZHJzL2Rvd25yZXYu&#10;eG1sUEsBAhQAFAAAAAgAh07iQFYe/HFyAgAAqAQAAA4AAAAAAAAAAQAgAAAAIgEAAGRycy9lMm9E&#10;b2MueG1sUEsFBgAAAAAGAAYAWQEAAAYGAAAAAA==&#10;">
                        <v:fill on="f" focussize="0,0"/>
                        <v:stroke color="#000000 [3213]" miterlimit="8" joinstyle="miter"/>
                        <v:imagedata o:title=""/>
                        <o:lock v:ext="edit" aspectratio="f"/>
                        <v:textbo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开松</w:t>
                              </w:r>
                            </w:p>
                          </w:txbxContent>
                        </v:textbox>
                      </v:shape>
                      <v:shape id="_x0000_s1026" o:spid="_x0000_s1026" o:spt="109" type="#_x0000_t109" style="position:absolute;left:2322830;top:1427480;height:323850;width:857250;v-text-anchor:middle;" filled="f" stroked="t" coordsize="21600,21600" o:gfxdata="UEsDBAoAAAAAAIdO4kAAAAAAAAAAAAAAAAAEAAAAZHJzL1BLAwQUAAAACACHTuJAGtG3AdMAAAAF&#10;AQAADwAAAGRycy9kb3ducmV2LnhtbE2O0UrEMBBF3wX/IYzgm5tUSy216SKKIOLLrn5Athnbssmk&#10;NNlu3a939MV9Gbjcy5lTrxfvxIxTHAJpyFYKBFIb7ECdhs+Pl5sSREyGrHGBUMM3Rlg3lxe1qWw4&#10;0gbnbeoEQyhWRkOf0lhJGdsevYmrMCJx9xUmbxLHqZN2MkeGeydvlSqkNwPxh96M+NRju98evAa1&#10;z8OrfXvcnJZsPt255/flfmy1vr7K1AOIhEv6H8OvPqtDw067cCAbhWMG7/4ud2WRc9xpyMuiBNnU&#10;8ty++QFQSwMEFAAAAAgAh07iQF4pm19yAgAAqQQAAA4AAABkcnMvZTJvRG9jLnhtbK1UzW4TMRC+&#10;I/EOlu90k03SpqtuqihREVJFIxXEeeL1Zi35D9vJptw4ceAReAFegCs8DT+Pwdi7bcLPCZGDM+P5&#10;83zzzV5c7pUkO+68MLqkw5MBJVwzUwm9KenLF1dPppT4ALoCaTQv6R339HL2+NFFawuem8bIijuC&#10;SbQvWlvSJgRbZJlnDVfgT4zlGo21cQoCqm6TVQ5azK5klg8Gp1lrXGWdYdx7vF12RjpL+euas3BT&#10;154HIkuKbwvpdOlcxzObXUCxcWAbwfpnwD+8QoHQWPQh1RICkK0Tf6RSgjnjTR1OmFGZqWvBeOoB&#10;uxkOfuvmtgHLUy8IjrcPMPn/l5Y9360cEVVJTynRoHBE3z69/f7x/dcPnwvy48s7FMlphKm1vkDv&#10;W7tyveZRjD3va6fiP3ZD9iXNR3k+HSHYd0iIcX42nvYw830gDB2mk7N8gnaGDqN8NEUZM2aHRNb5&#10;8JQbRaJQ0lqadtGAC6tuzglo2F370IXdu8c3aHMlpMR7KKQmbUnPJ/kESwFyq5YQUFQWu/V6QwnI&#10;DZKWBZcyeiNFFaNjsHeb9UI6soNInPTrH/mLWyy9BN90fskU3aBQIiCvpVDY7nG01NhphLIDL0ph&#10;v95jTBTXprrDcTjT8dRbdiWwwjX4sAKHxETUcNnCDR4RlZKaXqKkMe7N3+6jP/IFrZS0SHTs/fUW&#10;HKdEPtPIpPPheBw3IyljHA0q7tiyPrborVoYhGSIa21ZEqN/kPdi7Yx6hTs5j1XRBJph7Q7lXlmE&#10;bgFxqxmfz5MbboOFcK1vLYvJu1HOt8HUIk35gE6PH+5D4ky/u3HhjvXkdfjCzH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GtG3AdMAAAAFAQAADwAAAAAAAAABACAAAAAiAAAAZHJzL2Rvd25yZXYu&#10;eG1sUEsBAhQAFAAAAAgAh07iQF4pm19yAgAAqQQAAA4AAAAAAAAAAQAgAAAAIgEAAGRycy9lMm9E&#10;b2MueG1sUEsFBgAAAAAGAAYAWQEAAAYGAAAAAA==&#10;">
                        <v:fill on="f" focussize="0,0"/>
                        <v:stroke color="#000000 [3213]" miterlimit="8" joinstyle="miter"/>
                        <v:imagedata o:title=""/>
                        <o:lock v:ext="edit" aspectratio="f"/>
                        <v:textbox>
                          <w:txbxContent>
                            <w:p>
                              <w:pPr>
                                <w:jc w:val="center"/>
                                <w:rPr>
                                  <w:rFonts w:hint="eastAsia" w:eastAsia="宋体"/>
                                  <w:b w:val="0"/>
                                  <w:bCs w:val="0"/>
                                  <w:color w:val="000000" w:themeColor="text1"/>
                                  <w:highlight w:val="none"/>
                                  <w:lang w:eastAsia="zh-CN"/>
                                  <w14:textFill>
                                    <w14:solidFill>
                                      <w14:schemeClr w14:val="tx1"/>
                                    </w14:solidFill>
                                  </w14:textFill>
                                </w:rPr>
                              </w:pPr>
                              <w:r>
                                <w:rPr>
                                  <w:rFonts w:hint="eastAsia"/>
                                  <w:b w:val="0"/>
                                  <w:bCs w:val="0"/>
                                  <w:color w:val="000000" w:themeColor="text1"/>
                                  <w:highlight w:val="none"/>
                                  <w:lang w:eastAsia="zh-CN"/>
                                  <w14:textFill>
                                    <w14:solidFill>
                                      <w14:schemeClr w14:val="tx1"/>
                                    </w14:solidFill>
                                  </w14:textFill>
                                </w:rPr>
                                <w:t>梳棉</w:t>
                              </w:r>
                            </w:p>
                          </w:txbxContent>
                        </v:textbox>
                      </v:shape>
                      <v:shape id="_x0000_s1026" o:spid="_x0000_s1026" o:spt="109" type="#_x0000_t109" style="position:absolute;left:2313305;top:2027555;height:323850;width:857250;v-text-anchor:middle;" filled="f" stroked="t" coordsize="21600,21600" o:gfxdata="UEsDBAoAAAAAAIdO4kAAAAAAAAAAAAAAAAAEAAAAZHJzL1BLAwQUAAAACACHTuJAGtG3AdMAAAAF&#10;AQAADwAAAGRycy9kb3ducmV2LnhtbE2O0UrEMBBF3wX/IYzgm5tUSy216SKKIOLLrn5Athnbssmk&#10;NNlu3a939MV9Gbjcy5lTrxfvxIxTHAJpyFYKBFIb7ECdhs+Pl5sSREyGrHGBUMM3Rlg3lxe1qWw4&#10;0gbnbeoEQyhWRkOf0lhJGdsevYmrMCJx9xUmbxLHqZN2MkeGeydvlSqkNwPxh96M+NRju98evAa1&#10;z8OrfXvcnJZsPt255/flfmy1vr7K1AOIhEv6H8OvPqtDw067cCAbhWMG7/4ud2WRc9xpyMuiBNnU&#10;8ty++QFQSwMEFAAAAAgAh07iQNIUaqNzAgAAqQQAAA4AAABkcnMvZTJvRG9jLnhtbK1UzW7bMAy+&#10;D9g7CLqvTpx6aY06RZCiw4BiDZANOzOyHAvQ3yQlTnfbaYc9Ql9gL7Dr9jT7eYxRsttmP6dhOSik&#10;SJH8PpI+O98rSXbceWF0RcdHI0q4ZqYWelPRVy8vn5xQ4gPoGqTRvKI33NPz2eNHZ50teW5aI2vu&#10;CAbRvuxsRdsQbJllnrVcgT8ylms0NsYpCKi6TVY76DC6klk+Gj3NOuNq6wzj3uPtRW+ksxS/aTgL&#10;103jeSCyolhbSKdL5zqe2ewMyo0D2wo2lAH/UIUCoTHpfagLCEC2TvwRSgnmjDdNOGJGZaZpBOMJ&#10;A6IZj35Ds2rB8oQFyfH2nib//8KyF7ulI6Ku6JQSDQpb9O3Tu+8fP3y9/VySH1/eo0imkabO+hK9&#10;V3bpBs2jGDHvG6fiP6Ih+4rmk/FkMioouUF5lE+Louhp5vtAGDqcFNO8wGYwdJjkkxOUMWL2EMg6&#10;H55xo0gUKtpI0y1acGHZ9zkRDbsrH/pnd+6xBm0uhZR4D6XUpKvoaZFjKQxwthoJAUVlEa3XG0pA&#10;bnBoWXApojdS1PF1fOzdZr2QjuwgDk76DUX+4hZTX4Bve79k6rEqEXCupVAI9/C11Ig0UtmTF6Ww&#10;X+8HRtemvsF2ONPPqbfsUmCGK/BhCQ4HE1nDZQvXeERWKmoGiZLWuLd/u4/+OC9opaTDQUfsb7bg&#10;OCXyucZJOh0fH8fNSMoxtgYVd2hZH1r0Vi0MUjLGtbYsidE/yDuxcUa9xp2cx6xoAs0wd8/yoCxC&#10;v4C41YzP58kNt8FCuNIry2LwvpXzbTCNSF2ORPXsDPzhPqSZGXY3LtyhnrwevjCz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rRtwHTAAAABQEAAA8AAAAAAAAAAQAgAAAAIgAAAGRycy9kb3ducmV2&#10;LnhtbFBLAQIUABQAAAAIAIdO4kDSFGqjcwIAAKkEAAAOAAAAAAAAAAEAIAAAACIBAABkcnMvZTJv&#10;RG9jLnhtbFBLBQYAAAAABgAGAFkBAAAHBgAAAAA=&#10;">
                        <v:fill on="f" focussize="0,0"/>
                        <v:stroke color="#000000 [3213]" miterlimit="8" joinstyle="miter"/>
                        <v:imagedata o:title=""/>
                        <o:lock v:ext="edit" aspectratio="f"/>
                        <v:textbo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打包</w:t>
                              </w:r>
                            </w:p>
                          </w:txbxContent>
                        </v:textbox>
                      </v:shape>
                      <v:shape id="_x0000_s1026" o:spid="_x0000_s1026" o:spt="109" type="#_x0000_t109" style="position:absolute;left:2322830;top:2656205;height:323850;width:857250;v-text-anchor:middle;" filled="f" stroked="f" coordsize="21600,21600" o:gfxdata="UEsDBAoAAAAAAIdO4kAAAAAAAAAAAAAAAAAEAAAAZHJzL1BLAwQUAAAACACHTuJAhWr+L9UAAAAF&#10;AQAADwAAAGRycy9kb3ducmV2LnhtbE2PQUvDQBCF74L/YRnBm91USgxpNqUKvSiCTQXxNs1Ok2B2&#10;NmS3Tf33jl7q5cHjDe99U6zOrlcnGkPn2cB8loAirr3tuDHwvtvcZaBCRLbYeyYD3xRgVV5fFZhb&#10;P/GWTlVslJRwyNFAG+OQax3qlhyGmR+IJTv40WEUOzbajjhJuev1fZKk2mHHstDiQE8t1V/V0Rmo&#10;tw9t9bZ+fP0g97nebSqc0pdnY25v5skSVKRzvBzDL76gQylMe39kG1RvQB6JfypZli7E7g0ssjQD&#10;XRb6P335A1BLAwQUAAAACACHTuJAGTKPGWQCAACABAAADgAAAGRycy9lMm9Eb2MueG1srVRLbtsw&#10;EN0X6B0I7hvZcpw6QuTASJCiQNAYcIuuaYqyCPBXkrac7rrqokfoBXqBbtvT9HOMPkpKYrRdFdWC&#10;muGMhvMe3+jsfK8V2QkfpDUlHR+NKBGG20qaTUlfvbx6MqMkRGYqpqwRJb0VgZ7PHz86a10hcttY&#10;VQlPUMSEonUlbWJ0RZYF3gjNwpF1wiBYW69ZhOs3WeVZi+paZflodJK11lfOWy5CwO5lH6Tzrn5d&#10;Cx5v6jqISFRJ0VvsVt+t67Rm8zNWbDxzjeRDG+wfutBMGhx6X+qSRUa2Xv5RSkvubbB1POJWZ7au&#10;JRcdBqAZj35Ds2qYEx0WkBPcPU3h/5XlL3ZLT2RVUlyUYRpX9P3zux+fPnz7+KUgP7++h0lmiabW&#10;hQLZK7f0gxdgJsz72uv0BhqyL2k+yfPZBGTfwj6ZnuSjaU+z2EfCkTCbPs2niHMkTPLJDDYqZg+F&#10;nA/xmbCaJKOktbLtRcN8XPb33BHNdtch9p/dpacejL2SSmGfFcqQtqSn03yKoxi0VSsWYWoHtMFs&#10;KGFqA9Hy6LuKB5+mipcsNGTHoJtglax6CFpGyFVJDRSj9AydKwMAiaGek2TF/Xo/ELW21S1Y9raX&#10;X3D8SuKEaxbiknnoDWRghuINlgS2pHawKGmsf/u3/ZQPGSBKSQv9os03W+YFJeq5gUBOx8fHSfCd&#10;cwzG4fjDyPowYrb6wgLqGNPqeGem/KjuzNpb/RqjtkinIsQMx9k9eYNzEfu5wrBysVh0aRC5Y/Ha&#10;rBxPxfsbWmyjrWV3eYmonp2BP8i8k8IwkmmODv0u6+HHMf8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hWr+L9UAAAAFAQAADwAAAAAAAAABACAAAAAiAAAAZHJzL2Rvd25yZXYueG1sUEsBAhQAFAAA&#10;AAgAh07iQBkyjxlkAgAAgAQAAA4AAAAAAAAAAQAgAAAAJAEAAGRycy9lMm9Eb2MueG1sUEsFBgAA&#10;AAAGAAYAWQEAAPoFAAAAAA==&#10;">
                        <v:fill on="f" focussize="0,0"/>
                        <v:stroke on="f" miterlimit="8" joinstyle="miter"/>
                        <v:imagedata o:title=""/>
                        <o:lock v:ext="edit" aspectratio="f"/>
                        <v:textbox>
                          <w:txbxContent>
                            <w:p>
                              <w:pPr>
                                <w:jc w:val="center"/>
                                <w:rPr>
                                  <w:rFonts w:hint="eastAsia" w:eastAsia="宋体"/>
                                  <w:b w:val="0"/>
                                  <w:bCs w:val="0"/>
                                  <w:color w:val="000000" w:themeColor="text1"/>
                                  <w:lang w:eastAsia="zh-CN"/>
                                  <w14:textFill>
                                    <w14:solidFill>
                                      <w14:schemeClr w14:val="tx1"/>
                                    </w14:solidFill>
                                  </w14:textFill>
                                </w:rPr>
                              </w:pPr>
                              <w:r>
                                <w:rPr>
                                  <w:rFonts w:hint="eastAsia"/>
                                  <w:b w:val="0"/>
                                  <w:bCs w:val="0"/>
                                  <w:color w:val="000000" w:themeColor="text1"/>
                                  <w:lang w:eastAsia="zh-CN"/>
                                  <w14:textFill>
                                    <w14:solidFill>
                                      <w14:schemeClr w14:val="tx1"/>
                                    </w14:solidFill>
                                  </w14:textFill>
                                </w:rPr>
                                <w:t>再生棉</w:t>
                              </w:r>
                            </w:p>
                          </w:txbxContent>
                        </v:textbox>
                      </v:shape>
                      <v:shape id="_x0000_s1026" o:spid="_x0000_s1026" o:spt="32" type="#_x0000_t32" style="position:absolute;left:2751455;top:518160;height:290195;width:0;"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AwMB7ANAgAA3QMAAA4AAABkcnMvZTJvRG9jLnhtbK1TzY7TMBC+&#10;I/EOlu80TXdT2qjpHlqWC4JKwANMHSex5D/Zpj8vwQsgcQJOwGnvPA0sj8HYSbss3BA5ODMZzzcz&#10;33xZXB2UJDvuvDC6ovloTAnXzNRCtxV9/er60YwSH0DXII3mFT1yT6+WDx8s9rbkE9MZWXNHEET7&#10;cm8r2oVgyyzzrOMK/MhYrjHYGKcgoOvarHawR3Qls8l4PM32xtXWGca9x6/rPkiXCb9pOAsvmsbz&#10;QGRFsbeQTpfObTyz5QLK1oHtBBvagH/oQoHQWPQMtYYA5I0Tf0EpwZzxpgkjZlRmmkYwnmbAafLx&#10;H9O87MDyNAuS4+2ZJv//YNnz3cYRUVd0TokGhSu6fXfz4+3H269fvn+4+fntfbQ/fyLzSNXe+hIz&#10;Vnrj4rA+rA46JV9QfB0qOukJ5bo+RS6HSKI6uwcQHW97qEPjVIRERkjEeVzkl0VBybGiRT7Lp8Om&#10;+CEQhnFcJcPQZD7O50WsmUF5grDOh6fcKBKNivrgQLRdWBmtUQ7G5WlRsHvmQ594Soj1tbkWUiZV&#10;SE32FZ1eFLEYoDYbCQFNZZEtr1tKQLYoehZcQvRGijpmJ2pcu11JR3YQhZeeoc1712LpNfiuv5dC&#10;PYNKBPwvpFAVnZ2zoQwg5BNdk3C0uKngBOhW8gFZauThjtRobU193Lg4ZvRQQ4mpQe9RpL/76dbd&#10;X7n8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mXMrbTAAAABQEAAA8AAAAAAAAAAQAgAAAAIgAA&#10;AGRycy9kb3ducmV2LnhtbFBLAQIUABQAAAAIAIdO4kAMDAewDQIAAN0DAAAOAAAAAAAAAAEAIAAA&#10;ACIBAABkcnMvZTJvRG9jLnhtbFBLBQYAAAAABgAGAFkBAAChBQAAAAA=&#10;">
                        <v:fill on="f" focussize="0,0"/>
                        <v:stroke weight="0.5pt" color="#000000 [3213]" miterlimit="8" joinstyle="miter" endarrow="block"/>
                        <v:imagedata o:title=""/>
                        <o:lock v:ext="edit" aspectratio="f"/>
                      </v:shape>
                      <v:shape id="_x0000_s1026" o:spid="_x0000_s1026" o:spt="32" type="#_x0000_t32" style="position:absolute;left:2760980;top:1132205;height:290195;width:0;"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BthGIP2AQAAoAMAAA4AAABkcnMvZTJvRG9jLnhtbK1TS44TMRDd&#10;I3EHy3vSnR5NSFrpzCJh2CCIBByg4nZ3W/JPZZPPJbgAEitgBaxmz2lgOAZlJ2T47BC9cJddrlf1&#10;XpXnV3uj2VZiUM42fDwqOZNWuFbZvuEvX1w/mHIWItgWtLOy4QcZ+NXi/r35zteycoPTrURGIDbU&#10;O9/wIUZfF0UQgzQQRs5LS87OoYFIW+yLFmFH6EYXVVlOip3D1qMTMgQ6XR2dfJHxu06K+KzrgoxM&#10;N5xqi3nFvG7SWizmUPcIflDiVAb8QxUGlKWkZ6gVRGCvUP0FZZRAF1wXR8KZwnWdEjJzIDbj8g82&#10;zwfwMnMhcYI/yxT+H6x4ul0jUy31juSxYKhHt29uvr1+f/v509d3N9+/vE32xw+M/CTWzoeaYpZ2&#10;jadd8GtMzPcdmvQnTmzf8OrhpJxNCfNA0OOLqiovj2LLfWSCLpBLkK+aleNZdhV3GB5DfCydYclo&#10;eIgIqh/i0llLHXU4zlrD9kmIVAUF/gxIBVh3rbTOjdWW7Ro+ubhMyYDGq9MQyTSeCAfbcwa6p7kV&#10;ETNicFq1KTrhBOw3S41sC2l28pcYULbfrqXUKwjD8V52HYkaFWm0tTINn56joY6g9CPbsnjwpHVE&#10;BbbX8oSsLSVIGh9VTdbGtYcsdj6nMcglnEY2zdmv+xx997AW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5lzK20wAAAAUBAAAPAAAAAAAAAAEAIAAAACIAAABkcnMvZG93bnJldi54bWxQSwECFAAU&#10;AAAACACHTuJAG2EYg/YBAACgAwAADgAAAAAAAAABACAAAAAiAQAAZHJzL2Uyb0RvYy54bWxQSwUG&#10;AAAAAAYABgBZAQAAigUAAAAA&#10;">
                        <v:fill on="f" focussize="0,0"/>
                        <v:stroke weight="0.5pt" color="#000000 [3213]" miterlimit="8" joinstyle="miter" endarrow="block"/>
                        <v:imagedata o:title=""/>
                        <o:lock v:ext="edit" aspectratio="f"/>
                      </v:shape>
                      <v:shape id="_x0000_s1026" o:spid="_x0000_s1026" o:spt="32" type="#_x0000_t32" style="position:absolute;left:2751455;top:1741805;height:290195;width:0;"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OnxkOn4AQAAoAMAAA4AAABkcnMvZTJvRG9jLnhtbK1TS44TMRDd&#10;I3EHy3vS6TCZybTSmUXCsEEQCThAxe3utuSfyiadXIILILECVsBq9pwGhmNQdkKGzw7RC3fZ5XpV&#10;71V5frUzmm0lBuVszcvRmDNphWuU7Wr+8sX1gxlnIYJtQDsra76XgV8t7t+bD76SE9c73UhkBGJD&#10;Nfia9zH6qiiC6KWBMHJeWnK2Dg1E2mJXNAgDoRtdTMbj82Jw2Hh0QoZAp6uDky8yfttKEZ+1bZCR&#10;6ZpTbTGvmNdNWovFHKoOwfdKHMuAf6jCgLKU9AS1ggjsFaq/oIwS6IJr40g4U7i2VUJmDsSmHP/B&#10;5nkPXmYuJE7wJ5nC/4MVT7drZKqh3pWcWTDUo9s3N99ev7/9/Onru5vvX94m++MHRn4Sa/Chopil&#10;XeNxF/waE/Ndiyb9iRPb1XxyMS3PplPO9gR9cVbOxtOD2HIXmaAL1A1BvsnluLzMruIOw2OIj6Uz&#10;LBk1DxFBdX1cOmupow7LrDVsn4RIVVDgz4BUgHXXSuvcWG3ZUPPzh9OUDGi8Wg2RTOOJcLAdZ6A7&#10;mlsRMSMGp1WTohNOwG6z1Mi2kGYnf4kBZfvtWkq9gtAf7mXXgahRkUZbK1Pz2SkaqghKP7INi3tP&#10;WkdUYDstj8jaUoKk8UHVZG1cs89i53Mag1zCcWTTnP26z9F3D2v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mXMrbTAAAABQEAAA8AAAAAAAAAAQAgAAAAIgAAAGRycy9kb3ducmV2LnhtbFBLAQIU&#10;ABQAAAAIAIdO4kDp8ZDp+AEAAKADAAAOAAAAAAAAAAEAIAAAACIBAABkcnMvZTJvRG9jLnhtbFBL&#10;BQYAAAAABgAGAFkBAACMBQAAAAA=&#10;">
                        <v:fill on="f" focussize="0,0"/>
                        <v:stroke weight="0.5pt" color="#000000 [3213]" miterlimit="8" joinstyle="miter" endarrow="block"/>
                        <v:imagedata o:title=""/>
                        <o:lock v:ext="edit" aspectratio="f"/>
                      </v:shape>
                      <v:shape id="_x0000_s1026" o:spid="_x0000_s1026" o:spt="32" type="#_x0000_t32" style="position:absolute;left:2741930;top:2341880;height:290195;width:0;"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MqRoN31AQAAoAMAAA4AAABkcnMvZTJvRG9jLnhtbK1TS44TMRDd&#10;I3EHy3vS+cwMSSudWSQMGwQjAQeouN3dlvxT2aSTS3ABJFbACljNntPAcAzKTpPhs0Nk4ZRd9Z7r&#10;PVcvL/dGs53EoJyt+GQ05kxa4Wpl24q/fHH1YM5ZiGBr0M7Kih9k4Jer+/eWvS/l1HVO1xIZkdhQ&#10;9r7iXYy+LIogOmkgjJyXlpKNQwORttgWNUJP7EYX0/H4ougd1h6dkCHQ6eaY5KvM3zRSxGdNE2Rk&#10;uuLUW8wr5nWb1mK1hLJF8J0SQxvwD10YUJYuPVFtIAJ7heovKqMEuuCaOBLOFK5plJBZA6mZjP9Q&#10;87wDL7MWMif4k03h/9GKp7trZKqmt5txZsHQG92+ufn2+v3t509f3918//I2xR8/MMqTWb0PJWHW&#10;9hqHXfDXmJTvGzTpnzSxfcWnD88mixlZfqB4djaZzwez5T4yQQWUEim3GE8W54m6uOPwGOJj6QxL&#10;QcVDRFBtF9fOWnpRh5PsNeyehHgE/gSkBqy7UlrTOZTasr7iF7PzdBnQeDUaIoXGk+BgW85AtzS3&#10;ImJmDE6rOqETOGC7XWtkO0izk39Dm7+Vpas3ELpjXU6lMiiNijTaWpmKz09oKCMo/cjWLB48eR1R&#10;gW21HJi1JR+Sx0dXU7R19SGbnc9pDLJTw8imOft1n9F3H9bq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mXMrbTAAAABQEAAA8AAAAAAAAAAQAgAAAAIgAAAGRycy9kb3ducmV2LnhtbFBLAQIUABQA&#10;AAAIAIdO4kDKkaDd9QEAAKADAAAOAAAAAAAAAAEAIAAAACIBAABkcnMvZTJvRG9jLnhtbFBLBQYA&#10;AAAABgAGAFkBAACJBQAAAAA=&#10;">
                        <v:fill on="f" focussize="0,0"/>
                        <v:stroke weight="0.5pt" color="#000000 [3213]" miterlimit="8" joinstyle="miter" endarrow="block"/>
                        <v:imagedata o:title=""/>
                        <o:lock v:ext="edit" aspectratio="f"/>
                      </v:shape>
                      <v:shape id="_x0000_s1026" o:spid="_x0000_s1026" o:spt="109" type="#_x0000_t109" style="position:absolute;left:3465830;top:808355;height:323850;width:857250;v-text-anchor:middle;" filled="f" stroked="f" coordsize="21600,21600" o:gfxdata="UEsDBAoAAAAAAIdO4kAAAAAAAAAAAAAAAAAEAAAAZHJzL1BLAwQUAAAACACHTuJAhWr+L9UAAAAF&#10;AQAADwAAAGRycy9kb3ducmV2LnhtbE2PQUvDQBCF74L/YRnBm91USgxpNqUKvSiCTQXxNs1Ok2B2&#10;NmS3Tf33jl7q5cHjDe99U6zOrlcnGkPn2cB8loAirr3tuDHwvtvcZaBCRLbYeyYD3xRgVV5fFZhb&#10;P/GWTlVslJRwyNFAG+OQax3qlhyGmR+IJTv40WEUOzbajjhJuev1fZKk2mHHstDiQE8t1V/V0Rmo&#10;tw9t9bZ+fP0g97nebSqc0pdnY25v5skSVKRzvBzDL76gQylMe39kG1RvQB6JfypZli7E7g0ssjQD&#10;XRb6P335A1BLAwQUAAAACACHTuJAKMlaKGMCAACBBAAADgAAAGRycy9lMm9Eb2MueG1srVTLbtQw&#10;FN0j8Q+W9zTzSplGzVSjVkVIFR2pINYex5lY8gvbM5myY8WCT+AH+AG28DU8PoPjJG1HwAqRhXOv&#10;7831Pcfn5vRsrxXZCR+kNSUdH40oEYbbSppNSV+9vHwypyREZiqmrBElvRWBni0ePzptXSEmtrGq&#10;Ep6giAlF60raxOiKLAu8EZqFI+uEQbC2XrMI12+yyrMW1bXKJqPRcdZaXzlvuQgBuxd9kC66+nUt&#10;eLyu6yAiUSVFb7Fbfbeu05otTlmx8cw1kg9tsH/oQjNpcOh9qQsWGdl6+UcpLbm3wdbxiFud2bqW&#10;XHQYgGY8+g3NTcOc6LCAnODuaQr/ryx/sVt5Iivc3YwSwzTu6Pvndz8+ffj28UtBfn59D5MgBqJa&#10;Fwrk37iVH7wAM6He116nN/CQfUmns+N8PgXdtyWdj+bTPO95FvtIOOLz/OkkR5gjPp1M57BRMHuo&#10;43yIz4TVJBklrZVtzxvm46q/6I5ptrsKsf/sLj21YOylVAr7rFCGtCU9ySc5jmIQV61YhKkd4Aaz&#10;oYSpDVTLo+8qHnyaKl6w0JAdg3CCVbLqIWgZoVcldUKWnqFzZQAgEdRTkqy4X+8Hnta2ugXN3vb6&#10;C45fSpxwxUJcMQ/BgQwMUbzGksCW1A4WJY31b/+2n/KhA0QpaSFgtPlmy7ygRD03UMjJeDZLiu+c&#10;GRiH4w8j68OI2epzC6hjjKvjnZnyo7oza2/1a8zaMp2KEDMcZ/fkDc557AcL08rFctmlQeWOxStz&#10;43gq3t/QchttLbvLS0T17Az8QeedFIaZTIN06HdZD3+Ox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Fav4v1QAAAAUBAAAPAAAAAAAAAAEAIAAAACIAAABkcnMvZG93bnJldi54bWxQSwECFAAUAAAA&#10;CACHTuJAKMlaKGMCAACBBAAADgAAAAAAAAABACAAAAAkAQAAZHJzL2Uyb0RvYy54bWxQSwUGAAAA&#10;AAYABgBZAQAA+QUAAAAA&#10;">
                        <v:fill on="f" focussize="0,0"/>
                        <v:stroke on="f" miterlimit="8" joinstyle="miter"/>
                        <v:imagedata o:title=""/>
                        <o:lock v:ext="edit" aspectratio="f"/>
                        <v:textbox>
                          <w:txbxContent>
                            <w:p>
                              <w:pPr>
                                <w:jc w:val="center"/>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N、G、S</w:t>
                              </w:r>
                            </w:p>
                          </w:txbxContent>
                        </v:textbox>
                      </v:shape>
                      <v:shape id="_x0000_s1026" o:spid="_x0000_s1026" o:spt="109" type="#_x0000_t109" style="position:absolute;left:3503930;top:1427480;height:323850;width:857250;v-text-anchor:middle;" filled="f" stroked="f" coordsize="21600,21600" o:gfxdata="UEsDBAoAAAAAAIdO4kAAAAAAAAAAAAAAAAAEAAAAZHJzL1BLAwQUAAAACACHTuJAhWr+L9UAAAAF&#10;AQAADwAAAGRycy9kb3ducmV2LnhtbE2PQUvDQBCF74L/YRnBm91USgxpNqUKvSiCTQXxNs1Ok2B2&#10;NmS3Tf33jl7q5cHjDe99U6zOrlcnGkPn2cB8loAirr3tuDHwvtvcZaBCRLbYeyYD3xRgVV5fFZhb&#10;P/GWTlVslJRwyNFAG+OQax3qlhyGmR+IJTv40WEUOzbajjhJuev1fZKk2mHHstDiQE8t1V/V0Rmo&#10;tw9t9bZ+fP0g97nebSqc0pdnY25v5skSVKRzvBzDL76gQylMe39kG1RvQB6JfypZli7E7g0ssjQD&#10;XRb6P335A1BLAwQUAAAACACHTuJAmnnSVmMCAACCBAAADgAAAGRycy9lMm9Eb2MueG1srVTLbhMx&#10;FN0j8Q+W93TypMmokypqVYRU0UgBsXY8nowlv7CdTMqOFQs+gR/gB9jC1/D4DI5npm0ErBBZOPfO&#10;vXPsc3zunJ0ftCJ74YO0pqDDkwElwnBbSrMt6KuXV09mlITITMmUNaKgtyLQ88XjR2eNy8XI1laV&#10;whOAmJA3rqB1jC7PssBroVk4sU4YFCvrNYtI/TYrPWuArlU2GgyeZo31pfOWixDw9LIr0kWLX1WC&#10;x5uqCiISVVCcLbarb9dNWrPFGcu3nrla8v4Y7B9OoZk02PQe6pJFRnZe/gGlJfc22CqecKszW1WS&#10;i5YD2AwHv7FZ18yJlgvECe5epvD/YPmL/coTWeLuppQYpnFH3z+/+/Hpw7ePX3Ly8+t7hAQ1CNW4&#10;kKN/7Va+zwLCxPpQeZ3+wYccCjqeDsbzMeS+BexkdDqZ9UKLQyQcDbPp6WiKOkfDeDSeIQZi9gDk&#10;fIjPhNUkBQWtlG0uaubjqrvpVmq2vw6xe+2uPZ3B2CupFJ6zXBnSFHQ+HYEaZ3BXpVhEqB34BrOl&#10;hKktbMujbxGPXk2IlyzUZM/gnGCVLDuvaBlhWCU1WAzSrz+5MiCQFOo0SVE8bA69UBtb3kJnbzsD&#10;BsevJHa4ZiGumIfjIAamKN5gSWQLavuIktr6t397nvphBFQpaeBgHPPNjnlBiXpuYJH5cDJJlm+T&#10;CRRH4o8rm+OK2ekLC6pDzKvjbZj6o7oLK2/1awzbMu2KEjMce3fi9clF7CYL48rFctm2weaOxWuz&#10;djyBdze03EVbyfbyklCdOr1+MHprhX4o0yQd523Xw6dj8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Fav4v1QAAAAUBAAAPAAAAAAAAAAEAIAAAACIAAABkcnMvZG93bnJldi54bWxQSwECFAAUAAAA&#10;CACHTuJAmnnSVmMCAACCBAAADgAAAAAAAAABACAAAAAkAQAAZHJzL2Uyb0RvYy54bWxQSwUGAAAA&#10;AAYABgBZAQAA+QUAAAAA&#10;">
                        <v:fill on="f" focussize="0,0"/>
                        <v:stroke on="f" miterlimit="8" joinstyle="miter"/>
                        <v:imagedata o:title=""/>
                        <o:lock v:ext="edit" aspectratio="f"/>
                        <v:textbox>
                          <w:txbxContent>
                            <w:p>
                              <w:pPr>
                                <w:jc w:val="center"/>
                                <w:rPr>
                                  <w:rFonts w:hint="eastAsia"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N、G、S</w:t>
                              </w:r>
                            </w:p>
                          </w:txbxContent>
                        </v:textbox>
                      </v:shape>
                      <v:shape id="_x0000_s1026" o:spid="_x0000_s1026" o:spt="109" type="#_x0000_t109" style="position:absolute;left:3522980;top:2027555;height:323850;width:857250;v-text-anchor:middle;" filled="f" stroked="f" coordsize="21600,21600" o:gfxdata="UEsDBAoAAAAAAIdO4kAAAAAAAAAAAAAAAAAEAAAAZHJzL1BLAwQUAAAACACHTuJAhWr+L9UAAAAF&#10;AQAADwAAAGRycy9kb3ducmV2LnhtbE2PQUvDQBCF74L/YRnBm91USgxpNqUKvSiCTQXxNs1Ok2B2&#10;NmS3Tf33jl7q5cHjDe99U6zOrlcnGkPn2cB8loAirr3tuDHwvtvcZaBCRLbYeyYD3xRgVV5fFZhb&#10;P/GWTlVslJRwyNFAG+OQax3qlhyGmR+IJTv40WEUOzbajjhJuev1fZKk2mHHstDiQE8t1V/V0Rmo&#10;tw9t9bZ+fP0g97nebSqc0pdnY25v5skSVKRzvBzDL76gQylMe39kG1RvQB6JfypZli7E7g0ssjQD&#10;XRb6P335A1BLAwQUAAAACACHTuJAMuDF/mYCAACCBAAADgAAAGRycy9lMm9Eb2MueG1srVTNbtQw&#10;EL4j8Q6W7zS7adNuo2arVasipApWKoiz13E2lvyH7d1suXHiwCPwArwAV3gafh6Dz0naroATIgdn&#10;xjMZz/f5m5yd77QiW+GDtKai04MJJcJwW0uzruirl1dPZpSEyEzNlDWiorci0PP540dnnStFblur&#10;auEJiphQdq6ibYyuzLLAW6FZOLBOGAQb6zWLcP06qz3rUF2rLJ9MjrPO+tp5y0UI2L0cgnTe128a&#10;weOLpgkiElVR9Bb71ffrKq3Z/IyVa89cK/nYBvuHLjSTBofel7pkkZGNl3+U0pJ7G2wTD7jVmW0a&#10;yUWPAWimk9/Q3LTMiR4LyAnunqbw/8ry59ulJ7LG3R1TYpjGHX3//O7Hpw/fPn4pyc+v72ESxEBU&#10;50KJ/Bu39KMXYCbUu8br9AYesqvoYZHnpzPQfVvRfJKfFEUxEC12kXAkzIqTvECcI+EwP5zBRsXs&#10;oZDzIT4VVpNkVLRRtrtomY/L4aZ7qtn2OsThs7v01IOxV1Ip7LNSGdJV9LTICxzFoK5GsQhTO+AN&#10;Zk0JU2vIlkffV9z7NFW8ZKElWwblBKtkPUDQMkKwSmqgmKRn7FwZAEgMDZwkK+5Wu5Gola1vwbO3&#10;gwCD41cSJ1yzEJfMQ3EgA1MUX2BJYCtqR4uS1vq3f9tP+RACopR0UDDafLNhXlCinhlI5HR6dJQk&#10;3ztHYByO34+s9iNmoy8soE4xr473ZsqP6s5svNWvMWyLdCpCzHCcPZA3OhdxmCyMKxeLRZ8GmTsW&#10;r82N46n4cEOLTbSN7C8vETWwM/IHofdSGIcyTdK+32c9/Drm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Fav4v1QAAAAUBAAAPAAAAAAAAAAEAIAAAACIAAABkcnMvZG93bnJldi54bWxQSwECFAAU&#10;AAAACACHTuJAMuDF/mYCAACCBAAADgAAAAAAAAABACAAAAAkAQAAZHJzL2Uyb0RvYy54bWxQSwUG&#10;AAAAAAYABgBZAQAA/AUAAAAA&#10;">
                        <v:fill on="f" focussize="0,0"/>
                        <v:stroke on="f" miterlimit="8" joinstyle="miter"/>
                        <v:imagedata o:title=""/>
                        <o:lock v:ext="edit" aspectratio="f"/>
                        <v:textbox>
                          <w:txbxContent>
                            <w:p>
                              <w:pPr>
                                <w:jc w:val="center"/>
                                <w:rPr>
                                  <w:rFonts w:hint="eastAsia"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N</w:t>
                              </w:r>
                            </w:p>
                          </w:txbxContent>
                        </v:textbox>
                      </v:shape>
                      <v:shape id="_x0000_s1026" o:spid="_x0000_s1026" o:spt="32" type="#_x0000_t32" style="position:absolute;left:3180080;top:970280;height:0;width:285750;"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OeHb48NAgAA4AMAAA4AAABkcnMvZTJvRG9jLnhtbK1TzY7TMBC+&#10;I/EOlu80SZfdlqjpHlqWC4JKwANMHSex5D/ZpklfghdA4gScgNPeeRpYHoOx0ywL3BA++O/zfDPz&#10;zXh1OShJDtx5YXRFi1lOCdfM1EK3FX318urBkhIfQNcgjeYVPXJPL9f37616W/K56YysuSNIon3Z&#10;24p2IdgyyzzruAI/M5ZrBBvjFAQ8ujarHfTIrmQ2z/OLrDeuts4w7j3ebkeQrhN/03AWnjeN54HI&#10;imJsIc0uzfs4Z+sVlK0D2wl2CgP+IQoFQqPTW6otBCCvnfiLSgnmjDdNmDGjMtM0gvGUA2ZT5H9k&#10;86IDy1MuKI63tzL5/0fLnh12jogaa7egRIPCGt28vf7+5sPNl8/f3l//+Pou7j99JIijWL31Jdps&#10;9M7FdH3YDDqZP6S4DBU9GyXlup6QYoKKCGW/McSDtyPX0DgVOVEUEomKZZ4vsWbHij5a5HPcpmLx&#10;IRCG+Hx5vjhHmCGeoAzKicI6H55wo0jcVNQHB6LtwsZojR1hXJFqBYenPsSQoJwMon9troSUyZfU&#10;pK/oxVnyA9iejYSALpVFwbxuKQHZYt+z4BKjN1LU0Tpp49r9RjpygNh7aSQBULW7z6LrLfhufJeg&#10;MVElAn4NKVRFUQkc43UAIR/rmoSjxVoFJ0C3kp+YpT4pPIoa5d2b+rhzk/LYRinhU8vHPr17Tta/&#10;Pub6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mXMrbTAAAABQEAAA8AAAAAAAAAAQAgAAAAIgAA&#10;AGRycy9kb3ducmV2LnhtbFBLAQIUABQAAAAIAIdO4kDnh2+PDQIAAOADAAAOAAAAAAAAAAEAIAAA&#10;ACIBAABkcnMvZTJvRG9jLnhtbFBLBQYAAAAABgAGAFkBAAChBQAAAAA=&#10;">
                        <v:fill on="f" focussize="0,0"/>
                        <v:stroke weight="0.5pt" color="#000000 [3213]" miterlimit="8" joinstyle="miter" endarrow="block"/>
                        <v:imagedata o:title=""/>
                        <o:lock v:ext="edit" aspectratio="f"/>
                      </v:shape>
                      <v:shape id="_x0000_s1026" o:spid="_x0000_s1026" o:spt="32" type="#_x0000_t32" style="position:absolute;left:3180080;top:1589405;height:0;width:323850;"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C0cYFgPAgAA4QMAAA4AAABkcnMvZTJvRG9jLnhtbK1TzY7TMBC+&#10;I/EOlu80SUurbtR0Dy3LBUEl2AeYOk5iyX+yTdO+BC+AxAk4Aae98zSwPAZjJ10WuCFycGzPzDcz&#10;33xeXR6VJAfuvDC6osUkp4RrZmqh24pev7p6tKTEB9A1SKN5RU/c08v1wwer3pZ8ajoja+4Igmhf&#10;9raiXQi2zDLPOq7AT4zlGo2NcQoCHl2b1Q56RFcym+b5IuuNq60zjHuPt9vBSNcJv2k4Cy+axvNA&#10;ZEWxtpBWl9Z9XLP1CsrWge0EG8uAf6hCgdCY9A5qCwHIayf+glKCOeNNEybMqMw0jWA89YDdFPkf&#10;3bzswPLUC5Lj7R1N/v/BsueHnSOixtnhpDQonNHt25vvbz7cfvn87f3Nj6/v4v7TR4J2JKu3vsSY&#10;jd652K4Pm6NO4QuKv2NFZwOlXNdnSzEfTUU0Zb8hxIO3A9axcSpiIikkAhXLPF/izE5Y23x58Tif&#10;j9DHQFh0mM6Wc7QzdEiDzKA8Y1jnw1NuFImbivrgQLRd2BitURLGFWlYcHjmQ6wJynNALECbKyFl&#10;UobUpK/oYpbyAOqzkRAwpbLImNctJSBbFD4LLiF6I0UdoxM5rt1vpCMHiOJLX2IAabvvFlNvwXeD&#10;XzINjSoR8G1IoSqKVOA3XAcQ8omuSThZHFZwAnQr+Ygs9UjxwGrkd2/q086dqUcdpYZHzUeh3j+n&#10;6F8vc/0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ZcyttMAAAAFAQAADwAAAAAAAAABACAAAAAi&#10;AAAAZHJzL2Rvd25yZXYueG1sUEsBAhQAFAAAAAgAh07iQC0cYFgPAgAA4QMAAA4AAAAAAAAAAQAg&#10;AAAAIgEAAGRycy9lMm9Eb2MueG1sUEsFBgAAAAAGAAYAWQEAAKMFAAAAAA==&#10;">
                        <v:fill on="f" focussize="0,0"/>
                        <v:stroke weight="0.5pt" color="#000000 [3213]" miterlimit="8" joinstyle="miter" endarrow="block"/>
                        <v:imagedata o:title=""/>
                        <o:lock v:ext="edit" aspectratio="f"/>
                      </v:shape>
                      <v:shape id="_x0000_s1026" o:spid="_x0000_s1026" o:spt="32" type="#_x0000_t32" style="position:absolute;left:3170555;top:2189480;height:0;width:352425;" filled="f" stroked="t" coordsize="21600,21600" o:gfxdata="UEsDBAoAAAAAAIdO4kAAAAAAAAAAAAAAAAAEAAAAZHJzL1BLAwQUAAAACACHTuJAuZcyttMAAAAF&#10;AQAADwAAAGRycy9kb3ducmV2LnhtbE2PwU7DMBBE70j8g7WVuFEntIpMiNMDUm4IidJy3sYmSRuv&#10;I9tNy9+zcIHLSKNZzbytNlc3itmGOHjSkC8zEJZabwbqNOzem3sFIiYkg6Mnq+HLRtjUtzcVlsZf&#10;6M3O29QJLqFYooY+pamUMra9dRiXfrLE2acPDhPb0EkT8MLlbpQPWVZIhwPxQo+Tfe5te9qenYaX&#10;10e1O+Xz3DTtx3EVqMGV3Gt9t8izJxDJXtPfMfzgMzrUzHTwZzJRjBr4kfSrnKlizfagYa0KBbKu&#10;5H/6+htQSwMEFAAAAAgAh07iQLrFtiESAgAA4QMAAA4AAABkcnMvZTJvRG9jLnhtbK1TzY7TMBC+&#10;I/EOlu80TXfb7UZN99CyXBBUgn2AqeMklvwn2zTtS/ACSJyAE3DaO0/DLo/B2EnLAjdEDo6db+bL&#10;zDefF1d7JcmOOy+MLmk+GlPCNTOV0E1Jb15fP5lT4gPoCqTRvKQH7unV8vGjRWcLPjGtkRV3BEm0&#10;Lzpb0jYEW2SZZy1X4EfGco1gbZyCgEfXZJWDDtmVzCbj8SzrjKusM4x7j1/XPUiXib+uOQsv69rz&#10;QGRJsbaQVpfWbVyz5QKKxoFtBRvKgH+oQoHQ+NMT1RoCkDdO/EWlBHPGmzqMmFGZqWvBeOoBu8nH&#10;f3TzqgXLUy8ojrcnmfz/o2UvdhtHRIWzu6REg8IZ3b+7vXv78f7rl+8fbn98ex/3nz8RxFGszvoC&#10;c1Z642K7Pqz2OqVfUHztS3rWS8p1dUTy2QDlEcp+Y4gHb3uufe1U5ERRSCTKL8bT6ZSSQ0kn+fzy&#10;fD5Mi+8DYTFgOjmfIM4wIEEZFEcO63x4xo0icVNSHxyIpg0rozVawrg8DQt2z32INUFxTIgFaHMt&#10;pEzOkJp0JZ2dTdE7DNCftYSAW2VRMa8bSkA2aHwWXGL0RooqZidxXLNdSUd2EM2XnqQAyvYwLP56&#10;Db7t4xLUa6hEwLshhSrp/JQNRQAhn+qKhIPFYQUnQDeSD8xSDxL3qkZ9t6Y6bNxRevRRanjwfDTq&#10;w3PK/nUz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ZcyttMAAAAFAQAADwAAAAAAAAABACAA&#10;AAAiAAAAZHJzL2Rvd25yZXYueG1sUEsBAhQAFAAAAAgAh07iQLrFtiESAgAA4QMAAA4AAAAAAAAA&#10;AQAgAAAAIgEAAGRycy9lMm9Eb2MueG1sUEsFBgAAAAAGAAYAWQEAAKYFAAAAAA==&#10;">
                        <v:fill on="f" focussize="0,0"/>
                        <v:stroke weight="0.5pt" color="#000000 [3213]" miterlimit="8" joinstyle="miter" endarrow="block"/>
                        <v:imagedata o:title=""/>
                        <o:lock v:ext="edit" aspectratio="f"/>
                      </v:shape>
                      <v:shape id="自选图形 14" o:spid="_x0000_s1026" o:spt="109" type="#_x0000_t109" style="position:absolute;left:179705;top:2522855;height:495300;width:1851025;" filled="f" stroked="t" coordsize="21600,21600" o:gfxdata="UEsDBAoAAAAAAIdO4kAAAAAAAAAAAAAAAAAEAAAAZHJzL1BLAwQUAAAACACHTuJA+FxJBNQAAAAF&#10;AQAADwAAAGRycy9kb3ducmV2LnhtbE2PQU+EMBCF7yb+h2ZMvLllVwSClD2YmHh0103kOKUjEGlL&#10;aBfWf+/oRS8veXmT976p9hc7ioXmMHinYLtJQJBrvRlcp+D09nxXgAgRncHRO1LwRQH29fVVhaXx&#10;qzvQcoyd4BIXSlTQxziVUoa2J4th4ydynH342WJkO3fSzLhyuR3lLkkyaXFwvNDjRE89tZ/Hs1Xw&#10;js1rc58/vGRLrpu0O+R63Wmlbm+2ySOISJf4dww/+IwONTNpf3YmiFEBPxJ/lbMiS9lqBWmRFSDr&#10;Sv6nr78BUEsDBBQAAAAIAIdO4kAEiaQNTQIAAFQEAAAOAAAAZHJzL2Uyb0RvYy54bWytVM2O0zAQ&#10;viPxDpbvbJLSsG3UdLVqtQhpgZUWHsB1nMbC8YSx27ScuCGegRtH3gHeZiV4C8ZOuxS4IXqw7M7f&#10;N998k9nFrjVsq9BpsCXPzlLOlJVQabsu+etXV48mnDkvbCUMWFXyvXL8Yv7wwazvCjWCBkylkFES&#10;64q+K3njfVckiZONaoU7g05ZMtaArfD0xHVSoegpe2uSUZo+SXrAqkOQyjn6dzkY+Tzmr2sl/cu6&#10;dsozU3LC5uOJ8VyFM5nPRLFG0TVaHmCIf0DRCm2p6H2qpfCCbVD/larVEsFB7c8ktAnUtZYq9kDd&#10;ZOkf3dw2olOxFyLHdfc0uf+XVr7Y3iDTVclHRI8VLc3o+4cvP95/vPv07e7rZ5aNA0d95wpyve1u&#10;MHTpumuQbxyzsGiEXatLROgbJSpClgX/5LeA8HAUylb9c6iogth4iHTtamxDQiKC7Sj2fHqe5pzt&#10;CU4+Gk3yfBiQ2nkmg32SZ+mIHCR5jKf54zROMBHFMVGHzj9V0LJwKXltoCeI6G8GicSiYnvtfAAp&#10;iqN7wGDhShsTBWEs60s+zWMpQbJEW8VQB0ZXwS2ygOvVwiDbiiCu+Iu9Ez+nbqHGUrhm8HN7twQ/&#10;tNVqT+I3ui355DTc2JBeRfkeoB4pHEbhd6vdYSorqPbELMIgbVpFujSA7zjrSdYld283AhVn5pml&#10;6Uyz8TjsQXyM8/MwdTy1rE4twkpKVXLP2XBd+GF3Nh3qdUOVskiLhUuaaK0jqwHqgOqgA5JuJPuw&#10;ZmE3Tt/R69fHYP4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FxJBNQAAAAFAQAADwAAAAAAAAAB&#10;ACAAAAAiAAAAZHJzL2Rvd25yZXYueG1sUEsBAhQAFAAAAAgAh07iQASJpA1NAgAAVAQAAA4AAAAA&#10;AAAAAQAgAAAAIwEAAGRycy9lMm9Eb2MueG1sUEsFBgAAAAAGAAYAWQEAAOIFAAAAAA==&#10;">
                        <v:fill on="f" focussize="0,0"/>
                        <v:stroke color="#000000" miterlimit="8" joinstyle="miter" dashstyle="1 1" endcap="round"/>
                        <v:imagedata o:title=""/>
                        <o:lock v:ext="edit" aspectratio="f"/>
                        <v:textbox>
                          <w:txbxContent>
                            <w:p>
                              <w:r>
                                <w:rPr>
                                  <w:rFonts w:hint="eastAsia"/>
                                </w:rPr>
                                <w:t>G—废气  W—废水</w:t>
                              </w:r>
                            </w:p>
                            <w:p>
                              <w:r>
                                <w:rPr>
                                  <w:rFonts w:hint="eastAsia"/>
                                </w:rPr>
                                <w:t>S—固体废物  N—噪声</w:t>
                              </w:r>
                            </w:p>
                          </w:txbxContent>
                        </v:textbox>
                      </v:shape>
                      <w10:wrap type="none"/>
                      <w10:anchorlock/>
                    </v:group>
                  </w:pict>
                </mc:Fallback>
              </mc:AlternateContent>
            </w:r>
          </w:p>
          <w:p>
            <w:pPr>
              <w:spacing w:line="360" w:lineRule="auto"/>
              <w:ind w:firstLine="480" w:firstLineChars="200"/>
              <w:rPr>
                <w:rFonts w:hint="eastAsia" w:eastAsia="宋体"/>
                <w:bCs/>
                <w:color w:val="auto"/>
                <w:sz w:val="24"/>
                <w:lang w:eastAsia="zh-CN"/>
              </w:rPr>
            </w:pPr>
            <w:r>
              <w:rPr>
                <w:bCs/>
                <w:color w:val="auto"/>
                <w:sz w:val="24"/>
              </w:rPr>
              <w:t>工艺流程简述：</w:t>
            </w:r>
          </w:p>
          <w:p>
            <w:pPr>
              <w:spacing w:line="360" w:lineRule="auto"/>
              <w:ind w:firstLine="480" w:firstLineChars="200"/>
              <w:rPr>
                <w:rFonts w:hint="eastAsia" w:eastAsia="宋体"/>
                <w:color w:val="auto"/>
                <w:lang w:eastAsia="zh-CN"/>
              </w:rPr>
            </w:pPr>
            <w:r>
              <w:rPr>
                <w:rFonts w:hint="eastAsia" w:ascii="宋体" w:hAnsi="宋体" w:cs="宋体"/>
                <w:color w:val="auto"/>
                <w:sz w:val="24"/>
                <w:lang w:eastAsia="zh-CN"/>
              </w:rPr>
              <w:t>本项目购进碎布，首先利用</w:t>
            </w:r>
            <w:r>
              <w:rPr>
                <w:rFonts w:hint="eastAsia"/>
                <w:bCs/>
                <w:color w:val="auto"/>
                <w:sz w:val="24"/>
                <w:lang w:eastAsia="zh-CN"/>
              </w:rPr>
              <w:t>开松机将压紧、相互纠缠的碎布扯松、打松，</w:t>
            </w:r>
            <w:r>
              <w:rPr>
                <w:rFonts w:hint="eastAsia"/>
                <w:bCs/>
                <w:color w:val="auto"/>
                <w:sz w:val="24"/>
                <w:highlight w:val="none"/>
                <w:lang w:eastAsia="zh-CN"/>
              </w:rPr>
              <w:t>然后进行梳棉，梳棉工序的任务是将初步开松的纤维进行细微的松解、除杂、均匀混合，最后</w:t>
            </w:r>
            <w:r>
              <w:rPr>
                <w:rFonts w:hint="eastAsia"/>
                <w:bCs/>
                <w:color w:val="auto"/>
                <w:sz w:val="24"/>
                <w:lang w:eastAsia="zh-CN"/>
              </w:rPr>
              <w:t>经过打包，生产出成品再生棉。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9571" w:type="dxa"/>
            <w:tcBorders>
              <w:top w:val="single" w:color="auto" w:sz="4" w:space="0"/>
              <w:bottom w:val="single" w:color="auto" w:sz="4" w:space="0"/>
            </w:tcBorders>
          </w:tcPr>
          <w:p>
            <w:pPr>
              <w:pStyle w:val="18"/>
              <w:spacing w:line="360" w:lineRule="auto"/>
              <w:ind w:firstLine="0"/>
              <w:rPr>
                <w:b/>
                <w:color w:val="auto"/>
                <w:szCs w:val="21"/>
              </w:rPr>
            </w:pPr>
            <w:r>
              <w:rPr>
                <w:b/>
                <w:color w:val="auto"/>
                <w:szCs w:val="21"/>
              </w:rPr>
              <w:t>主要污染工序：</w:t>
            </w:r>
          </w:p>
          <w:p>
            <w:pPr>
              <w:adjustRightInd w:val="0"/>
              <w:spacing w:line="360" w:lineRule="auto"/>
              <w:ind w:firstLine="482" w:firstLineChars="200"/>
              <w:rPr>
                <w:b/>
                <w:color w:val="auto"/>
                <w:sz w:val="24"/>
              </w:rPr>
            </w:pPr>
            <w:r>
              <w:rPr>
                <w:b/>
                <w:color w:val="auto"/>
                <w:sz w:val="24"/>
              </w:rPr>
              <w:t>一、施工期污染工序</w:t>
            </w:r>
          </w:p>
          <w:p>
            <w:pPr>
              <w:spacing w:line="360" w:lineRule="auto"/>
              <w:ind w:firstLine="480" w:firstLineChars="200"/>
              <w:jc w:val="left"/>
              <w:rPr>
                <w:color w:val="auto"/>
                <w:sz w:val="24"/>
              </w:rPr>
            </w:pPr>
            <w:r>
              <w:rPr>
                <w:color w:val="auto"/>
                <w:kern w:val="0"/>
                <w:sz w:val="24"/>
                <w:szCs w:val="24"/>
              </w:rPr>
              <w:t>本项目</w:t>
            </w:r>
            <w:r>
              <w:rPr>
                <w:rFonts w:hint="eastAsia"/>
                <w:color w:val="auto"/>
                <w:kern w:val="0"/>
                <w:sz w:val="24"/>
                <w:szCs w:val="24"/>
              </w:rPr>
              <w:t>已建成</w:t>
            </w:r>
            <w:r>
              <w:rPr>
                <w:color w:val="auto"/>
                <w:kern w:val="0"/>
                <w:sz w:val="24"/>
                <w:szCs w:val="24"/>
              </w:rPr>
              <w:t>，不存在施工期，则施工期不在本环评评价范围之内。</w:t>
            </w:r>
          </w:p>
          <w:p>
            <w:pPr>
              <w:adjustRightInd w:val="0"/>
              <w:spacing w:line="360" w:lineRule="auto"/>
              <w:ind w:firstLine="482" w:firstLineChars="200"/>
              <w:rPr>
                <w:rFonts w:eastAsia="黑体"/>
                <w:b/>
                <w:color w:val="auto"/>
                <w:sz w:val="24"/>
              </w:rPr>
            </w:pPr>
            <w:r>
              <w:rPr>
                <w:b/>
                <w:color w:val="auto"/>
                <w:sz w:val="24"/>
              </w:rPr>
              <w:t>二、运营期污染工序</w:t>
            </w:r>
          </w:p>
          <w:p>
            <w:pPr>
              <w:adjustRightInd w:val="0"/>
              <w:spacing w:line="360" w:lineRule="auto"/>
              <w:ind w:firstLine="480" w:firstLineChars="200"/>
              <w:rPr>
                <w:color w:val="auto"/>
                <w:sz w:val="24"/>
              </w:rPr>
            </w:pPr>
            <w:r>
              <w:rPr>
                <w:color w:val="auto"/>
                <w:sz w:val="24"/>
              </w:rPr>
              <w:t>1、废气</w:t>
            </w:r>
          </w:p>
          <w:p>
            <w:pPr>
              <w:spacing w:line="360" w:lineRule="auto"/>
              <w:ind w:firstLine="480" w:firstLineChars="200"/>
              <w:rPr>
                <w:rFonts w:hint="eastAsia" w:eastAsia="宋体"/>
                <w:color w:val="auto"/>
                <w:sz w:val="24"/>
                <w:lang w:eastAsia="zh-CN"/>
              </w:rPr>
            </w:pPr>
            <w:r>
              <w:rPr>
                <w:color w:val="auto"/>
                <w:sz w:val="24"/>
              </w:rPr>
              <w:t>（1）</w:t>
            </w:r>
            <w:r>
              <w:rPr>
                <w:rFonts w:hint="eastAsia"/>
                <w:color w:val="auto"/>
                <w:sz w:val="24"/>
                <w:lang w:eastAsia="zh-CN"/>
              </w:rPr>
              <w:t>粉尘</w:t>
            </w:r>
          </w:p>
          <w:p>
            <w:pPr>
              <w:adjustRightInd w:val="0"/>
              <w:spacing w:line="360" w:lineRule="auto"/>
              <w:ind w:firstLine="480" w:firstLineChars="200"/>
              <w:rPr>
                <w:rFonts w:hint="eastAsia" w:eastAsia="宋体"/>
                <w:color w:val="auto"/>
                <w:sz w:val="24"/>
                <w:szCs w:val="20"/>
                <w:lang w:val="en-US" w:eastAsia="zh-CN"/>
              </w:rPr>
            </w:pPr>
            <w:r>
              <w:rPr>
                <w:rFonts w:hint="eastAsia"/>
                <w:color w:val="auto"/>
                <w:sz w:val="24"/>
                <w:szCs w:val="20"/>
                <w:lang w:eastAsia="zh-CN"/>
              </w:rPr>
              <w:t>本项目碎布开松、</w:t>
            </w:r>
            <w:r>
              <w:rPr>
                <w:rFonts w:hint="eastAsia"/>
                <w:color w:val="auto"/>
                <w:sz w:val="24"/>
                <w:szCs w:val="20"/>
                <w:highlight w:val="none"/>
                <w:lang w:eastAsia="zh-CN"/>
              </w:rPr>
              <w:t>梳棉过程中会产生粉尘，粉尘产生率约占产品</w:t>
            </w:r>
            <w:r>
              <w:rPr>
                <w:rFonts w:hint="eastAsia"/>
                <w:color w:val="auto"/>
                <w:sz w:val="24"/>
                <w:szCs w:val="20"/>
                <w:highlight w:val="none"/>
                <w:lang w:val="en-US" w:eastAsia="zh-CN"/>
              </w:rPr>
              <w:t>1%，本项目年产200吨再生棉，则粉尘</w:t>
            </w:r>
            <w:r>
              <w:rPr>
                <w:rFonts w:hint="eastAsia"/>
                <w:color w:val="auto"/>
                <w:sz w:val="24"/>
                <w:szCs w:val="20"/>
              </w:rPr>
              <w:t>的产生量为：</w:t>
            </w:r>
          </w:p>
          <w:p>
            <w:pPr>
              <w:adjustRightInd w:val="0"/>
              <w:spacing w:line="360" w:lineRule="auto"/>
              <w:ind w:firstLine="480" w:firstLineChars="200"/>
              <w:rPr>
                <w:rFonts w:hint="eastAsia"/>
                <w:color w:val="auto"/>
                <w:sz w:val="24"/>
                <w:szCs w:val="20"/>
                <w:lang w:eastAsia="zh-CN"/>
              </w:rPr>
            </w:pPr>
            <w:r>
              <w:rPr>
                <w:rFonts w:hint="eastAsia"/>
                <w:color w:val="auto"/>
                <w:sz w:val="24"/>
                <w:szCs w:val="20"/>
                <w:lang w:eastAsia="zh-CN"/>
              </w:rPr>
              <w:t>粉尘</w:t>
            </w:r>
            <w:r>
              <w:rPr>
                <w:rFonts w:hint="eastAsia"/>
                <w:color w:val="auto"/>
                <w:sz w:val="24"/>
                <w:szCs w:val="20"/>
              </w:rPr>
              <w:t>的产生量为：</w:t>
            </w:r>
            <w:r>
              <w:rPr>
                <w:rFonts w:hint="eastAsia"/>
                <w:color w:val="auto"/>
                <w:sz w:val="24"/>
                <w:szCs w:val="20"/>
                <w:lang w:val="en-US" w:eastAsia="zh-CN"/>
              </w:rPr>
              <w:t>200</w:t>
            </w:r>
            <w:r>
              <w:rPr>
                <w:rFonts w:hint="eastAsia"/>
                <w:color w:val="auto"/>
                <w:sz w:val="24"/>
                <w:szCs w:val="20"/>
              </w:rPr>
              <w:t>t/a*</w:t>
            </w:r>
            <w:r>
              <w:rPr>
                <w:rFonts w:hint="eastAsia"/>
                <w:color w:val="auto"/>
                <w:sz w:val="24"/>
                <w:szCs w:val="20"/>
                <w:lang w:val="en-US" w:eastAsia="zh-CN"/>
              </w:rPr>
              <w:t>1%</w:t>
            </w:r>
            <w:r>
              <w:rPr>
                <w:rFonts w:hint="eastAsia"/>
                <w:color w:val="auto"/>
                <w:sz w:val="24"/>
                <w:szCs w:val="20"/>
              </w:rPr>
              <w:t>=</w:t>
            </w:r>
            <w:r>
              <w:rPr>
                <w:rFonts w:hint="eastAsia"/>
                <w:color w:val="auto"/>
                <w:sz w:val="24"/>
                <w:szCs w:val="20"/>
                <w:lang w:val="en-US" w:eastAsia="zh-CN"/>
              </w:rPr>
              <w:t>2</w:t>
            </w:r>
            <w:r>
              <w:rPr>
                <w:rFonts w:hint="eastAsia"/>
                <w:color w:val="auto"/>
                <w:sz w:val="24"/>
                <w:szCs w:val="20"/>
              </w:rPr>
              <w:t>t/a</w:t>
            </w:r>
            <w:r>
              <w:rPr>
                <w:rFonts w:hint="eastAsia"/>
                <w:color w:val="auto"/>
                <w:sz w:val="24"/>
                <w:szCs w:val="20"/>
                <w:lang w:eastAsia="zh-CN"/>
              </w:rPr>
              <w:t>，</w:t>
            </w:r>
          </w:p>
          <w:p>
            <w:pPr>
              <w:adjustRightInd w:val="0"/>
              <w:spacing w:line="360" w:lineRule="auto"/>
              <w:ind w:firstLine="480" w:firstLineChars="200"/>
              <w:rPr>
                <w:color w:val="auto"/>
                <w:sz w:val="24"/>
                <w:szCs w:val="20"/>
              </w:rPr>
            </w:pPr>
            <w:r>
              <w:rPr>
                <w:rFonts w:hint="eastAsia"/>
                <w:color w:val="auto"/>
                <w:sz w:val="24"/>
                <w:szCs w:val="20"/>
                <w:lang w:eastAsia="zh-CN"/>
              </w:rPr>
              <w:t>粉尘的产生浓度为：</w:t>
            </w:r>
            <w:r>
              <w:rPr>
                <w:rFonts w:hint="eastAsia"/>
                <w:color w:val="auto"/>
                <w:sz w:val="24"/>
                <w:szCs w:val="20"/>
                <w:lang w:val="en-US" w:eastAsia="zh-CN"/>
              </w:rPr>
              <w:t>2t/a÷（5000</w:t>
            </w:r>
            <w:r>
              <w:rPr>
                <w:rFonts w:hint="eastAsia"/>
                <w:color w:val="auto"/>
                <w:sz w:val="24"/>
                <w:szCs w:val="20"/>
                <w:highlight w:val="none"/>
                <w:lang w:val="en-US" w:eastAsia="zh-CN"/>
              </w:rPr>
              <w:t>m</w:t>
            </w:r>
            <w:r>
              <w:rPr>
                <w:rFonts w:hint="eastAsia"/>
                <w:color w:val="auto"/>
                <w:sz w:val="24"/>
                <w:szCs w:val="20"/>
                <w:highlight w:val="none"/>
                <w:vertAlign w:val="superscript"/>
                <w:lang w:val="en-US" w:eastAsia="zh-CN"/>
              </w:rPr>
              <w:t>3</w:t>
            </w:r>
            <w:r>
              <w:rPr>
                <w:rFonts w:hint="eastAsia"/>
                <w:color w:val="auto"/>
                <w:sz w:val="24"/>
                <w:szCs w:val="20"/>
                <w:highlight w:val="none"/>
                <w:lang w:val="en-US" w:eastAsia="zh-CN"/>
              </w:rPr>
              <w:t>/h*4800h）*10</w:t>
            </w:r>
            <w:r>
              <w:rPr>
                <w:rFonts w:hint="eastAsia"/>
                <w:color w:val="auto"/>
                <w:sz w:val="24"/>
                <w:szCs w:val="20"/>
                <w:highlight w:val="none"/>
                <w:vertAlign w:val="superscript"/>
                <w:lang w:val="en-US" w:eastAsia="zh-CN"/>
              </w:rPr>
              <w:t>9</w:t>
            </w:r>
            <w:r>
              <w:rPr>
                <w:rFonts w:hint="eastAsia"/>
                <w:color w:val="auto"/>
                <w:sz w:val="24"/>
                <w:szCs w:val="20"/>
                <w:highlight w:val="none"/>
                <w:lang w:val="en-US" w:eastAsia="zh-CN"/>
              </w:rPr>
              <w:t>=83.3mg/m</w:t>
            </w:r>
            <w:r>
              <w:rPr>
                <w:rFonts w:hint="eastAsia"/>
                <w:color w:val="auto"/>
                <w:sz w:val="24"/>
                <w:szCs w:val="20"/>
                <w:highlight w:val="none"/>
                <w:vertAlign w:val="superscript"/>
                <w:lang w:val="en-US" w:eastAsia="zh-CN"/>
              </w:rPr>
              <w:t>3</w:t>
            </w:r>
            <w:r>
              <w:rPr>
                <w:rFonts w:hint="eastAsia"/>
                <w:color w:val="auto"/>
                <w:sz w:val="24"/>
                <w:szCs w:val="20"/>
              </w:rPr>
              <w:t>。</w:t>
            </w:r>
          </w:p>
          <w:p>
            <w:pPr>
              <w:adjustRightInd w:val="0"/>
              <w:spacing w:line="360" w:lineRule="auto"/>
              <w:ind w:firstLine="480" w:firstLineChars="200"/>
              <w:rPr>
                <w:rFonts w:hint="eastAsia" w:eastAsia="宋体"/>
                <w:color w:val="auto"/>
                <w:sz w:val="24"/>
                <w:szCs w:val="20"/>
                <w:lang w:val="en-US" w:eastAsia="zh-CN"/>
              </w:rPr>
            </w:pPr>
            <w:r>
              <w:rPr>
                <w:rFonts w:hint="eastAsia"/>
                <w:color w:val="auto"/>
                <w:sz w:val="24"/>
                <w:szCs w:val="20"/>
                <w:highlight w:val="none"/>
                <w:lang w:val="en-US" w:eastAsia="zh-CN"/>
              </w:rPr>
              <w:t>产生的粉尘经收集后送至2台多筒式除尘机进行除尘处理后经2根15m高的排气筒高空排放。收集效率为90%，风量为5000m</w:t>
            </w:r>
            <w:r>
              <w:rPr>
                <w:rFonts w:hint="eastAsia"/>
                <w:color w:val="auto"/>
                <w:sz w:val="24"/>
                <w:szCs w:val="20"/>
                <w:highlight w:val="none"/>
                <w:vertAlign w:val="superscript"/>
                <w:lang w:val="en-US" w:eastAsia="zh-CN"/>
              </w:rPr>
              <w:t>3</w:t>
            </w:r>
            <w:r>
              <w:rPr>
                <w:rFonts w:hint="eastAsia"/>
                <w:color w:val="auto"/>
                <w:sz w:val="24"/>
                <w:szCs w:val="20"/>
                <w:highlight w:val="none"/>
                <w:lang w:val="en-US" w:eastAsia="zh-CN"/>
              </w:rPr>
              <w:t>/h，除尘效率为90%。项目年工作4800h，则粉尘</w:t>
            </w:r>
            <w:r>
              <w:rPr>
                <w:rFonts w:hint="eastAsia"/>
                <w:color w:val="auto"/>
                <w:sz w:val="24"/>
                <w:szCs w:val="20"/>
              </w:rPr>
              <w:t>的</w:t>
            </w:r>
            <w:r>
              <w:rPr>
                <w:rFonts w:hint="eastAsia"/>
                <w:color w:val="auto"/>
                <w:sz w:val="24"/>
                <w:szCs w:val="20"/>
                <w:lang w:eastAsia="zh-CN"/>
              </w:rPr>
              <w:t>排放情况</w:t>
            </w:r>
            <w:r>
              <w:rPr>
                <w:rFonts w:hint="eastAsia"/>
                <w:color w:val="auto"/>
                <w:sz w:val="24"/>
                <w:szCs w:val="20"/>
              </w:rPr>
              <w:t>为：</w:t>
            </w:r>
          </w:p>
          <w:p>
            <w:pPr>
              <w:adjustRightInd w:val="0"/>
              <w:spacing w:line="360" w:lineRule="auto"/>
              <w:ind w:firstLine="480" w:firstLineChars="200"/>
              <w:rPr>
                <w:rFonts w:hint="eastAsia"/>
                <w:color w:val="auto"/>
                <w:sz w:val="24"/>
                <w:szCs w:val="20"/>
                <w:lang w:eastAsia="zh-CN"/>
              </w:rPr>
            </w:pPr>
            <w:r>
              <w:rPr>
                <w:rFonts w:hint="eastAsia"/>
                <w:color w:val="auto"/>
                <w:sz w:val="24"/>
                <w:szCs w:val="20"/>
                <w:lang w:eastAsia="zh-CN"/>
              </w:rPr>
              <w:t>粉尘</w:t>
            </w:r>
            <w:r>
              <w:rPr>
                <w:rFonts w:hint="eastAsia"/>
                <w:color w:val="auto"/>
                <w:sz w:val="24"/>
                <w:szCs w:val="20"/>
              </w:rPr>
              <w:t>的</w:t>
            </w:r>
            <w:r>
              <w:rPr>
                <w:rFonts w:hint="eastAsia"/>
                <w:color w:val="auto"/>
                <w:sz w:val="24"/>
                <w:szCs w:val="20"/>
                <w:lang w:eastAsia="zh-CN"/>
              </w:rPr>
              <w:t>有组织排放</w:t>
            </w:r>
            <w:r>
              <w:rPr>
                <w:rFonts w:hint="eastAsia"/>
                <w:color w:val="auto"/>
                <w:sz w:val="24"/>
                <w:szCs w:val="20"/>
              </w:rPr>
              <w:t>量为：</w:t>
            </w:r>
            <w:r>
              <w:rPr>
                <w:rFonts w:hint="eastAsia"/>
                <w:color w:val="auto"/>
                <w:sz w:val="24"/>
                <w:szCs w:val="20"/>
                <w:lang w:val="en-US" w:eastAsia="zh-CN"/>
              </w:rPr>
              <w:t>2</w:t>
            </w:r>
            <w:r>
              <w:rPr>
                <w:rFonts w:hint="eastAsia"/>
                <w:color w:val="auto"/>
                <w:sz w:val="24"/>
                <w:szCs w:val="20"/>
              </w:rPr>
              <w:t>t/a*</w:t>
            </w:r>
            <w:r>
              <w:rPr>
                <w:rFonts w:hint="eastAsia"/>
                <w:color w:val="auto"/>
                <w:sz w:val="24"/>
                <w:szCs w:val="20"/>
                <w:lang w:val="en-US" w:eastAsia="zh-CN"/>
              </w:rPr>
              <w:t>90%</w:t>
            </w:r>
            <w:r>
              <w:rPr>
                <w:rFonts w:hint="eastAsia"/>
                <w:color w:val="auto"/>
                <w:sz w:val="24"/>
                <w:szCs w:val="20"/>
              </w:rPr>
              <w:t>*</w:t>
            </w:r>
            <w:r>
              <w:rPr>
                <w:rFonts w:hint="eastAsia"/>
                <w:color w:val="auto"/>
                <w:sz w:val="24"/>
                <w:szCs w:val="20"/>
                <w:lang w:eastAsia="zh-CN"/>
              </w:rPr>
              <w:t>（</w:t>
            </w:r>
            <w:r>
              <w:rPr>
                <w:rFonts w:hint="eastAsia"/>
                <w:color w:val="auto"/>
                <w:sz w:val="24"/>
                <w:szCs w:val="20"/>
                <w:lang w:val="en-US" w:eastAsia="zh-CN"/>
              </w:rPr>
              <w:t>1-90%）</w:t>
            </w:r>
            <w:r>
              <w:rPr>
                <w:rFonts w:hint="eastAsia"/>
                <w:color w:val="auto"/>
                <w:sz w:val="24"/>
                <w:szCs w:val="20"/>
              </w:rPr>
              <w:t>=</w:t>
            </w:r>
            <w:r>
              <w:rPr>
                <w:rFonts w:hint="eastAsia"/>
                <w:color w:val="auto"/>
                <w:sz w:val="24"/>
                <w:szCs w:val="20"/>
                <w:lang w:val="en-US" w:eastAsia="zh-CN"/>
              </w:rPr>
              <w:t>0.18</w:t>
            </w:r>
            <w:r>
              <w:rPr>
                <w:rFonts w:hint="eastAsia"/>
                <w:color w:val="auto"/>
                <w:sz w:val="24"/>
                <w:szCs w:val="20"/>
              </w:rPr>
              <w:t>t/a</w:t>
            </w:r>
            <w:r>
              <w:rPr>
                <w:rFonts w:hint="eastAsia"/>
                <w:color w:val="auto"/>
                <w:sz w:val="24"/>
                <w:szCs w:val="20"/>
                <w:lang w:eastAsia="zh-CN"/>
              </w:rPr>
              <w:t>，</w:t>
            </w:r>
          </w:p>
          <w:p>
            <w:pPr>
              <w:adjustRightInd w:val="0"/>
              <w:spacing w:line="360" w:lineRule="auto"/>
              <w:ind w:firstLine="480" w:firstLineChars="200"/>
              <w:rPr>
                <w:color w:val="auto"/>
                <w:sz w:val="24"/>
                <w:szCs w:val="20"/>
              </w:rPr>
            </w:pPr>
            <w:r>
              <w:rPr>
                <w:rFonts w:hint="eastAsia"/>
                <w:color w:val="auto"/>
                <w:sz w:val="24"/>
                <w:szCs w:val="20"/>
                <w:lang w:eastAsia="zh-CN"/>
              </w:rPr>
              <w:t>粉尘的排放浓度为：</w:t>
            </w:r>
            <w:r>
              <w:rPr>
                <w:rFonts w:hint="eastAsia"/>
                <w:color w:val="auto"/>
                <w:sz w:val="24"/>
                <w:szCs w:val="20"/>
                <w:lang w:val="en-US" w:eastAsia="zh-CN"/>
              </w:rPr>
              <w:t>0.18t/a÷（5000</w:t>
            </w:r>
            <w:r>
              <w:rPr>
                <w:rFonts w:hint="eastAsia"/>
                <w:color w:val="auto"/>
                <w:sz w:val="24"/>
                <w:szCs w:val="20"/>
                <w:highlight w:val="none"/>
                <w:lang w:val="en-US" w:eastAsia="zh-CN"/>
              </w:rPr>
              <w:t>m</w:t>
            </w:r>
            <w:r>
              <w:rPr>
                <w:rFonts w:hint="eastAsia"/>
                <w:color w:val="auto"/>
                <w:sz w:val="24"/>
                <w:szCs w:val="20"/>
                <w:highlight w:val="none"/>
                <w:vertAlign w:val="superscript"/>
                <w:lang w:val="en-US" w:eastAsia="zh-CN"/>
              </w:rPr>
              <w:t>3</w:t>
            </w:r>
            <w:r>
              <w:rPr>
                <w:rFonts w:hint="eastAsia"/>
                <w:color w:val="auto"/>
                <w:sz w:val="24"/>
                <w:szCs w:val="20"/>
                <w:highlight w:val="none"/>
                <w:lang w:val="en-US" w:eastAsia="zh-CN"/>
              </w:rPr>
              <w:t>/h*4800h）*10</w:t>
            </w:r>
            <w:r>
              <w:rPr>
                <w:rFonts w:hint="eastAsia"/>
                <w:color w:val="auto"/>
                <w:sz w:val="24"/>
                <w:szCs w:val="20"/>
                <w:highlight w:val="none"/>
                <w:vertAlign w:val="superscript"/>
                <w:lang w:val="en-US" w:eastAsia="zh-CN"/>
              </w:rPr>
              <w:t>9</w:t>
            </w:r>
            <w:r>
              <w:rPr>
                <w:rFonts w:hint="eastAsia"/>
                <w:color w:val="auto"/>
                <w:sz w:val="24"/>
                <w:szCs w:val="20"/>
                <w:highlight w:val="none"/>
                <w:lang w:val="en-US" w:eastAsia="zh-CN"/>
              </w:rPr>
              <w:t>=7.5mg/m</w:t>
            </w:r>
            <w:r>
              <w:rPr>
                <w:rFonts w:hint="eastAsia"/>
                <w:color w:val="auto"/>
                <w:sz w:val="24"/>
                <w:szCs w:val="20"/>
                <w:highlight w:val="none"/>
                <w:vertAlign w:val="superscript"/>
                <w:lang w:val="en-US" w:eastAsia="zh-CN"/>
              </w:rPr>
              <w:t>3</w:t>
            </w:r>
            <w:r>
              <w:rPr>
                <w:rFonts w:hint="eastAsia"/>
                <w:color w:val="auto"/>
                <w:sz w:val="24"/>
                <w:szCs w:val="20"/>
                <w:lang w:eastAsia="zh-CN"/>
              </w:rPr>
              <w:t>，</w:t>
            </w:r>
          </w:p>
          <w:p>
            <w:pPr>
              <w:adjustRightInd w:val="0"/>
              <w:spacing w:line="360" w:lineRule="auto"/>
              <w:ind w:firstLine="480" w:firstLineChars="200"/>
              <w:rPr>
                <w:rFonts w:hint="eastAsia" w:eastAsia="宋体"/>
                <w:color w:val="auto"/>
                <w:sz w:val="24"/>
                <w:szCs w:val="20"/>
                <w:lang w:val="en-US" w:eastAsia="zh-CN"/>
              </w:rPr>
            </w:pPr>
            <w:r>
              <w:rPr>
                <w:rFonts w:hint="eastAsia"/>
                <w:color w:val="auto"/>
                <w:sz w:val="24"/>
                <w:szCs w:val="20"/>
                <w:lang w:eastAsia="zh-CN"/>
              </w:rPr>
              <w:t>粉尘的无组织排放量为：</w:t>
            </w:r>
            <w:r>
              <w:rPr>
                <w:rFonts w:hint="eastAsia"/>
                <w:color w:val="auto"/>
                <w:sz w:val="24"/>
                <w:szCs w:val="20"/>
                <w:lang w:val="en-US" w:eastAsia="zh-CN"/>
              </w:rPr>
              <w:t>2t/a</w:t>
            </w:r>
            <w:r>
              <w:rPr>
                <w:rFonts w:hint="eastAsia"/>
                <w:color w:val="auto"/>
                <w:sz w:val="24"/>
                <w:szCs w:val="20"/>
              </w:rPr>
              <w:t>*</w:t>
            </w:r>
            <w:r>
              <w:rPr>
                <w:rFonts w:hint="eastAsia"/>
                <w:color w:val="auto"/>
                <w:sz w:val="24"/>
                <w:szCs w:val="20"/>
                <w:lang w:eastAsia="zh-CN"/>
              </w:rPr>
              <w:t>（</w:t>
            </w:r>
            <w:r>
              <w:rPr>
                <w:rFonts w:hint="eastAsia"/>
                <w:color w:val="auto"/>
                <w:sz w:val="24"/>
                <w:szCs w:val="20"/>
                <w:lang w:val="en-US" w:eastAsia="zh-CN"/>
              </w:rPr>
              <w:t>1-90%）=0.2t/a。</w:t>
            </w:r>
          </w:p>
          <w:p>
            <w:pPr>
              <w:adjustRightInd w:val="0"/>
              <w:spacing w:line="360" w:lineRule="auto"/>
              <w:ind w:firstLine="480" w:firstLineChars="200"/>
              <w:rPr>
                <w:color w:val="auto"/>
                <w:sz w:val="24"/>
                <w:szCs w:val="20"/>
              </w:rPr>
            </w:pPr>
            <w:r>
              <w:rPr>
                <w:color w:val="auto"/>
                <w:sz w:val="24"/>
                <w:szCs w:val="20"/>
              </w:rPr>
              <w:t>因此，</w:t>
            </w:r>
            <w:r>
              <w:rPr>
                <w:rFonts w:hint="eastAsia"/>
                <w:color w:val="auto"/>
                <w:sz w:val="24"/>
                <w:szCs w:val="20"/>
                <w:lang w:eastAsia="zh-CN"/>
              </w:rPr>
              <w:t>开松、</w:t>
            </w:r>
            <w:r>
              <w:rPr>
                <w:rFonts w:hint="eastAsia"/>
                <w:color w:val="auto"/>
                <w:sz w:val="24"/>
                <w:szCs w:val="20"/>
                <w:highlight w:val="none"/>
                <w:lang w:eastAsia="zh-CN"/>
              </w:rPr>
              <w:t>梳棉过程中有组织</w:t>
            </w:r>
            <w:r>
              <w:rPr>
                <w:color w:val="auto"/>
                <w:sz w:val="24"/>
                <w:szCs w:val="20"/>
              </w:rPr>
              <w:t>废气产排</w:t>
            </w:r>
            <w:r>
              <w:rPr>
                <w:rFonts w:hint="eastAsia"/>
                <w:color w:val="auto"/>
                <w:sz w:val="24"/>
                <w:szCs w:val="20"/>
                <w:lang w:eastAsia="zh-CN"/>
              </w:rPr>
              <w:t>情况</w:t>
            </w:r>
            <w:r>
              <w:rPr>
                <w:color w:val="auto"/>
                <w:sz w:val="24"/>
                <w:szCs w:val="20"/>
              </w:rPr>
              <w:t>详见下表。</w:t>
            </w:r>
          </w:p>
          <w:p>
            <w:pPr>
              <w:tabs>
                <w:tab w:val="left" w:pos="2457"/>
              </w:tabs>
              <w:autoSpaceDE w:val="0"/>
              <w:autoSpaceDN w:val="0"/>
              <w:adjustRightInd w:val="0"/>
              <w:snapToGrid w:val="0"/>
              <w:jc w:val="center"/>
              <w:rPr>
                <w:b/>
                <w:color w:val="auto"/>
                <w:szCs w:val="21"/>
              </w:rPr>
            </w:pPr>
            <w:r>
              <w:rPr>
                <w:b/>
                <w:color w:val="auto"/>
                <w:szCs w:val="21"/>
                <w:lang w:val="zh-CN"/>
              </w:rPr>
              <w:t>表</w:t>
            </w:r>
            <w:r>
              <w:rPr>
                <w:b/>
                <w:color w:val="auto"/>
                <w:szCs w:val="21"/>
              </w:rPr>
              <w:t>5-</w:t>
            </w:r>
            <w:r>
              <w:rPr>
                <w:rFonts w:hint="eastAsia"/>
                <w:b/>
                <w:color w:val="auto"/>
                <w:szCs w:val="21"/>
                <w:lang w:val="en-US" w:eastAsia="zh-CN"/>
              </w:rPr>
              <w:t xml:space="preserve">1 </w:t>
            </w:r>
            <w:r>
              <w:rPr>
                <w:rFonts w:hint="eastAsia"/>
                <w:b/>
                <w:color w:val="auto"/>
                <w:szCs w:val="21"/>
                <w:lang w:eastAsia="zh-CN"/>
              </w:rPr>
              <w:t>开松、梳棉过程中有组织废气</w:t>
            </w:r>
            <w:r>
              <w:rPr>
                <w:b/>
                <w:color w:val="auto"/>
                <w:szCs w:val="21"/>
              </w:rPr>
              <w:t>产排放情况一览表</w:t>
            </w:r>
          </w:p>
          <w:tbl>
            <w:tblPr>
              <w:tblStyle w:val="31"/>
              <w:tblW w:w="65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3"/>
              <w:gridCol w:w="2179"/>
              <w:gridCol w:w="134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废气类型</w:t>
                  </w: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主要污染物</w:t>
                  </w:r>
                </w:p>
              </w:tc>
              <w:tc>
                <w:tcPr>
                  <w:tcW w:w="1344"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b/>
                      <w:color w:val="auto"/>
                      <w:szCs w:val="21"/>
                      <w:lang w:eastAsia="zh-CN"/>
                    </w:rPr>
                  </w:pPr>
                  <w:r>
                    <w:rPr>
                      <w:rFonts w:hint="eastAsia"/>
                      <w:b/>
                      <w:color w:val="auto"/>
                      <w:szCs w:val="21"/>
                      <w:lang w:eastAsia="zh-CN"/>
                    </w:rPr>
                    <w:t>粉尘</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废气量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eastAsia="zh-CN"/>
                    </w:rPr>
                    <w:t>开松、梳棉过程中</w:t>
                  </w:r>
                  <w:r>
                    <w:rPr>
                      <w:color w:val="auto"/>
                      <w:szCs w:val="21"/>
                    </w:rPr>
                    <w:t>废气</w:t>
                  </w: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产生量（t/a）</w:t>
                  </w:r>
                </w:p>
              </w:tc>
              <w:tc>
                <w:tcPr>
                  <w:tcW w:w="1344"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auto"/>
                      <w:szCs w:val="21"/>
                      <w:lang w:val="en-US" w:eastAsia="zh-CN"/>
                    </w:rPr>
                  </w:pPr>
                  <w:r>
                    <w:rPr>
                      <w:rFonts w:hint="eastAsia"/>
                      <w:color w:val="auto"/>
                      <w:szCs w:val="21"/>
                      <w:lang w:val="en-US" w:eastAsia="zh-CN"/>
                    </w:rPr>
                    <w:t>2</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val="en-US" w:eastAsia="zh-CN"/>
                    </w:rPr>
                    <w:t>2400</w:t>
                  </w:r>
                  <w:r>
                    <w:rPr>
                      <w:color w:val="auto"/>
                      <w:szCs w:val="21"/>
                    </w:rPr>
                    <w:t>万m</w:t>
                  </w:r>
                  <w:r>
                    <w:rPr>
                      <w:color w:val="auto"/>
                      <w:szCs w:val="21"/>
                      <w:vertAlign w:val="superscript"/>
                    </w:rPr>
                    <w:t>3</w:t>
                  </w:r>
                  <w:r>
                    <w:rPr>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产生浓度(mg/Nm</w:t>
                  </w:r>
                  <w:r>
                    <w:rPr>
                      <w:color w:val="auto"/>
                      <w:szCs w:val="21"/>
                      <w:vertAlign w:val="superscript"/>
                    </w:rPr>
                    <w:t>3</w:t>
                  </w:r>
                  <w:r>
                    <w:rPr>
                      <w:color w:val="auto"/>
                      <w:szCs w:val="21"/>
                    </w:rPr>
                    <w:t>)</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rFonts w:hint="eastAsia" w:eastAsia="宋体"/>
                      <w:color w:val="auto"/>
                      <w:szCs w:val="21"/>
                      <w:lang w:val="en-US" w:eastAsia="zh-CN"/>
                    </w:rPr>
                  </w:pPr>
                  <w:r>
                    <w:rPr>
                      <w:rFonts w:hint="eastAsia"/>
                      <w:color w:val="auto"/>
                      <w:szCs w:val="21"/>
                      <w:lang w:val="en-US" w:eastAsia="zh-CN"/>
                    </w:rPr>
                    <w:t>83.3</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6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排放量（t/a）</w:t>
                  </w:r>
                </w:p>
              </w:tc>
              <w:tc>
                <w:tcPr>
                  <w:tcW w:w="1344"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auto"/>
                      <w:szCs w:val="21"/>
                      <w:lang w:val="en-US" w:eastAsia="zh-CN"/>
                    </w:rPr>
                  </w:pPr>
                  <w:r>
                    <w:rPr>
                      <w:rFonts w:hint="eastAsia"/>
                      <w:color w:val="auto"/>
                      <w:szCs w:val="21"/>
                      <w:lang w:val="en-US" w:eastAsia="zh-CN"/>
                    </w:rPr>
                    <w:t>0.18</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val="en-US" w:eastAsia="zh-CN"/>
                    </w:rPr>
                    <w:t>2400</w:t>
                  </w:r>
                  <w:r>
                    <w:rPr>
                      <w:color w:val="auto"/>
                      <w:szCs w:val="21"/>
                    </w:rPr>
                    <w:t>万m</w:t>
                  </w:r>
                  <w:r>
                    <w:rPr>
                      <w:color w:val="auto"/>
                      <w:szCs w:val="21"/>
                      <w:vertAlign w:val="superscript"/>
                    </w:rPr>
                    <w:t>3</w:t>
                  </w:r>
                  <w:r>
                    <w:rPr>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排放浓度(mg/Nm</w:t>
                  </w:r>
                  <w:r>
                    <w:rPr>
                      <w:color w:val="auto"/>
                      <w:szCs w:val="21"/>
                      <w:vertAlign w:val="superscript"/>
                    </w:rPr>
                    <w:t>3</w:t>
                  </w:r>
                  <w:r>
                    <w:rPr>
                      <w:color w:val="auto"/>
                      <w:szCs w:val="21"/>
                    </w:rPr>
                    <w:t>)</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rFonts w:hint="eastAsia" w:eastAsia="宋体"/>
                      <w:color w:val="auto"/>
                      <w:szCs w:val="21"/>
                      <w:lang w:val="en-US" w:eastAsia="zh-CN"/>
                    </w:rPr>
                  </w:pPr>
                  <w:r>
                    <w:rPr>
                      <w:rFonts w:hint="eastAsia"/>
                      <w:color w:val="auto"/>
                      <w:szCs w:val="21"/>
                      <w:lang w:val="en-US" w:eastAsia="zh-CN"/>
                    </w:rPr>
                    <w:t>7.5</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排放标准 (mg/Nm</w:t>
                  </w:r>
                  <w:r>
                    <w:rPr>
                      <w:color w:val="auto"/>
                      <w:szCs w:val="21"/>
                      <w:vertAlign w:val="superscript"/>
                    </w:rPr>
                    <w:t>3</w:t>
                  </w:r>
                  <w:r>
                    <w:rPr>
                      <w:color w:val="auto"/>
                      <w:szCs w:val="21"/>
                    </w:rPr>
                    <w:t>)</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rFonts w:hint="eastAsia"/>
                      <w:color w:val="auto"/>
                      <w:szCs w:val="21"/>
                      <w:lang w:val="en-US" w:eastAsia="zh-CN"/>
                    </w:rPr>
                    <w:t>1</w:t>
                  </w:r>
                  <w:r>
                    <w:rPr>
                      <w:color w:val="auto"/>
                      <w:szCs w:val="21"/>
                    </w:rPr>
                    <w:t>20</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color w:val="auto"/>
                      <w:szCs w:val="21"/>
                    </w:rPr>
                    <w:t>--</w:t>
                  </w:r>
                </w:p>
              </w:tc>
            </w:tr>
          </w:tbl>
          <w:p>
            <w:pPr>
              <w:adjustRightInd w:val="0"/>
              <w:spacing w:line="360" w:lineRule="auto"/>
              <w:ind w:firstLine="480" w:firstLineChars="200"/>
              <w:rPr>
                <w:color w:val="auto"/>
                <w:sz w:val="24"/>
              </w:rPr>
            </w:pPr>
            <w:r>
              <w:rPr>
                <w:color w:val="auto"/>
                <w:sz w:val="24"/>
              </w:rPr>
              <w:t>由上表可知，</w:t>
            </w:r>
            <w:r>
              <w:rPr>
                <w:rFonts w:hint="eastAsia"/>
                <w:color w:val="auto"/>
                <w:sz w:val="24"/>
                <w:szCs w:val="20"/>
                <w:lang w:eastAsia="zh-CN"/>
              </w:rPr>
              <w:t>开松、</w:t>
            </w:r>
            <w:r>
              <w:rPr>
                <w:rFonts w:hint="eastAsia"/>
                <w:color w:val="auto"/>
                <w:sz w:val="24"/>
                <w:szCs w:val="20"/>
                <w:highlight w:val="none"/>
                <w:lang w:eastAsia="zh-CN"/>
              </w:rPr>
              <w:t>梳棉过程中</w:t>
            </w:r>
            <w:r>
              <w:rPr>
                <w:color w:val="auto"/>
                <w:sz w:val="24"/>
                <w:szCs w:val="20"/>
              </w:rPr>
              <w:t>废气</w:t>
            </w:r>
            <w:r>
              <w:rPr>
                <w:color w:val="auto"/>
                <w:sz w:val="24"/>
              </w:rPr>
              <w:t>能满足广东省地方标准《大气污染物排放限值》（DB44/27-2001）第二时段</w:t>
            </w:r>
            <w:r>
              <w:rPr>
                <w:rFonts w:hint="eastAsia"/>
                <w:color w:val="auto"/>
                <w:sz w:val="24"/>
                <w:lang w:eastAsia="zh-CN"/>
              </w:rPr>
              <w:t>二级标准的要求</w:t>
            </w:r>
            <w:r>
              <w:rPr>
                <w:color w:val="auto"/>
                <w:sz w:val="24"/>
              </w:rPr>
              <w:t>。</w:t>
            </w:r>
          </w:p>
          <w:p>
            <w:pPr>
              <w:adjustRightInd w:val="0"/>
              <w:spacing w:line="360" w:lineRule="auto"/>
              <w:ind w:firstLine="482" w:firstLineChars="200"/>
              <w:rPr>
                <w:b/>
                <w:color w:val="auto"/>
                <w:sz w:val="24"/>
              </w:rPr>
            </w:pPr>
            <w:r>
              <w:rPr>
                <w:b/>
                <w:color w:val="auto"/>
                <w:sz w:val="24"/>
              </w:rPr>
              <w:t>2、废水</w:t>
            </w:r>
          </w:p>
          <w:p>
            <w:pPr>
              <w:spacing w:line="360" w:lineRule="auto"/>
              <w:ind w:firstLine="480" w:firstLineChars="200"/>
              <w:rPr>
                <w:rFonts w:hint="eastAsia"/>
                <w:color w:val="auto"/>
                <w:sz w:val="24"/>
                <w:lang w:eastAsia="zh-CN"/>
              </w:rPr>
            </w:pPr>
            <w:r>
              <w:rPr>
                <w:rFonts w:hint="eastAsia"/>
                <w:color w:val="auto"/>
                <w:sz w:val="24"/>
                <w:lang w:eastAsia="zh-CN"/>
              </w:rPr>
              <w:t>项目生产过程不需生产用水，因此没有生产废水产生。本项目产生的污水主要为生活污水。</w:t>
            </w:r>
          </w:p>
          <w:p>
            <w:pPr>
              <w:spacing w:line="360" w:lineRule="auto"/>
              <w:ind w:firstLine="480" w:firstLineChars="200"/>
              <w:rPr>
                <w:bCs/>
                <w:color w:val="auto"/>
                <w:sz w:val="24"/>
              </w:rPr>
            </w:pPr>
            <w:r>
              <w:rPr>
                <w:bCs/>
                <w:color w:val="auto"/>
                <w:sz w:val="24"/>
              </w:rPr>
              <w:t>项目员工总数为</w:t>
            </w:r>
            <w:r>
              <w:rPr>
                <w:rFonts w:hint="eastAsia"/>
                <w:bCs/>
                <w:color w:val="auto"/>
                <w:sz w:val="24"/>
                <w:lang w:val="en-US" w:eastAsia="zh-CN"/>
              </w:rPr>
              <w:t>10</w:t>
            </w:r>
            <w:r>
              <w:rPr>
                <w:bCs/>
                <w:color w:val="auto"/>
                <w:sz w:val="24"/>
              </w:rPr>
              <w:t>人，均在项目内</w:t>
            </w:r>
            <w:r>
              <w:rPr>
                <w:rFonts w:hint="eastAsia"/>
                <w:bCs/>
                <w:color w:val="auto"/>
                <w:sz w:val="24"/>
                <w:lang w:eastAsia="zh-CN"/>
              </w:rPr>
              <w:t>住</w:t>
            </w:r>
            <w:r>
              <w:rPr>
                <w:bCs/>
                <w:color w:val="auto"/>
                <w:sz w:val="24"/>
              </w:rPr>
              <w:t>宿，生活用水约为</w:t>
            </w:r>
            <w:r>
              <w:rPr>
                <w:rFonts w:hint="eastAsia"/>
                <w:bCs/>
                <w:color w:val="auto"/>
                <w:sz w:val="24"/>
                <w:lang w:val="en-US" w:eastAsia="zh-CN"/>
              </w:rPr>
              <w:t>1.85t/d，54</w:t>
            </w:r>
            <w:r>
              <w:rPr>
                <w:rFonts w:hint="eastAsia"/>
                <w:bCs/>
                <w:color w:val="auto"/>
                <w:sz w:val="24"/>
              </w:rPr>
              <w:t>0</w:t>
            </w:r>
            <w:r>
              <w:rPr>
                <w:bCs/>
                <w:color w:val="auto"/>
                <w:sz w:val="24"/>
              </w:rPr>
              <w:t>t/a。项目生活污水排污系数按0.9计算，则生活污水排放量约为</w:t>
            </w:r>
            <w:r>
              <w:rPr>
                <w:rFonts w:hint="eastAsia"/>
                <w:bCs/>
                <w:color w:val="auto"/>
                <w:sz w:val="24"/>
                <w:lang w:val="en-US" w:eastAsia="zh-CN"/>
              </w:rPr>
              <w:t>1.62</w:t>
            </w:r>
            <w:r>
              <w:rPr>
                <w:bCs/>
                <w:color w:val="auto"/>
                <w:sz w:val="24"/>
              </w:rPr>
              <w:t>t/d，</w:t>
            </w:r>
            <w:r>
              <w:rPr>
                <w:rFonts w:hint="eastAsia"/>
                <w:bCs/>
                <w:color w:val="auto"/>
                <w:sz w:val="24"/>
                <w:lang w:val="en-US" w:eastAsia="zh-CN"/>
              </w:rPr>
              <w:t>486</w:t>
            </w:r>
            <w:r>
              <w:rPr>
                <w:bCs/>
                <w:color w:val="auto"/>
                <w:sz w:val="24"/>
              </w:rPr>
              <w:t>t/a，生活污水中主要特征污染物为COD</w:t>
            </w:r>
            <w:r>
              <w:rPr>
                <w:bCs/>
                <w:color w:val="auto"/>
                <w:sz w:val="24"/>
                <w:vertAlign w:val="subscript"/>
              </w:rPr>
              <w:t>Cr</w:t>
            </w:r>
            <w:r>
              <w:rPr>
                <w:bCs/>
                <w:color w:val="auto"/>
                <w:sz w:val="24"/>
              </w:rPr>
              <w:t>、BOD</w:t>
            </w:r>
            <w:r>
              <w:rPr>
                <w:bCs/>
                <w:color w:val="auto"/>
                <w:sz w:val="24"/>
                <w:vertAlign w:val="subscript"/>
              </w:rPr>
              <w:t>5</w:t>
            </w:r>
            <w:r>
              <w:rPr>
                <w:bCs/>
                <w:color w:val="auto"/>
                <w:sz w:val="24"/>
              </w:rPr>
              <w:t>、SS、NH</w:t>
            </w:r>
            <w:r>
              <w:rPr>
                <w:bCs/>
                <w:color w:val="auto"/>
                <w:sz w:val="24"/>
                <w:vertAlign w:val="subscript"/>
              </w:rPr>
              <w:t>3</w:t>
            </w:r>
            <w:r>
              <w:rPr>
                <w:bCs/>
                <w:color w:val="auto"/>
                <w:sz w:val="24"/>
              </w:rPr>
              <w:t>-N等。</w:t>
            </w:r>
          </w:p>
          <w:p>
            <w:pPr>
              <w:spacing w:line="360" w:lineRule="auto"/>
              <w:ind w:firstLine="480" w:firstLineChars="200"/>
              <w:rPr>
                <w:bCs/>
                <w:color w:val="auto"/>
                <w:sz w:val="24"/>
              </w:rPr>
            </w:pPr>
            <w:r>
              <w:rPr>
                <w:rFonts w:hint="eastAsia"/>
                <w:bCs/>
                <w:color w:val="auto"/>
                <w:sz w:val="24"/>
              </w:rPr>
              <w:t>生活污水经</w:t>
            </w:r>
            <w:r>
              <w:rPr>
                <w:rFonts w:hint="eastAsia"/>
                <w:bCs/>
                <w:color w:val="auto"/>
                <w:sz w:val="24"/>
                <w:lang w:eastAsia="zh-CN"/>
              </w:rPr>
              <w:t>生化池</w:t>
            </w:r>
            <w:r>
              <w:rPr>
                <w:rFonts w:hint="eastAsia"/>
                <w:bCs/>
                <w:color w:val="auto"/>
                <w:sz w:val="24"/>
              </w:rPr>
              <w:t>处理达到</w:t>
            </w:r>
            <w:r>
              <w:rPr>
                <w:color w:val="auto"/>
                <w:sz w:val="24"/>
              </w:rPr>
              <w:t>《城市污水再生利用 城市杂用水水质》（GB/T18920-2002）中城市绿化水质标准</w:t>
            </w:r>
            <w:r>
              <w:rPr>
                <w:rFonts w:hint="eastAsia"/>
                <w:bCs/>
                <w:color w:val="auto"/>
                <w:sz w:val="24"/>
              </w:rPr>
              <w:t>后用于厂区绿化灌溉</w:t>
            </w:r>
            <w:r>
              <w:rPr>
                <w:bCs/>
                <w:color w:val="auto"/>
                <w:sz w:val="24"/>
              </w:rPr>
              <w:t>。</w:t>
            </w:r>
          </w:p>
          <w:p>
            <w:pPr>
              <w:pStyle w:val="103"/>
              <w:rPr>
                <w:rFonts w:eastAsia="宋体"/>
                <w:b/>
                <w:color w:val="auto"/>
                <w:sz w:val="21"/>
                <w:szCs w:val="21"/>
              </w:rPr>
            </w:pPr>
            <w:r>
              <w:rPr>
                <w:rFonts w:eastAsia="宋体"/>
                <w:b/>
                <w:color w:val="auto"/>
                <w:sz w:val="21"/>
                <w:szCs w:val="21"/>
              </w:rPr>
              <w:t>表5-</w:t>
            </w:r>
            <w:r>
              <w:rPr>
                <w:rFonts w:hint="eastAsia" w:eastAsia="宋体"/>
                <w:b/>
                <w:color w:val="auto"/>
                <w:sz w:val="21"/>
                <w:szCs w:val="21"/>
                <w:lang w:val="en-US" w:eastAsia="zh-CN"/>
              </w:rPr>
              <w:t xml:space="preserve">2 </w:t>
            </w:r>
            <w:r>
              <w:rPr>
                <w:rFonts w:eastAsia="宋体"/>
                <w:b/>
                <w:color w:val="auto"/>
                <w:sz w:val="21"/>
                <w:szCs w:val="21"/>
              </w:rPr>
              <w:t>项目生活污水主要污染物产生及</w:t>
            </w:r>
            <w:r>
              <w:rPr>
                <w:rFonts w:hint="eastAsia" w:eastAsia="宋体"/>
                <w:b/>
                <w:color w:val="auto"/>
                <w:sz w:val="21"/>
                <w:szCs w:val="21"/>
              </w:rPr>
              <w:t>出水</w:t>
            </w:r>
            <w:r>
              <w:rPr>
                <w:rFonts w:eastAsia="宋体"/>
                <w:b/>
                <w:color w:val="auto"/>
                <w:sz w:val="21"/>
                <w:szCs w:val="21"/>
              </w:rPr>
              <w:t>情况一览表</w:t>
            </w:r>
          </w:p>
          <w:tbl>
            <w:tblPr>
              <w:tblStyle w:val="31"/>
              <w:tblW w:w="84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890"/>
              <w:gridCol w:w="1146"/>
              <w:gridCol w:w="1136"/>
              <w:gridCol w:w="1099"/>
              <w:gridCol w:w="1113"/>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47" w:type="dxa"/>
                  <w:gridSpan w:val="2"/>
                  <w:vMerge w:val="restart"/>
                  <w:vAlign w:val="center"/>
                </w:tcPr>
                <w:p>
                  <w:pPr>
                    <w:adjustRightInd w:val="0"/>
                    <w:snapToGrid w:val="0"/>
                    <w:jc w:val="center"/>
                    <w:rPr>
                      <w:b/>
                      <w:bCs/>
                      <w:color w:val="auto"/>
                      <w:szCs w:val="21"/>
                    </w:rPr>
                  </w:pPr>
                  <w:bookmarkStart w:id="2" w:name="OLE_LINK4"/>
                  <w:r>
                    <w:rPr>
                      <w:b/>
                      <w:bCs/>
                      <w:color w:val="auto"/>
                      <w:szCs w:val="21"/>
                    </w:rPr>
                    <w:t>污染物名称</w:t>
                  </w:r>
                </w:p>
              </w:tc>
              <w:tc>
                <w:tcPr>
                  <w:tcW w:w="1146" w:type="dxa"/>
                  <w:vMerge w:val="restart"/>
                  <w:vAlign w:val="center"/>
                </w:tcPr>
                <w:p>
                  <w:pPr>
                    <w:adjustRightInd w:val="0"/>
                    <w:snapToGrid w:val="0"/>
                    <w:jc w:val="center"/>
                    <w:rPr>
                      <w:b/>
                      <w:color w:val="auto"/>
                      <w:szCs w:val="21"/>
                    </w:rPr>
                  </w:pPr>
                  <w:r>
                    <w:rPr>
                      <w:b/>
                      <w:color w:val="auto"/>
                      <w:szCs w:val="21"/>
                    </w:rPr>
                    <w:t>产生浓度</w:t>
                  </w:r>
                </w:p>
                <w:p>
                  <w:pPr>
                    <w:adjustRightInd w:val="0"/>
                    <w:snapToGrid w:val="0"/>
                    <w:jc w:val="center"/>
                    <w:rPr>
                      <w:b/>
                      <w:color w:val="auto"/>
                      <w:szCs w:val="21"/>
                    </w:rPr>
                  </w:pPr>
                  <w:r>
                    <w:rPr>
                      <w:b/>
                      <w:color w:val="auto"/>
                      <w:szCs w:val="21"/>
                    </w:rPr>
                    <w:t>(mg/L)</w:t>
                  </w:r>
                </w:p>
              </w:tc>
              <w:tc>
                <w:tcPr>
                  <w:tcW w:w="2235" w:type="dxa"/>
                  <w:gridSpan w:val="2"/>
                  <w:vAlign w:val="center"/>
                </w:tcPr>
                <w:p>
                  <w:pPr>
                    <w:adjustRightInd w:val="0"/>
                    <w:snapToGrid w:val="0"/>
                    <w:jc w:val="center"/>
                    <w:rPr>
                      <w:b/>
                      <w:color w:val="auto"/>
                      <w:szCs w:val="21"/>
                    </w:rPr>
                  </w:pPr>
                  <w:r>
                    <w:rPr>
                      <w:b/>
                      <w:color w:val="auto"/>
                      <w:szCs w:val="21"/>
                    </w:rPr>
                    <w:t>产生量</w:t>
                  </w:r>
                </w:p>
              </w:tc>
              <w:tc>
                <w:tcPr>
                  <w:tcW w:w="1113" w:type="dxa"/>
                  <w:vMerge w:val="restart"/>
                  <w:vAlign w:val="center"/>
                </w:tcPr>
                <w:p>
                  <w:pPr>
                    <w:adjustRightInd w:val="0"/>
                    <w:snapToGrid w:val="0"/>
                    <w:jc w:val="center"/>
                    <w:rPr>
                      <w:b/>
                      <w:color w:val="auto"/>
                      <w:szCs w:val="21"/>
                    </w:rPr>
                  </w:pPr>
                  <w:r>
                    <w:rPr>
                      <w:rFonts w:hint="eastAsia"/>
                      <w:b/>
                      <w:color w:val="auto"/>
                      <w:szCs w:val="21"/>
                    </w:rPr>
                    <w:t>治理设施出水</w:t>
                  </w:r>
                  <w:r>
                    <w:rPr>
                      <w:b/>
                      <w:color w:val="auto"/>
                      <w:szCs w:val="21"/>
                    </w:rPr>
                    <w:t>浓度</w:t>
                  </w:r>
                </w:p>
                <w:p>
                  <w:pPr>
                    <w:adjustRightInd w:val="0"/>
                    <w:snapToGrid w:val="0"/>
                    <w:jc w:val="center"/>
                    <w:rPr>
                      <w:b/>
                      <w:color w:val="auto"/>
                      <w:szCs w:val="21"/>
                    </w:rPr>
                  </w:pPr>
                  <w:r>
                    <w:rPr>
                      <w:b/>
                      <w:color w:val="auto"/>
                      <w:szCs w:val="21"/>
                    </w:rPr>
                    <w:t>(mg/L)</w:t>
                  </w:r>
                </w:p>
              </w:tc>
              <w:tc>
                <w:tcPr>
                  <w:tcW w:w="1800" w:type="dxa"/>
                  <w:gridSpan w:val="2"/>
                  <w:vAlign w:val="center"/>
                </w:tcPr>
                <w:p>
                  <w:pPr>
                    <w:adjustRightInd w:val="0"/>
                    <w:snapToGrid w:val="0"/>
                    <w:jc w:val="center"/>
                    <w:rPr>
                      <w:b/>
                      <w:color w:val="auto"/>
                      <w:szCs w:val="21"/>
                    </w:rPr>
                  </w:pPr>
                  <w:r>
                    <w:rPr>
                      <w:rFonts w:hint="eastAsia"/>
                      <w:b/>
                      <w:color w:val="auto"/>
                      <w:szCs w:val="21"/>
                    </w:rPr>
                    <w:t>出水</w:t>
                  </w:r>
                  <w:r>
                    <w:rPr>
                      <w:b/>
                      <w:color w:val="auto"/>
                      <w:szCs w:val="21"/>
                    </w:rPr>
                    <w:t>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 w:hRule="atLeast"/>
                <w:jc w:val="center"/>
              </w:trPr>
              <w:tc>
                <w:tcPr>
                  <w:tcW w:w="2147" w:type="dxa"/>
                  <w:gridSpan w:val="2"/>
                  <w:vMerge w:val="continue"/>
                  <w:vAlign w:val="center"/>
                </w:tcPr>
                <w:p>
                  <w:pPr>
                    <w:adjustRightInd w:val="0"/>
                    <w:snapToGrid w:val="0"/>
                    <w:jc w:val="center"/>
                    <w:rPr>
                      <w:b/>
                      <w:bCs/>
                      <w:color w:val="auto"/>
                      <w:szCs w:val="21"/>
                    </w:rPr>
                  </w:pPr>
                </w:p>
              </w:tc>
              <w:tc>
                <w:tcPr>
                  <w:tcW w:w="1146" w:type="dxa"/>
                  <w:vMerge w:val="continue"/>
                  <w:vAlign w:val="center"/>
                </w:tcPr>
                <w:p>
                  <w:pPr>
                    <w:adjustRightInd w:val="0"/>
                    <w:snapToGrid w:val="0"/>
                    <w:jc w:val="center"/>
                    <w:rPr>
                      <w:b/>
                      <w:color w:val="auto"/>
                      <w:szCs w:val="21"/>
                    </w:rPr>
                  </w:pPr>
                </w:p>
              </w:tc>
              <w:tc>
                <w:tcPr>
                  <w:tcW w:w="1136" w:type="dxa"/>
                  <w:vAlign w:val="center"/>
                </w:tcPr>
                <w:p>
                  <w:pPr>
                    <w:adjustRightInd w:val="0"/>
                    <w:snapToGrid w:val="0"/>
                    <w:jc w:val="center"/>
                    <w:rPr>
                      <w:b/>
                      <w:color w:val="auto"/>
                      <w:szCs w:val="21"/>
                    </w:rPr>
                  </w:pPr>
                  <w:r>
                    <w:rPr>
                      <w:b/>
                      <w:color w:val="auto"/>
                      <w:szCs w:val="21"/>
                    </w:rPr>
                    <w:t>kg/d</w:t>
                  </w:r>
                </w:p>
              </w:tc>
              <w:tc>
                <w:tcPr>
                  <w:tcW w:w="1099" w:type="dxa"/>
                  <w:vAlign w:val="center"/>
                </w:tcPr>
                <w:p>
                  <w:pPr>
                    <w:adjustRightInd w:val="0"/>
                    <w:snapToGrid w:val="0"/>
                    <w:jc w:val="center"/>
                    <w:rPr>
                      <w:b/>
                      <w:color w:val="auto"/>
                      <w:szCs w:val="21"/>
                    </w:rPr>
                  </w:pPr>
                  <w:r>
                    <w:rPr>
                      <w:b/>
                      <w:color w:val="auto"/>
                      <w:szCs w:val="21"/>
                    </w:rPr>
                    <w:t>t/a</w:t>
                  </w:r>
                </w:p>
              </w:tc>
              <w:tc>
                <w:tcPr>
                  <w:tcW w:w="1113" w:type="dxa"/>
                  <w:vMerge w:val="continue"/>
                  <w:vAlign w:val="center"/>
                </w:tcPr>
                <w:p>
                  <w:pPr>
                    <w:adjustRightInd w:val="0"/>
                    <w:snapToGrid w:val="0"/>
                    <w:jc w:val="center"/>
                    <w:rPr>
                      <w:b/>
                      <w:color w:val="auto"/>
                      <w:szCs w:val="21"/>
                    </w:rPr>
                  </w:pPr>
                </w:p>
              </w:tc>
              <w:tc>
                <w:tcPr>
                  <w:tcW w:w="900" w:type="dxa"/>
                  <w:vAlign w:val="center"/>
                </w:tcPr>
                <w:p>
                  <w:pPr>
                    <w:adjustRightInd w:val="0"/>
                    <w:snapToGrid w:val="0"/>
                    <w:jc w:val="center"/>
                    <w:rPr>
                      <w:b/>
                      <w:color w:val="auto"/>
                      <w:szCs w:val="21"/>
                    </w:rPr>
                  </w:pPr>
                  <w:r>
                    <w:rPr>
                      <w:b/>
                      <w:color w:val="auto"/>
                      <w:szCs w:val="21"/>
                    </w:rPr>
                    <w:t>kg/d</w:t>
                  </w:r>
                </w:p>
              </w:tc>
              <w:tc>
                <w:tcPr>
                  <w:tcW w:w="900" w:type="dxa"/>
                  <w:vAlign w:val="center"/>
                </w:tcPr>
                <w:p>
                  <w:pPr>
                    <w:adjustRightInd w:val="0"/>
                    <w:snapToGrid w:val="0"/>
                    <w:jc w:val="center"/>
                    <w:rPr>
                      <w:b/>
                      <w:color w:val="auto"/>
                      <w:szCs w:val="21"/>
                    </w:rPr>
                  </w:pPr>
                  <w:r>
                    <w:rPr>
                      <w:b/>
                      <w:color w:val="auto"/>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restart"/>
                  <w:vAlign w:val="center"/>
                </w:tcPr>
                <w:p>
                  <w:pPr>
                    <w:adjustRightInd w:val="0"/>
                    <w:snapToGrid w:val="0"/>
                    <w:jc w:val="center"/>
                    <w:rPr>
                      <w:color w:val="auto"/>
                      <w:szCs w:val="21"/>
                    </w:rPr>
                  </w:pPr>
                  <w:r>
                    <w:rPr>
                      <w:color w:val="auto"/>
                      <w:szCs w:val="21"/>
                    </w:rPr>
                    <w:t>生活污水</w:t>
                  </w:r>
                  <w:r>
                    <w:rPr>
                      <w:rFonts w:hint="eastAsia"/>
                      <w:color w:val="auto"/>
                      <w:szCs w:val="21"/>
                      <w:lang w:val="en-US" w:eastAsia="zh-CN"/>
                    </w:rPr>
                    <w:t>1.62</w:t>
                  </w:r>
                  <w:r>
                    <w:rPr>
                      <w:color w:val="auto"/>
                      <w:szCs w:val="21"/>
                    </w:rPr>
                    <w:t>m</w:t>
                  </w:r>
                  <w:r>
                    <w:rPr>
                      <w:color w:val="auto"/>
                      <w:szCs w:val="21"/>
                      <w:vertAlign w:val="superscript"/>
                    </w:rPr>
                    <w:t>3</w:t>
                  </w:r>
                  <w:r>
                    <w:rPr>
                      <w:color w:val="auto"/>
                      <w:szCs w:val="21"/>
                    </w:rPr>
                    <w:t>/d、</w:t>
                  </w:r>
                  <w:r>
                    <w:rPr>
                      <w:rFonts w:hint="eastAsia"/>
                      <w:color w:val="auto"/>
                      <w:szCs w:val="21"/>
                      <w:lang w:val="en-US" w:eastAsia="zh-CN"/>
                    </w:rPr>
                    <w:t>486</w:t>
                  </w:r>
                  <w:r>
                    <w:rPr>
                      <w:color w:val="auto"/>
                      <w:szCs w:val="21"/>
                    </w:rPr>
                    <w:t>m</w:t>
                  </w:r>
                  <w:r>
                    <w:rPr>
                      <w:color w:val="auto"/>
                      <w:szCs w:val="21"/>
                      <w:vertAlign w:val="superscript"/>
                    </w:rPr>
                    <w:t>3</w:t>
                  </w:r>
                  <w:r>
                    <w:rPr>
                      <w:color w:val="auto"/>
                      <w:szCs w:val="21"/>
                    </w:rPr>
                    <w:t>/a</w:t>
                  </w:r>
                </w:p>
              </w:tc>
              <w:tc>
                <w:tcPr>
                  <w:tcW w:w="890" w:type="dxa"/>
                  <w:vAlign w:val="center"/>
                </w:tcPr>
                <w:p>
                  <w:pPr>
                    <w:adjustRightInd w:val="0"/>
                    <w:snapToGrid w:val="0"/>
                    <w:jc w:val="center"/>
                    <w:rPr>
                      <w:bCs/>
                      <w:color w:val="auto"/>
                      <w:szCs w:val="21"/>
                    </w:rPr>
                  </w:pPr>
                  <w:r>
                    <w:rPr>
                      <w:bCs/>
                      <w:color w:val="auto"/>
                      <w:szCs w:val="21"/>
                    </w:rPr>
                    <w:t>COD</w:t>
                  </w:r>
                  <w:r>
                    <w:rPr>
                      <w:bCs/>
                      <w:color w:val="auto"/>
                      <w:szCs w:val="21"/>
                      <w:vertAlign w:val="subscript"/>
                    </w:rPr>
                    <w:t>Cr</w:t>
                  </w:r>
                </w:p>
              </w:tc>
              <w:tc>
                <w:tcPr>
                  <w:tcW w:w="1146" w:type="dxa"/>
                  <w:vAlign w:val="center"/>
                </w:tcPr>
                <w:p>
                  <w:pPr>
                    <w:adjustRightInd w:val="0"/>
                    <w:snapToGrid w:val="0"/>
                    <w:jc w:val="center"/>
                    <w:rPr>
                      <w:color w:val="auto"/>
                      <w:szCs w:val="21"/>
                    </w:rPr>
                  </w:pPr>
                  <w:r>
                    <w:rPr>
                      <w:color w:val="auto"/>
                      <w:szCs w:val="21"/>
                    </w:rPr>
                    <w:t>250</w:t>
                  </w:r>
                </w:p>
              </w:tc>
              <w:tc>
                <w:tcPr>
                  <w:tcW w:w="1136" w:type="dxa"/>
                  <w:vAlign w:val="center"/>
                </w:tcPr>
                <w:p>
                  <w:pPr>
                    <w:widowControl/>
                    <w:adjustRightInd w:val="0"/>
                    <w:snapToGrid w:val="0"/>
                    <w:jc w:val="center"/>
                    <w:rPr>
                      <w:rFonts w:hint="eastAsia" w:eastAsia="宋体"/>
                      <w:color w:val="auto"/>
                      <w:sz w:val="22"/>
                      <w:lang w:val="en-US" w:eastAsia="zh-CN"/>
                    </w:rPr>
                  </w:pPr>
                  <w:r>
                    <w:rPr>
                      <w:rFonts w:hint="eastAsia"/>
                      <w:color w:val="auto"/>
                      <w:sz w:val="22"/>
                      <w:lang w:val="en-US" w:eastAsia="zh-CN"/>
                    </w:rPr>
                    <w:t>0.41</w:t>
                  </w:r>
                </w:p>
              </w:tc>
              <w:tc>
                <w:tcPr>
                  <w:tcW w:w="1099" w:type="dxa"/>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1.22</w:t>
                  </w:r>
                </w:p>
              </w:tc>
              <w:tc>
                <w:tcPr>
                  <w:tcW w:w="1113" w:type="dxa"/>
                  <w:vAlign w:val="center"/>
                </w:tcPr>
                <w:p>
                  <w:pPr>
                    <w:adjustRightInd w:val="0"/>
                    <w:snapToGrid w:val="0"/>
                    <w:jc w:val="center"/>
                    <w:rPr>
                      <w:color w:val="auto"/>
                      <w:szCs w:val="21"/>
                    </w:rPr>
                  </w:pPr>
                  <w:r>
                    <w:rPr>
                      <w:rFonts w:hint="eastAsia"/>
                      <w:color w:val="auto"/>
                      <w:szCs w:val="21"/>
                    </w:rPr>
                    <w:t>150</w:t>
                  </w:r>
                </w:p>
              </w:tc>
              <w:tc>
                <w:tcPr>
                  <w:tcW w:w="900" w:type="dxa"/>
                  <w:vAlign w:val="center"/>
                </w:tcPr>
                <w:p>
                  <w:pPr>
                    <w:widowControl/>
                    <w:adjustRightInd w:val="0"/>
                    <w:snapToGrid w:val="0"/>
                    <w:jc w:val="center"/>
                    <w:rPr>
                      <w:rFonts w:hint="eastAsia" w:eastAsia="宋体"/>
                      <w:color w:val="auto"/>
                      <w:sz w:val="22"/>
                      <w:lang w:val="en-US" w:eastAsia="zh-CN"/>
                    </w:rPr>
                  </w:pPr>
                  <w:r>
                    <w:rPr>
                      <w:rFonts w:hint="eastAsia"/>
                      <w:color w:val="auto"/>
                      <w:sz w:val="22"/>
                      <w:lang w:val="en-US" w:eastAsia="zh-CN"/>
                    </w:rPr>
                    <w:t>0.24</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continue"/>
                  <w:vAlign w:val="center"/>
                </w:tcPr>
                <w:p>
                  <w:pPr>
                    <w:adjustRightInd w:val="0"/>
                    <w:snapToGrid w:val="0"/>
                    <w:jc w:val="center"/>
                    <w:rPr>
                      <w:bCs/>
                      <w:color w:val="auto"/>
                      <w:szCs w:val="21"/>
                    </w:rPr>
                  </w:pPr>
                </w:p>
              </w:tc>
              <w:tc>
                <w:tcPr>
                  <w:tcW w:w="890" w:type="dxa"/>
                  <w:vAlign w:val="center"/>
                </w:tcPr>
                <w:p>
                  <w:pPr>
                    <w:adjustRightInd w:val="0"/>
                    <w:snapToGrid w:val="0"/>
                    <w:jc w:val="center"/>
                    <w:rPr>
                      <w:bCs/>
                      <w:color w:val="auto"/>
                      <w:szCs w:val="21"/>
                    </w:rPr>
                  </w:pPr>
                  <w:r>
                    <w:rPr>
                      <w:bCs/>
                      <w:color w:val="auto"/>
                      <w:szCs w:val="21"/>
                    </w:rPr>
                    <w:t>BOD</w:t>
                  </w:r>
                  <w:r>
                    <w:rPr>
                      <w:bCs/>
                      <w:color w:val="auto"/>
                      <w:szCs w:val="21"/>
                      <w:vertAlign w:val="subscript"/>
                    </w:rPr>
                    <w:t>5</w:t>
                  </w:r>
                </w:p>
              </w:tc>
              <w:tc>
                <w:tcPr>
                  <w:tcW w:w="1146" w:type="dxa"/>
                  <w:vAlign w:val="center"/>
                </w:tcPr>
                <w:p>
                  <w:pPr>
                    <w:adjustRightInd w:val="0"/>
                    <w:snapToGrid w:val="0"/>
                    <w:jc w:val="center"/>
                    <w:rPr>
                      <w:color w:val="auto"/>
                      <w:szCs w:val="21"/>
                    </w:rPr>
                  </w:pPr>
                  <w:r>
                    <w:rPr>
                      <w:color w:val="auto"/>
                      <w:szCs w:val="21"/>
                    </w:rPr>
                    <w:t>200</w:t>
                  </w:r>
                </w:p>
              </w:tc>
              <w:tc>
                <w:tcPr>
                  <w:tcW w:w="1136"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0.32</w:t>
                  </w:r>
                </w:p>
              </w:tc>
              <w:tc>
                <w:tcPr>
                  <w:tcW w:w="1099" w:type="dxa"/>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0.097</w:t>
                  </w:r>
                </w:p>
              </w:tc>
              <w:tc>
                <w:tcPr>
                  <w:tcW w:w="1113" w:type="dxa"/>
                  <w:vAlign w:val="center"/>
                </w:tcPr>
                <w:p>
                  <w:pPr>
                    <w:adjustRightInd w:val="0"/>
                    <w:snapToGrid w:val="0"/>
                    <w:jc w:val="center"/>
                    <w:rPr>
                      <w:color w:val="auto"/>
                      <w:szCs w:val="21"/>
                    </w:rPr>
                  </w:pPr>
                  <w:r>
                    <w:rPr>
                      <w:rFonts w:hint="eastAsia"/>
                      <w:color w:val="auto"/>
                      <w:szCs w:val="21"/>
                    </w:rPr>
                    <w:t>20</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0.03</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continue"/>
                  <w:vAlign w:val="center"/>
                </w:tcPr>
                <w:p>
                  <w:pPr>
                    <w:adjustRightInd w:val="0"/>
                    <w:snapToGrid w:val="0"/>
                    <w:jc w:val="center"/>
                    <w:rPr>
                      <w:bCs/>
                      <w:color w:val="auto"/>
                      <w:szCs w:val="21"/>
                    </w:rPr>
                  </w:pPr>
                </w:p>
              </w:tc>
              <w:tc>
                <w:tcPr>
                  <w:tcW w:w="890" w:type="dxa"/>
                  <w:vAlign w:val="center"/>
                </w:tcPr>
                <w:p>
                  <w:pPr>
                    <w:adjustRightInd w:val="0"/>
                    <w:snapToGrid w:val="0"/>
                    <w:jc w:val="center"/>
                    <w:rPr>
                      <w:bCs/>
                      <w:color w:val="auto"/>
                      <w:szCs w:val="21"/>
                    </w:rPr>
                  </w:pPr>
                  <w:r>
                    <w:rPr>
                      <w:bCs/>
                      <w:color w:val="auto"/>
                      <w:szCs w:val="21"/>
                    </w:rPr>
                    <w:t>SS</w:t>
                  </w:r>
                </w:p>
              </w:tc>
              <w:tc>
                <w:tcPr>
                  <w:tcW w:w="1146" w:type="dxa"/>
                  <w:vAlign w:val="center"/>
                </w:tcPr>
                <w:p>
                  <w:pPr>
                    <w:adjustRightInd w:val="0"/>
                    <w:snapToGrid w:val="0"/>
                    <w:jc w:val="center"/>
                    <w:rPr>
                      <w:color w:val="auto"/>
                      <w:szCs w:val="21"/>
                    </w:rPr>
                  </w:pPr>
                  <w:r>
                    <w:rPr>
                      <w:rFonts w:hint="eastAsia"/>
                      <w:color w:val="auto"/>
                      <w:szCs w:val="21"/>
                    </w:rPr>
                    <w:t>2</w:t>
                  </w:r>
                  <w:r>
                    <w:rPr>
                      <w:color w:val="auto"/>
                      <w:szCs w:val="21"/>
                    </w:rPr>
                    <w:t>0</w:t>
                  </w:r>
                  <w:r>
                    <w:rPr>
                      <w:rFonts w:hint="eastAsia"/>
                      <w:color w:val="auto"/>
                      <w:szCs w:val="21"/>
                    </w:rPr>
                    <w:t>0</w:t>
                  </w:r>
                </w:p>
              </w:tc>
              <w:tc>
                <w:tcPr>
                  <w:tcW w:w="1136" w:type="dxa"/>
                  <w:vAlign w:val="center"/>
                </w:tcPr>
                <w:p>
                  <w:pPr>
                    <w:adjustRightInd w:val="0"/>
                    <w:snapToGrid w:val="0"/>
                    <w:jc w:val="center"/>
                    <w:rPr>
                      <w:color w:val="auto"/>
                      <w:sz w:val="22"/>
                    </w:rPr>
                  </w:pPr>
                  <w:r>
                    <w:rPr>
                      <w:rFonts w:hint="eastAsia"/>
                      <w:color w:val="auto"/>
                      <w:sz w:val="22"/>
                      <w:lang w:val="en-US" w:eastAsia="zh-CN"/>
                    </w:rPr>
                    <w:t>0.32</w:t>
                  </w:r>
                </w:p>
              </w:tc>
              <w:tc>
                <w:tcPr>
                  <w:tcW w:w="1099" w:type="dxa"/>
                  <w:vAlign w:val="center"/>
                </w:tcPr>
                <w:p>
                  <w:pPr>
                    <w:adjustRightInd w:val="0"/>
                    <w:snapToGrid w:val="0"/>
                    <w:jc w:val="center"/>
                    <w:rPr>
                      <w:color w:val="auto"/>
                      <w:szCs w:val="21"/>
                    </w:rPr>
                  </w:pPr>
                  <w:r>
                    <w:rPr>
                      <w:rFonts w:hint="eastAsia"/>
                      <w:color w:val="auto"/>
                      <w:szCs w:val="21"/>
                      <w:lang w:val="en-US" w:eastAsia="zh-CN"/>
                    </w:rPr>
                    <w:t>0.097</w:t>
                  </w:r>
                </w:p>
              </w:tc>
              <w:tc>
                <w:tcPr>
                  <w:tcW w:w="1113" w:type="dxa"/>
                  <w:vAlign w:val="center"/>
                </w:tcPr>
                <w:p>
                  <w:pPr>
                    <w:adjustRightInd w:val="0"/>
                    <w:snapToGrid w:val="0"/>
                    <w:jc w:val="center"/>
                    <w:rPr>
                      <w:color w:val="auto"/>
                      <w:szCs w:val="21"/>
                    </w:rPr>
                  </w:pPr>
                  <w:r>
                    <w:rPr>
                      <w:rFonts w:hint="eastAsia"/>
                      <w:color w:val="auto"/>
                      <w:szCs w:val="21"/>
                    </w:rPr>
                    <w:t>80</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0.13</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continue"/>
                  <w:vAlign w:val="center"/>
                </w:tcPr>
                <w:p>
                  <w:pPr>
                    <w:adjustRightInd w:val="0"/>
                    <w:snapToGrid w:val="0"/>
                    <w:jc w:val="center"/>
                    <w:rPr>
                      <w:bCs/>
                      <w:color w:val="auto"/>
                      <w:szCs w:val="21"/>
                    </w:rPr>
                  </w:pPr>
                </w:p>
              </w:tc>
              <w:tc>
                <w:tcPr>
                  <w:tcW w:w="890" w:type="dxa"/>
                  <w:vAlign w:val="center"/>
                </w:tcPr>
                <w:p>
                  <w:pPr>
                    <w:adjustRightInd w:val="0"/>
                    <w:snapToGrid w:val="0"/>
                    <w:jc w:val="center"/>
                    <w:rPr>
                      <w:bCs/>
                      <w:color w:val="auto"/>
                      <w:szCs w:val="21"/>
                    </w:rPr>
                  </w:pPr>
                  <w:r>
                    <w:rPr>
                      <w:bCs/>
                      <w:color w:val="auto"/>
                      <w:szCs w:val="21"/>
                    </w:rPr>
                    <w:t>NH</w:t>
                  </w:r>
                  <w:r>
                    <w:rPr>
                      <w:bCs/>
                      <w:color w:val="auto"/>
                      <w:szCs w:val="21"/>
                      <w:vertAlign w:val="subscript"/>
                    </w:rPr>
                    <w:t>3</w:t>
                  </w:r>
                  <w:r>
                    <w:rPr>
                      <w:bCs/>
                      <w:color w:val="auto"/>
                      <w:szCs w:val="21"/>
                    </w:rPr>
                    <w:t>-N</w:t>
                  </w:r>
                </w:p>
              </w:tc>
              <w:tc>
                <w:tcPr>
                  <w:tcW w:w="1146" w:type="dxa"/>
                  <w:vAlign w:val="center"/>
                </w:tcPr>
                <w:p>
                  <w:pPr>
                    <w:adjustRightInd w:val="0"/>
                    <w:snapToGrid w:val="0"/>
                    <w:jc w:val="center"/>
                    <w:rPr>
                      <w:color w:val="auto"/>
                      <w:szCs w:val="21"/>
                    </w:rPr>
                  </w:pPr>
                  <w:r>
                    <w:rPr>
                      <w:rFonts w:hint="eastAsia"/>
                      <w:color w:val="auto"/>
                      <w:szCs w:val="21"/>
                    </w:rPr>
                    <w:t>40</w:t>
                  </w:r>
                </w:p>
              </w:tc>
              <w:tc>
                <w:tcPr>
                  <w:tcW w:w="1136"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0.06</w:t>
                  </w:r>
                </w:p>
              </w:tc>
              <w:tc>
                <w:tcPr>
                  <w:tcW w:w="1099" w:type="dxa"/>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0.02</w:t>
                  </w:r>
                </w:p>
              </w:tc>
              <w:tc>
                <w:tcPr>
                  <w:tcW w:w="1113" w:type="dxa"/>
                  <w:vAlign w:val="center"/>
                </w:tcPr>
                <w:p>
                  <w:pPr>
                    <w:adjustRightInd w:val="0"/>
                    <w:snapToGrid w:val="0"/>
                    <w:jc w:val="center"/>
                    <w:rPr>
                      <w:color w:val="auto"/>
                      <w:szCs w:val="21"/>
                    </w:rPr>
                  </w:pPr>
                  <w:r>
                    <w:rPr>
                      <w:rFonts w:hint="eastAsia"/>
                      <w:color w:val="auto"/>
                      <w:szCs w:val="21"/>
                    </w:rPr>
                    <w:t>20</w:t>
                  </w:r>
                </w:p>
              </w:tc>
              <w:tc>
                <w:tcPr>
                  <w:tcW w:w="900" w:type="dxa"/>
                  <w:vAlign w:val="center"/>
                </w:tcPr>
                <w:p>
                  <w:pPr>
                    <w:adjustRightInd w:val="0"/>
                    <w:snapToGrid w:val="0"/>
                    <w:jc w:val="center"/>
                    <w:rPr>
                      <w:color w:val="auto"/>
                      <w:sz w:val="22"/>
                    </w:rPr>
                  </w:pPr>
                  <w:r>
                    <w:rPr>
                      <w:rFonts w:hint="eastAsia"/>
                      <w:color w:val="auto"/>
                      <w:sz w:val="22"/>
                      <w:lang w:val="en-US" w:eastAsia="zh-CN"/>
                    </w:rPr>
                    <w:t>0.03</w:t>
                  </w:r>
                </w:p>
              </w:tc>
              <w:tc>
                <w:tcPr>
                  <w:tcW w:w="900" w:type="dxa"/>
                  <w:vAlign w:val="center"/>
                </w:tcPr>
                <w:p>
                  <w:pPr>
                    <w:adjustRightInd w:val="0"/>
                    <w:snapToGrid w:val="0"/>
                    <w:jc w:val="center"/>
                    <w:rPr>
                      <w:color w:val="auto"/>
                      <w:sz w:val="22"/>
                    </w:rPr>
                  </w:pPr>
                  <w:r>
                    <w:rPr>
                      <w:rFonts w:hint="eastAsia"/>
                      <w:color w:val="auto"/>
                      <w:sz w:val="22"/>
                      <w:lang w:val="en-US" w:eastAsia="zh-CN"/>
                    </w:rPr>
                    <w:t>0.01</w:t>
                  </w:r>
                </w:p>
              </w:tc>
            </w:tr>
            <w:bookmarkEnd w:id="2"/>
          </w:tbl>
          <w:p>
            <w:pPr>
              <w:adjustRightInd w:val="0"/>
              <w:spacing w:line="360" w:lineRule="auto"/>
              <w:ind w:firstLine="482" w:firstLineChars="200"/>
              <w:rPr>
                <w:b/>
                <w:color w:val="auto"/>
                <w:sz w:val="24"/>
              </w:rPr>
            </w:pPr>
            <w:r>
              <w:rPr>
                <w:b/>
                <w:color w:val="auto"/>
                <w:sz w:val="24"/>
              </w:rPr>
              <w:t>（3）噪声源</w:t>
            </w:r>
          </w:p>
          <w:p>
            <w:pPr>
              <w:spacing w:line="360" w:lineRule="auto"/>
              <w:ind w:firstLine="480" w:firstLineChars="200"/>
              <w:rPr>
                <w:color w:val="auto"/>
                <w:sz w:val="24"/>
              </w:rPr>
            </w:pPr>
            <w:r>
              <w:rPr>
                <w:color w:val="auto"/>
                <w:sz w:val="24"/>
              </w:rPr>
              <w:t>项目产生噪声的主要</w:t>
            </w:r>
            <w:r>
              <w:rPr>
                <w:rFonts w:hint="eastAsia"/>
                <w:color w:val="auto"/>
                <w:sz w:val="24"/>
              </w:rPr>
              <w:t>为生产设备运行过程中产生的噪声</w:t>
            </w:r>
            <w:r>
              <w:rPr>
                <w:color w:val="auto"/>
                <w:sz w:val="24"/>
              </w:rPr>
              <w:t>，噪声源噪声强度如表5-8所示：</w:t>
            </w:r>
          </w:p>
          <w:p>
            <w:pPr>
              <w:tabs>
                <w:tab w:val="left" w:pos="624"/>
              </w:tabs>
              <w:jc w:val="center"/>
              <w:rPr>
                <w:b/>
                <w:bCs/>
                <w:color w:val="auto"/>
                <w:sz w:val="21"/>
                <w:szCs w:val="21"/>
              </w:rPr>
            </w:pPr>
            <w:r>
              <w:rPr>
                <w:b/>
                <w:bCs/>
                <w:color w:val="auto"/>
                <w:sz w:val="21"/>
                <w:szCs w:val="21"/>
              </w:rPr>
              <w:t>表5-</w:t>
            </w:r>
            <w:r>
              <w:rPr>
                <w:rFonts w:hint="eastAsia"/>
                <w:b/>
                <w:bCs/>
                <w:color w:val="auto"/>
                <w:sz w:val="21"/>
                <w:szCs w:val="21"/>
                <w:lang w:val="en-US" w:eastAsia="zh-CN"/>
              </w:rPr>
              <w:t>3</w:t>
            </w:r>
            <w:r>
              <w:rPr>
                <w:b/>
                <w:bCs/>
                <w:color w:val="auto"/>
                <w:sz w:val="21"/>
                <w:szCs w:val="21"/>
              </w:rPr>
              <w:t xml:space="preserve"> 项目设备噪声一览表</w:t>
            </w:r>
          </w:p>
          <w:tbl>
            <w:tblPr>
              <w:tblStyle w:val="31"/>
              <w:tblW w:w="6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3579"/>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504" w:type="dxa"/>
                  <w:vAlign w:val="center"/>
                </w:tcPr>
                <w:p>
                  <w:pPr>
                    <w:tabs>
                      <w:tab w:val="left" w:pos="1088"/>
                    </w:tabs>
                    <w:jc w:val="center"/>
                    <w:rPr>
                      <w:b/>
                      <w:color w:val="auto"/>
                      <w:szCs w:val="21"/>
                    </w:rPr>
                  </w:pPr>
                  <w:r>
                    <w:rPr>
                      <w:b/>
                      <w:color w:val="auto"/>
                      <w:szCs w:val="21"/>
                    </w:rPr>
                    <w:t>序号</w:t>
                  </w:r>
                </w:p>
              </w:tc>
              <w:tc>
                <w:tcPr>
                  <w:tcW w:w="3579" w:type="dxa"/>
                  <w:vAlign w:val="center"/>
                </w:tcPr>
                <w:p>
                  <w:pPr>
                    <w:tabs>
                      <w:tab w:val="left" w:pos="1088"/>
                    </w:tabs>
                    <w:jc w:val="center"/>
                    <w:rPr>
                      <w:b/>
                      <w:color w:val="auto"/>
                      <w:szCs w:val="21"/>
                    </w:rPr>
                  </w:pPr>
                  <w:r>
                    <w:rPr>
                      <w:b/>
                      <w:color w:val="auto"/>
                      <w:szCs w:val="21"/>
                    </w:rPr>
                    <w:t>设备名称</w:t>
                  </w:r>
                </w:p>
              </w:tc>
              <w:tc>
                <w:tcPr>
                  <w:tcW w:w="1894" w:type="dxa"/>
                  <w:vAlign w:val="center"/>
                </w:tcPr>
                <w:p>
                  <w:pPr>
                    <w:tabs>
                      <w:tab w:val="left" w:pos="1088"/>
                    </w:tabs>
                    <w:jc w:val="center"/>
                    <w:rPr>
                      <w:rFonts w:hint="eastAsia" w:eastAsia="宋体"/>
                      <w:b/>
                      <w:color w:val="auto"/>
                      <w:szCs w:val="21"/>
                      <w:lang w:val="en-US" w:eastAsia="zh-CN"/>
                    </w:rPr>
                  </w:pPr>
                  <w:r>
                    <w:rPr>
                      <w:rFonts w:hint="eastAsia"/>
                      <w:b/>
                      <w:color w:val="auto"/>
                      <w:szCs w:val="21"/>
                      <w:lang w:eastAsia="zh-CN"/>
                    </w:rPr>
                    <w:t>源强</w:t>
                  </w:r>
                  <w:r>
                    <w:rPr>
                      <w:rFonts w:hint="eastAsia"/>
                      <w:b/>
                      <w:color w:val="auto"/>
                      <w:szCs w:val="21"/>
                      <w:lang w:val="en-US" w:eastAsia="zh-CN"/>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504" w:type="dxa"/>
                  <w:vAlign w:val="center"/>
                </w:tcPr>
                <w:p>
                  <w:pPr>
                    <w:tabs>
                      <w:tab w:val="left" w:pos="1088"/>
                    </w:tabs>
                    <w:jc w:val="center"/>
                    <w:rPr>
                      <w:color w:val="auto"/>
                      <w:szCs w:val="21"/>
                    </w:rPr>
                  </w:pPr>
                  <w:r>
                    <w:rPr>
                      <w:color w:val="auto"/>
                      <w:szCs w:val="21"/>
                    </w:rPr>
                    <w:t>1</w:t>
                  </w:r>
                </w:p>
              </w:tc>
              <w:tc>
                <w:tcPr>
                  <w:tcW w:w="3579" w:type="dxa"/>
                  <w:vAlign w:val="center"/>
                </w:tcPr>
                <w:p>
                  <w:pPr>
                    <w:tabs>
                      <w:tab w:val="left" w:pos="1088"/>
                    </w:tabs>
                    <w:jc w:val="center"/>
                    <w:rPr>
                      <w:color w:val="auto"/>
                      <w:szCs w:val="21"/>
                    </w:rPr>
                  </w:pPr>
                  <w:r>
                    <w:rPr>
                      <w:rFonts w:hint="eastAsia"/>
                      <w:color w:val="auto"/>
                      <w:szCs w:val="21"/>
                      <w:lang w:eastAsia="zh-CN"/>
                    </w:rPr>
                    <w:t>开松</w:t>
                  </w:r>
                  <w:r>
                    <w:rPr>
                      <w:color w:val="auto"/>
                      <w:szCs w:val="21"/>
                    </w:rPr>
                    <w:t>机</w:t>
                  </w:r>
                </w:p>
              </w:tc>
              <w:tc>
                <w:tcPr>
                  <w:tcW w:w="1894" w:type="dxa"/>
                  <w:vAlign w:val="center"/>
                </w:tcPr>
                <w:p>
                  <w:pPr>
                    <w:tabs>
                      <w:tab w:val="left" w:pos="1088"/>
                    </w:tabs>
                    <w:jc w:val="center"/>
                    <w:rPr>
                      <w:rFonts w:hint="eastAsia" w:eastAsia="宋体"/>
                      <w:color w:val="auto"/>
                      <w:spacing w:val="-20"/>
                      <w:szCs w:val="21"/>
                      <w:lang w:val="en-US" w:eastAsia="zh-CN"/>
                    </w:rPr>
                  </w:pPr>
                  <w:r>
                    <w:rPr>
                      <w:rFonts w:hint="eastAsia"/>
                      <w:color w:val="auto"/>
                      <w:spacing w:val="-20"/>
                      <w:szCs w:val="21"/>
                      <w:lang w:val="en-US" w:eastAsia="zh-CN"/>
                    </w:rPr>
                    <w:t>75~80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504" w:type="dxa"/>
                  <w:vAlign w:val="center"/>
                </w:tcPr>
                <w:p>
                  <w:pPr>
                    <w:tabs>
                      <w:tab w:val="left" w:pos="1088"/>
                    </w:tabs>
                    <w:jc w:val="center"/>
                    <w:rPr>
                      <w:color w:val="auto"/>
                      <w:szCs w:val="21"/>
                    </w:rPr>
                  </w:pPr>
                  <w:r>
                    <w:rPr>
                      <w:color w:val="auto"/>
                      <w:szCs w:val="21"/>
                    </w:rPr>
                    <w:t>2</w:t>
                  </w:r>
                </w:p>
              </w:tc>
              <w:tc>
                <w:tcPr>
                  <w:tcW w:w="3579" w:type="dxa"/>
                  <w:vAlign w:val="center"/>
                </w:tcPr>
                <w:p>
                  <w:pPr>
                    <w:tabs>
                      <w:tab w:val="left" w:pos="1088"/>
                    </w:tabs>
                    <w:jc w:val="center"/>
                    <w:rPr>
                      <w:color w:val="auto"/>
                      <w:szCs w:val="21"/>
                    </w:rPr>
                  </w:pPr>
                  <w:r>
                    <w:rPr>
                      <w:rFonts w:hint="eastAsia"/>
                      <w:color w:val="auto"/>
                      <w:szCs w:val="21"/>
                      <w:lang w:eastAsia="zh-CN"/>
                    </w:rPr>
                    <w:t>梳棉</w:t>
                  </w:r>
                  <w:r>
                    <w:rPr>
                      <w:color w:val="auto"/>
                      <w:szCs w:val="21"/>
                    </w:rPr>
                    <w:t>机</w:t>
                  </w:r>
                </w:p>
              </w:tc>
              <w:tc>
                <w:tcPr>
                  <w:tcW w:w="1894" w:type="dxa"/>
                  <w:vAlign w:val="center"/>
                </w:tcPr>
                <w:p>
                  <w:pPr>
                    <w:tabs>
                      <w:tab w:val="left" w:pos="1088"/>
                    </w:tabs>
                    <w:jc w:val="center"/>
                    <w:rPr>
                      <w:rFonts w:hint="eastAsia" w:eastAsia="宋体"/>
                      <w:color w:val="auto"/>
                      <w:szCs w:val="21"/>
                      <w:lang w:val="en-US" w:eastAsia="zh-CN"/>
                    </w:rPr>
                  </w:pPr>
                  <w:r>
                    <w:rPr>
                      <w:rFonts w:hint="eastAsia"/>
                      <w:color w:val="auto"/>
                      <w:szCs w:val="21"/>
                      <w:lang w:val="en-US" w:eastAsia="zh-CN"/>
                    </w:rPr>
                    <w:t>75~85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1504" w:type="dxa"/>
                  <w:vAlign w:val="center"/>
                </w:tcPr>
                <w:p>
                  <w:pPr>
                    <w:tabs>
                      <w:tab w:val="left" w:pos="1088"/>
                    </w:tabs>
                    <w:jc w:val="center"/>
                    <w:rPr>
                      <w:color w:val="auto"/>
                      <w:szCs w:val="21"/>
                    </w:rPr>
                  </w:pPr>
                  <w:r>
                    <w:rPr>
                      <w:color w:val="auto"/>
                      <w:szCs w:val="21"/>
                    </w:rPr>
                    <w:t>3</w:t>
                  </w:r>
                </w:p>
              </w:tc>
              <w:tc>
                <w:tcPr>
                  <w:tcW w:w="3579" w:type="dxa"/>
                  <w:vAlign w:val="center"/>
                </w:tcPr>
                <w:p>
                  <w:pPr>
                    <w:tabs>
                      <w:tab w:val="left" w:pos="1088"/>
                    </w:tabs>
                    <w:jc w:val="center"/>
                    <w:rPr>
                      <w:rFonts w:hint="eastAsia" w:eastAsia="宋体"/>
                      <w:color w:val="auto"/>
                      <w:szCs w:val="21"/>
                      <w:lang w:eastAsia="zh-CN"/>
                    </w:rPr>
                  </w:pPr>
                  <w:r>
                    <w:rPr>
                      <w:rFonts w:hint="eastAsia"/>
                      <w:color w:val="auto"/>
                      <w:szCs w:val="21"/>
                      <w:lang w:eastAsia="zh-CN"/>
                    </w:rPr>
                    <w:t>打包机</w:t>
                  </w:r>
                </w:p>
              </w:tc>
              <w:tc>
                <w:tcPr>
                  <w:tcW w:w="1894" w:type="dxa"/>
                  <w:vAlign w:val="center"/>
                </w:tcPr>
                <w:p>
                  <w:pPr>
                    <w:tabs>
                      <w:tab w:val="left" w:pos="1088"/>
                    </w:tabs>
                    <w:jc w:val="center"/>
                    <w:rPr>
                      <w:rFonts w:hint="eastAsia" w:eastAsia="宋体"/>
                      <w:color w:val="auto"/>
                      <w:szCs w:val="21"/>
                      <w:lang w:val="en-US" w:eastAsia="zh-CN"/>
                    </w:rPr>
                  </w:pPr>
                  <w:r>
                    <w:rPr>
                      <w:rFonts w:hint="eastAsia"/>
                      <w:color w:val="auto"/>
                      <w:szCs w:val="21"/>
                      <w:lang w:val="en-US" w:eastAsia="zh-CN"/>
                    </w:rPr>
                    <w:t>70~80</w:t>
                  </w:r>
                </w:p>
              </w:tc>
            </w:tr>
          </w:tbl>
          <w:p>
            <w:pPr>
              <w:tabs>
                <w:tab w:val="left" w:pos="624"/>
              </w:tabs>
              <w:rPr>
                <w:b/>
                <w:color w:val="auto"/>
                <w:sz w:val="24"/>
              </w:rPr>
            </w:pPr>
            <w:r>
              <w:rPr>
                <w:b/>
                <w:bCs/>
                <w:color w:val="auto"/>
                <w:sz w:val="24"/>
              </w:rPr>
              <w:t xml:space="preserve">    </w:t>
            </w:r>
            <w:r>
              <w:rPr>
                <w:b/>
                <w:color w:val="auto"/>
                <w:sz w:val="24"/>
              </w:rPr>
              <w:t>（4）固体废弃物污染源</w:t>
            </w:r>
          </w:p>
          <w:p>
            <w:pPr>
              <w:spacing w:line="360" w:lineRule="auto"/>
              <w:ind w:firstLine="480" w:firstLineChars="200"/>
              <w:rPr>
                <w:color w:val="auto"/>
                <w:sz w:val="24"/>
              </w:rPr>
            </w:pPr>
            <w:r>
              <w:rPr>
                <w:color w:val="auto"/>
                <w:sz w:val="24"/>
              </w:rPr>
              <w:t>项目产生的固体废物主要是</w:t>
            </w:r>
            <w:r>
              <w:rPr>
                <w:rFonts w:hint="eastAsia"/>
                <w:color w:val="auto"/>
                <w:sz w:val="24"/>
                <w:lang w:eastAsia="zh-CN"/>
              </w:rPr>
              <w:t>边角料、多筒式除尘机收集的粉尘</w:t>
            </w:r>
            <w:r>
              <w:rPr>
                <w:rFonts w:hint="eastAsia"/>
                <w:color w:val="auto"/>
                <w:sz w:val="24"/>
              </w:rPr>
              <w:t>和生活垃圾</w:t>
            </w:r>
            <w:r>
              <w:rPr>
                <w:color w:val="auto"/>
                <w:sz w:val="24"/>
              </w:rPr>
              <w:t xml:space="preserve">。 </w:t>
            </w:r>
          </w:p>
          <w:p>
            <w:pPr>
              <w:spacing w:line="360" w:lineRule="auto"/>
              <w:ind w:firstLine="480" w:firstLineChars="200"/>
              <w:rPr>
                <w:rFonts w:hint="eastAsia"/>
                <w:color w:val="auto"/>
                <w:sz w:val="24"/>
                <w:szCs w:val="20"/>
                <w:lang w:eastAsia="zh-CN"/>
              </w:rPr>
            </w:pPr>
            <w:r>
              <w:rPr>
                <w:color w:val="auto"/>
                <w:sz w:val="24"/>
                <w:szCs w:val="20"/>
              </w:rPr>
              <w:t>1、</w:t>
            </w:r>
            <w:r>
              <w:rPr>
                <w:rFonts w:hint="eastAsia"/>
                <w:color w:val="auto"/>
                <w:sz w:val="24"/>
                <w:szCs w:val="20"/>
                <w:lang w:eastAsia="zh-CN"/>
              </w:rPr>
              <w:t>边角料</w:t>
            </w:r>
          </w:p>
          <w:p>
            <w:pPr>
              <w:spacing w:line="360" w:lineRule="auto"/>
              <w:ind w:firstLine="480" w:firstLineChars="200"/>
              <w:rPr>
                <w:bCs/>
                <w:color w:val="FF0000"/>
                <w:sz w:val="24"/>
                <w:szCs w:val="20"/>
              </w:rPr>
            </w:pPr>
            <w:r>
              <w:rPr>
                <w:rFonts w:hint="eastAsia"/>
                <w:bCs/>
                <w:color w:val="FF0000"/>
                <w:sz w:val="24"/>
                <w:szCs w:val="20"/>
                <w:lang w:eastAsia="zh-CN"/>
              </w:rPr>
              <w:t>本项目开松、梳棉过程会产生边角料，边角料约占产品的</w:t>
            </w:r>
            <w:r>
              <w:rPr>
                <w:rFonts w:hint="eastAsia"/>
                <w:bCs/>
                <w:color w:val="FF0000"/>
                <w:sz w:val="24"/>
                <w:szCs w:val="20"/>
                <w:lang w:val="en-US" w:eastAsia="zh-CN"/>
              </w:rPr>
              <w:t>0.1%，因此本项目边角料产生量为0.2t/a，经回收后作为原料继续利用</w:t>
            </w:r>
            <w:r>
              <w:rPr>
                <w:bCs/>
                <w:color w:val="FF0000"/>
                <w:sz w:val="24"/>
                <w:szCs w:val="20"/>
              </w:rPr>
              <w:t>。</w:t>
            </w:r>
          </w:p>
          <w:p>
            <w:pPr>
              <w:pStyle w:val="18"/>
              <w:tabs>
                <w:tab w:val="left" w:pos="540"/>
              </w:tabs>
              <w:spacing w:line="360" w:lineRule="auto"/>
              <w:ind w:firstLine="480" w:firstLineChars="200"/>
              <w:rPr>
                <w:rFonts w:hint="eastAsia"/>
                <w:color w:val="auto"/>
                <w:sz w:val="24"/>
                <w:szCs w:val="20"/>
                <w:lang w:val="en-US" w:eastAsia="zh-CN"/>
              </w:rPr>
            </w:pPr>
            <w:r>
              <w:rPr>
                <w:rFonts w:hint="eastAsia"/>
                <w:color w:val="auto"/>
                <w:sz w:val="24"/>
                <w:szCs w:val="20"/>
                <w:lang w:val="en-US" w:eastAsia="zh-CN"/>
              </w:rPr>
              <w:t>2、多筒式除尘机收集的粉尘</w:t>
            </w:r>
          </w:p>
          <w:p>
            <w:pPr>
              <w:pStyle w:val="18"/>
              <w:tabs>
                <w:tab w:val="left" w:pos="540"/>
              </w:tabs>
              <w:spacing w:line="360" w:lineRule="auto"/>
              <w:ind w:firstLine="480" w:firstLineChars="200"/>
              <w:rPr>
                <w:rFonts w:hint="eastAsia"/>
                <w:color w:val="auto"/>
                <w:sz w:val="24"/>
                <w:szCs w:val="20"/>
                <w:lang w:val="en-US" w:eastAsia="zh-CN"/>
              </w:rPr>
            </w:pPr>
            <w:r>
              <w:rPr>
                <w:rFonts w:hint="eastAsia"/>
                <w:color w:val="auto"/>
                <w:sz w:val="24"/>
                <w:szCs w:val="20"/>
                <w:lang w:val="en-US" w:eastAsia="zh-CN"/>
              </w:rPr>
              <w:t>项目开松、梳棉过程产生的粉尘经多筒式除尘机收集处理后排放，收集效率为90%，除尘效率为90%，因此多筒式除尘机收集的粉尘量为1.62t/a，</w:t>
            </w:r>
            <w:r>
              <w:rPr>
                <w:rFonts w:hint="eastAsia"/>
                <w:color w:val="FF0000"/>
                <w:sz w:val="24"/>
                <w:szCs w:val="20"/>
                <w:lang w:val="en-US" w:eastAsia="zh-CN"/>
              </w:rPr>
              <w:t>集中收集交由环卫部门处理</w:t>
            </w:r>
            <w:r>
              <w:rPr>
                <w:rFonts w:hint="eastAsia"/>
                <w:color w:val="auto"/>
                <w:sz w:val="24"/>
                <w:szCs w:val="20"/>
                <w:lang w:val="en-US" w:eastAsia="zh-CN"/>
              </w:rPr>
              <w:t>。</w:t>
            </w:r>
          </w:p>
          <w:p>
            <w:pPr>
              <w:pStyle w:val="18"/>
              <w:tabs>
                <w:tab w:val="left" w:pos="540"/>
              </w:tabs>
              <w:spacing w:line="360" w:lineRule="auto"/>
              <w:ind w:firstLine="480" w:firstLineChars="200"/>
              <w:rPr>
                <w:color w:val="auto"/>
              </w:rPr>
            </w:pPr>
            <w:r>
              <w:rPr>
                <w:rFonts w:hint="eastAsia"/>
                <w:color w:val="auto"/>
                <w:sz w:val="24"/>
                <w:szCs w:val="20"/>
                <w:lang w:val="en-US" w:eastAsia="zh-CN"/>
              </w:rPr>
              <w:t>3</w:t>
            </w:r>
            <w:r>
              <w:rPr>
                <w:color w:val="auto"/>
                <w:sz w:val="24"/>
                <w:szCs w:val="20"/>
              </w:rPr>
              <w:t>、</w:t>
            </w:r>
            <w:r>
              <w:rPr>
                <w:color w:val="auto"/>
              </w:rPr>
              <w:t>生活垃圾</w:t>
            </w:r>
          </w:p>
          <w:p>
            <w:pPr>
              <w:adjustRightInd w:val="0"/>
              <w:spacing w:line="360" w:lineRule="auto"/>
              <w:ind w:firstLine="480" w:firstLineChars="200"/>
              <w:rPr>
                <w:color w:val="auto"/>
                <w:sz w:val="24"/>
              </w:rPr>
            </w:pPr>
            <w:r>
              <w:rPr>
                <w:color w:val="auto"/>
                <w:sz w:val="24"/>
              </w:rPr>
              <w:t>项目生活垃圾每个员工日产生量约</w:t>
            </w:r>
            <w:r>
              <w:rPr>
                <w:rFonts w:hint="eastAsia"/>
                <w:color w:val="auto"/>
                <w:sz w:val="24"/>
                <w:lang w:val="en-US" w:eastAsia="zh-CN"/>
              </w:rPr>
              <w:t>1.0</w:t>
            </w:r>
            <w:r>
              <w:rPr>
                <w:color w:val="auto"/>
                <w:sz w:val="24"/>
              </w:rPr>
              <w:t>kg计算，则项目生活垃圾产生量为</w:t>
            </w:r>
            <w:r>
              <w:rPr>
                <w:rFonts w:hint="eastAsia"/>
                <w:color w:val="auto"/>
                <w:sz w:val="24"/>
              </w:rPr>
              <w:t>1</w:t>
            </w:r>
            <w:r>
              <w:rPr>
                <w:rFonts w:hint="eastAsia"/>
                <w:color w:val="auto"/>
                <w:sz w:val="24"/>
                <w:lang w:val="en-US" w:eastAsia="zh-CN"/>
              </w:rPr>
              <w:t>0</w:t>
            </w:r>
            <w:r>
              <w:rPr>
                <w:color w:val="auto"/>
                <w:sz w:val="24"/>
              </w:rPr>
              <w:t>kg/d(</w:t>
            </w:r>
            <w:r>
              <w:rPr>
                <w:rFonts w:hint="eastAsia"/>
                <w:color w:val="auto"/>
                <w:sz w:val="24"/>
                <w:lang w:val="en-US" w:eastAsia="zh-CN"/>
              </w:rPr>
              <w:t>3</w:t>
            </w:r>
            <w:r>
              <w:rPr>
                <w:color w:val="auto"/>
                <w:sz w:val="24"/>
              </w:rPr>
              <w:t>t/a)，此部分生活垃圾由环卫部门运走。</w:t>
            </w:r>
          </w:p>
          <w:p>
            <w:pPr>
              <w:adjustRightInd w:val="0"/>
              <w:spacing w:line="360" w:lineRule="auto"/>
              <w:ind w:firstLine="480" w:firstLineChars="200"/>
              <w:rPr>
                <w:color w:val="7030A0"/>
                <w:sz w:val="24"/>
              </w:rPr>
            </w:pPr>
            <w:r>
              <w:rPr>
                <w:color w:val="7030A0"/>
                <w:sz w:val="24"/>
              </w:rPr>
              <w:t>固体废物属性判定</w:t>
            </w:r>
            <w:r>
              <w:rPr>
                <w:rFonts w:hint="eastAsia"/>
                <w:color w:val="7030A0"/>
                <w:sz w:val="24"/>
              </w:rPr>
              <w:t>：</w:t>
            </w:r>
          </w:p>
          <w:p>
            <w:pPr>
              <w:adjustRightInd w:val="0"/>
              <w:spacing w:line="360" w:lineRule="auto"/>
              <w:ind w:firstLine="480" w:firstLineChars="200"/>
              <w:rPr>
                <w:rFonts w:hint="eastAsia"/>
                <w:color w:val="7030A0"/>
                <w:sz w:val="24"/>
              </w:rPr>
            </w:pPr>
            <w:r>
              <w:rPr>
                <w:color w:val="7030A0"/>
                <w:sz w:val="24"/>
              </w:rPr>
              <w:t>根据《中华人民共和国固体废物污染环境防治法》的规定，根据《固体废物鉴别标准 通则》（GB34330-2017）判断建设项目生产过程中产生的副产物是否属于固体废物。拟建项目固体废物产生及处置情况见表 5-</w:t>
            </w:r>
            <w:r>
              <w:rPr>
                <w:rFonts w:hint="eastAsia"/>
                <w:color w:val="7030A0"/>
                <w:sz w:val="24"/>
                <w:lang w:val="en-US" w:eastAsia="zh-CN"/>
              </w:rPr>
              <w:t>4</w:t>
            </w:r>
            <w:r>
              <w:rPr>
                <w:color w:val="7030A0"/>
                <w:sz w:val="24"/>
              </w:rPr>
              <w:t>、5-</w:t>
            </w:r>
            <w:r>
              <w:rPr>
                <w:rFonts w:hint="eastAsia"/>
                <w:color w:val="7030A0"/>
                <w:sz w:val="24"/>
                <w:lang w:val="en-US" w:eastAsia="zh-CN"/>
              </w:rPr>
              <w:t>5</w:t>
            </w:r>
            <w:r>
              <w:rPr>
                <w:color w:val="7030A0"/>
                <w:sz w:val="24"/>
              </w:rPr>
              <w:t>。</w:t>
            </w:r>
          </w:p>
          <w:p>
            <w:pPr>
              <w:tabs>
                <w:tab w:val="left" w:pos="2457"/>
              </w:tabs>
              <w:autoSpaceDE w:val="0"/>
              <w:autoSpaceDN w:val="0"/>
              <w:adjustRightInd w:val="0"/>
              <w:snapToGrid w:val="0"/>
              <w:jc w:val="center"/>
              <w:rPr>
                <w:b/>
                <w:color w:val="7030A0"/>
                <w:szCs w:val="21"/>
              </w:rPr>
            </w:pPr>
            <w:r>
              <w:rPr>
                <w:b/>
                <w:color w:val="7030A0"/>
                <w:szCs w:val="21"/>
              </w:rPr>
              <w:t>表 5-</w:t>
            </w:r>
            <w:r>
              <w:rPr>
                <w:rFonts w:hint="eastAsia"/>
                <w:b/>
                <w:color w:val="7030A0"/>
                <w:szCs w:val="21"/>
                <w:lang w:val="en-US" w:eastAsia="zh-CN"/>
              </w:rPr>
              <w:t xml:space="preserve">4 </w:t>
            </w:r>
            <w:r>
              <w:rPr>
                <w:b/>
                <w:color w:val="7030A0"/>
                <w:szCs w:val="21"/>
              </w:rPr>
              <w:t xml:space="preserve"> 建设项目</w:t>
            </w:r>
            <w:r>
              <w:rPr>
                <w:rFonts w:hint="eastAsia"/>
                <w:b/>
                <w:color w:val="7030A0"/>
                <w:szCs w:val="21"/>
              </w:rPr>
              <w:t>固体废物</w:t>
            </w:r>
            <w:r>
              <w:rPr>
                <w:b/>
                <w:color w:val="7030A0"/>
                <w:szCs w:val="21"/>
              </w:rPr>
              <w:t>产生情况汇总表</w:t>
            </w:r>
          </w:p>
          <w:tbl>
            <w:tblPr>
              <w:tblStyle w:val="31"/>
              <w:tblW w:w="8096" w:type="dxa"/>
              <w:jc w:val="center"/>
              <w:tblInd w:w="35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0"/>
              <w:gridCol w:w="1140"/>
              <w:gridCol w:w="1049"/>
              <w:gridCol w:w="595"/>
              <w:gridCol w:w="895"/>
              <w:gridCol w:w="1134"/>
              <w:gridCol w:w="709"/>
              <w:gridCol w:w="833"/>
              <w:gridCol w:w="12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97" w:hRule="exact"/>
                <w:jc w:val="center"/>
              </w:trPr>
              <w:tc>
                <w:tcPr>
                  <w:tcW w:w="500" w:type="dxa"/>
                  <w:vMerge w:val="restart"/>
                  <w:tcBorders>
                    <w:tl2br w:val="nil"/>
                    <w:tr2bl w:val="nil"/>
                  </w:tcBorders>
                  <w:shd w:val="clear" w:color="auto" w:fill="auto"/>
                  <w:noWrap w:val="0"/>
                  <w:vAlign w:val="center"/>
                </w:tcPr>
                <w:p>
                  <w:pPr>
                    <w:jc w:val="center"/>
                    <w:rPr>
                      <w:b/>
                      <w:bCs/>
                      <w:color w:val="7030A0"/>
                    </w:rPr>
                  </w:pPr>
                  <w:r>
                    <w:rPr>
                      <w:b/>
                      <w:bCs/>
                      <w:color w:val="7030A0"/>
                    </w:rPr>
                    <w:t>序号</w:t>
                  </w:r>
                </w:p>
              </w:tc>
              <w:tc>
                <w:tcPr>
                  <w:tcW w:w="1140" w:type="dxa"/>
                  <w:vMerge w:val="restart"/>
                  <w:tcBorders>
                    <w:tl2br w:val="nil"/>
                    <w:tr2bl w:val="nil"/>
                  </w:tcBorders>
                  <w:shd w:val="clear" w:color="auto" w:fill="auto"/>
                  <w:noWrap w:val="0"/>
                  <w:vAlign w:val="center"/>
                </w:tcPr>
                <w:p>
                  <w:pPr>
                    <w:jc w:val="center"/>
                    <w:rPr>
                      <w:b/>
                      <w:bCs/>
                      <w:color w:val="7030A0"/>
                    </w:rPr>
                  </w:pPr>
                  <w:r>
                    <w:rPr>
                      <w:b/>
                      <w:bCs/>
                      <w:color w:val="7030A0"/>
                    </w:rPr>
                    <w:t>名称</w:t>
                  </w:r>
                </w:p>
              </w:tc>
              <w:tc>
                <w:tcPr>
                  <w:tcW w:w="1049" w:type="dxa"/>
                  <w:vMerge w:val="restart"/>
                  <w:tcBorders>
                    <w:tl2br w:val="nil"/>
                    <w:tr2bl w:val="nil"/>
                  </w:tcBorders>
                  <w:shd w:val="clear" w:color="auto" w:fill="auto"/>
                  <w:noWrap w:val="0"/>
                  <w:vAlign w:val="center"/>
                </w:tcPr>
                <w:p>
                  <w:pPr>
                    <w:jc w:val="center"/>
                    <w:rPr>
                      <w:b/>
                      <w:bCs/>
                      <w:color w:val="7030A0"/>
                    </w:rPr>
                  </w:pPr>
                  <w:r>
                    <w:rPr>
                      <w:b/>
                      <w:bCs/>
                      <w:color w:val="7030A0"/>
                    </w:rPr>
                    <w:t>产生工序</w:t>
                  </w:r>
                </w:p>
              </w:tc>
              <w:tc>
                <w:tcPr>
                  <w:tcW w:w="595" w:type="dxa"/>
                  <w:vMerge w:val="restart"/>
                  <w:tcBorders>
                    <w:tl2br w:val="nil"/>
                    <w:tr2bl w:val="nil"/>
                  </w:tcBorders>
                  <w:shd w:val="clear" w:color="auto" w:fill="auto"/>
                  <w:noWrap w:val="0"/>
                  <w:vAlign w:val="center"/>
                </w:tcPr>
                <w:p>
                  <w:pPr>
                    <w:jc w:val="center"/>
                    <w:rPr>
                      <w:b/>
                      <w:bCs/>
                      <w:color w:val="7030A0"/>
                    </w:rPr>
                  </w:pPr>
                  <w:r>
                    <w:rPr>
                      <w:b/>
                      <w:bCs/>
                      <w:color w:val="7030A0"/>
                    </w:rPr>
                    <w:t>形态</w:t>
                  </w:r>
                </w:p>
              </w:tc>
              <w:tc>
                <w:tcPr>
                  <w:tcW w:w="895" w:type="dxa"/>
                  <w:vMerge w:val="restart"/>
                  <w:tcBorders>
                    <w:tl2br w:val="nil"/>
                    <w:tr2bl w:val="nil"/>
                  </w:tcBorders>
                  <w:shd w:val="clear" w:color="auto" w:fill="auto"/>
                  <w:noWrap w:val="0"/>
                  <w:vAlign w:val="center"/>
                </w:tcPr>
                <w:p>
                  <w:pPr>
                    <w:jc w:val="center"/>
                    <w:rPr>
                      <w:b/>
                      <w:bCs/>
                      <w:color w:val="7030A0"/>
                    </w:rPr>
                  </w:pPr>
                  <w:r>
                    <w:rPr>
                      <w:b/>
                      <w:bCs/>
                      <w:color w:val="7030A0"/>
                    </w:rPr>
                    <w:t>主要成分</w:t>
                  </w:r>
                </w:p>
              </w:tc>
              <w:tc>
                <w:tcPr>
                  <w:tcW w:w="1134" w:type="dxa"/>
                  <w:vMerge w:val="restart"/>
                  <w:tcBorders>
                    <w:tl2br w:val="nil"/>
                    <w:tr2bl w:val="nil"/>
                  </w:tcBorders>
                  <w:shd w:val="clear" w:color="auto" w:fill="auto"/>
                  <w:noWrap w:val="0"/>
                  <w:vAlign w:val="center"/>
                </w:tcPr>
                <w:p>
                  <w:pPr>
                    <w:jc w:val="center"/>
                    <w:rPr>
                      <w:b/>
                      <w:bCs/>
                      <w:color w:val="7030A0"/>
                    </w:rPr>
                  </w:pPr>
                  <w:r>
                    <w:rPr>
                      <w:b/>
                      <w:bCs/>
                      <w:color w:val="7030A0"/>
                    </w:rPr>
                    <w:t>年产生量（t/a）</w:t>
                  </w:r>
                </w:p>
              </w:tc>
              <w:tc>
                <w:tcPr>
                  <w:tcW w:w="2783" w:type="dxa"/>
                  <w:gridSpan w:val="3"/>
                  <w:tcBorders>
                    <w:tl2br w:val="nil"/>
                    <w:tr2bl w:val="nil"/>
                  </w:tcBorders>
                  <w:shd w:val="clear" w:color="auto" w:fill="auto"/>
                  <w:noWrap w:val="0"/>
                  <w:vAlign w:val="center"/>
                </w:tcPr>
                <w:p>
                  <w:pPr>
                    <w:jc w:val="center"/>
                    <w:rPr>
                      <w:b/>
                      <w:bCs/>
                      <w:color w:val="7030A0"/>
                    </w:rPr>
                  </w:pPr>
                  <w:r>
                    <w:rPr>
                      <w:b/>
                      <w:bCs/>
                      <w:color w:val="7030A0"/>
                    </w:rPr>
                    <w:t>种类判断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97" w:hRule="exact"/>
                <w:jc w:val="center"/>
              </w:trPr>
              <w:tc>
                <w:tcPr>
                  <w:tcW w:w="500" w:type="dxa"/>
                  <w:vMerge w:val="continue"/>
                  <w:tcBorders>
                    <w:tl2br w:val="nil"/>
                    <w:tr2bl w:val="nil"/>
                  </w:tcBorders>
                  <w:shd w:val="clear" w:color="auto" w:fill="auto"/>
                  <w:noWrap w:val="0"/>
                  <w:vAlign w:val="center"/>
                </w:tcPr>
                <w:p>
                  <w:pPr>
                    <w:jc w:val="center"/>
                    <w:rPr>
                      <w:b/>
                      <w:bCs/>
                      <w:color w:val="7030A0"/>
                    </w:rPr>
                  </w:pPr>
                </w:p>
              </w:tc>
              <w:tc>
                <w:tcPr>
                  <w:tcW w:w="1140" w:type="dxa"/>
                  <w:vMerge w:val="continue"/>
                  <w:tcBorders>
                    <w:tl2br w:val="nil"/>
                    <w:tr2bl w:val="nil"/>
                  </w:tcBorders>
                  <w:shd w:val="clear" w:color="auto" w:fill="auto"/>
                  <w:noWrap w:val="0"/>
                  <w:vAlign w:val="center"/>
                </w:tcPr>
                <w:p>
                  <w:pPr>
                    <w:jc w:val="center"/>
                    <w:rPr>
                      <w:b/>
                      <w:bCs/>
                      <w:color w:val="7030A0"/>
                    </w:rPr>
                  </w:pPr>
                </w:p>
              </w:tc>
              <w:tc>
                <w:tcPr>
                  <w:tcW w:w="1049" w:type="dxa"/>
                  <w:vMerge w:val="continue"/>
                  <w:tcBorders>
                    <w:tl2br w:val="nil"/>
                    <w:tr2bl w:val="nil"/>
                  </w:tcBorders>
                  <w:shd w:val="clear" w:color="auto" w:fill="auto"/>
                  <w:noWrap w:val="0"/>
                  <w:vAlign w:val="center"/>
                </w:tcPr>
                <w:p>
                  <w:pPr>
                    <w:jc w:val="center"/>
                    <w:rPr>
                      <w:b/>
                      <w:bCs/>
                      <w:color w:val="7030A0"/>
                    </w:rPr>
                  </w:pPr>
                </w:p>
              </w:tc>
              <w:tc>
                <w:tcPr>
                  <w:tcW w:w="595" w:type="dxa"/>
                  <w:vMerge w:val="continue"/>
                  <w:tcBorders>
                    <w:tl2br w:val="nil"/>
                    <w:tr2bl w:val="nil"/>
                  </w:tcBorders>
                  <w:shd w:val="clear" w:color="auto" w:fill="auto"/>
                  <w:noWrap w:val="0"/>
                  <w:vAlign w:val="center"/>
                </w:tcPr>
                <w:p>
                  <w:pPr>
                    <w:jc w:val="center"/>
                    <w:rPr>
                      <w:b/>
                      <w:bCs/>
                      <w:color w:val="7030A0"/>
                    </w:rPr>
                  </w:pPr>
                </w:p>
              </w:tc>
              <w:tc>
                <w:tcPr>
                  <w:tcW w:w="895" w:type="dxa"/>
                  <w:vMerge w:val="continue"/>
                  <w:tcBorders>
                    <w:tl2br w:val="nil"/>
                    <w:tr2bl w:val="nil"/>
                  </w:tcBorders>
                  <w:shd w:val="clear" w:color="auto" w:fill="auto"/>
                  <w:noWrap w:val="0"/>
                  <w:vAlign w:val="center"/>
                </w:tcPr>
                <w:p>
                  <w:pPr>
                    <w:jc w:val="center"/>
                    <w:rPr>
                      <w:b/>
                      <w:bCs/>
                      <w:color w:val="7030A0"/>
                    </w:rPr>
                  </w:pPr>
                </w:p>
              </w:tc>
              <w:tc>
                <w:tcPr>
                  <w:tcW w:w="1134" w:type="dxa"/>
                  <w:vMerge w:val="continue"/>
                  <w:tcBorders>
                    <w:tl2br w:val="nil"/>
                    <w:tr2bl w:val="nil"/>
                  </w:tcBorders>
                  <w:shd w:val="clear" w:color="auto" w:fill="auto"/>
                  <w:noWrap w:val="0"/>
                  <w:vAlign w:val="center"/>
                </w:tcPr>
                <w:p>
                  <w:pPr>
                    <w:jc w:val="center"/>
                    <w:rPr>
                      <w:b/>
                      <w:bCs/>
                      <w:color w:val="7030A0"/>
                    </w:rPr>
                  </w:pPr>
                </w:p>
              </w:tc>
              <w:tc>
                <w:tcPr>
                  <w:tcW w:w="709" w:type="dxa"/>
                  <w:tcBorders>
                    <w:tl2br w:val="nil"/>
                    <w:tr2bl w:val="nil"/>
                  </w:tcBorders>
                  <w:shd w:val="clear" w:color="auto" w:fill="auto"/>
                  <w:noWrap w:val="0"/>
                  <w:vAlign w:val="center"/>
                </w:tcPr>
                <w:p>
                  <w:pPr>
                    <w:jc w:val="center"/>
                    <w:rPr>
                      <w:b/>
                      <w:bCs/>
                      <w:color w:val="7030A0"/>
                    </w:rPr>
                  </w:pPr>
                  <w:r>
                    <w:rPr>
                      <w:b/>
                      <w:bCs/>
                      <w:color w:val="7030A0"/>
                    </w:rPr>
                    <w:t>废物</w:t>
                  </w:r>
                </w:p>
              </w:tc>
              <w:tc>
                <w:tcPr>
                  <w:tcW w:w="833" w:type="dxa"/>
                  <w:tcBorders>
                    <w:tl2br w:val="nil"/>
                    <w:tr2bl w:val="nil"/>
                  </w:tcBorders>
                  <w:shd w:val="clear" w:color="auto" w:fill="auto"/>
                  <w:noWrap w:val="0"/>
                  <w:vAlign w:val="center"/>
                </w:tcPr>
                <w:p>
                  <w:pPr>
                    <w:jc w:val="center"/>
                    <w:rPr>
                      <w:b/>
                      <w:bCs/>
                      <w:color w:val="7030A0"/>
                    </w:rPr>
                  </w:pPr>
                  <w:r>
                    <w:rPr>
                      <w:b/>
                      <w:bCs/>
                      <w:color w:val="7030A0"/>
                    </w:rPr>
                    <w:t>副产品</w:t>
                  </w:r>
                </w:p>
              </w:tc>
              <w:tc>
                <w:tcPr>
                  <w:tcW w:w="1241" w:type="dxa"/>
                  <w:tcBorders>
                    <w:tl2br w:val="nil"/>
                    <w:tr2bl w:val="nil"/>
                  </w:tcBorders>
                  <w:shd w:val="clear" w:color="auto" w:fill="auto"/>
                  <w:noWrap w:val="0"/>
                  <w:vAlign w:val="center"/>
                </w:tcPr>
                <w:p>
                  <w:pPr>
                    <w:jc w:val="center"/>
                    <w:rPr>
                      <w:b/>
                      <w:bCs/>
                      <w:color w:val="7030A0"/>
                    </w:rPr>
                  </w:pPr>
                  <w:r>
                    <w:rPr>
                      <w:b/>
                      <w:bCs/>
                      <w:color w:val="7030A0"/>
                    </w:rPr>
                    <w:t>判定依据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97" w:hRule="exact"/>
                <w:jc w:val="center"/>
              </w:trPr>
              <w:tc>
                <w:tcPr>
                  <w:tcW w:w="500" w:type="dxa"/>
                  <w:tcBorders>
                    <w:tl2br w:val="nil"/>
                    <w:tr2bl w:val="nil"/>
                  </w:tcBorders>
                  <w:shd w:val="clear" w:color="auto" w:fill="auto"/>
                  <w:noWrap w:val="0"/>
                  <w:vAlign w:val="center"/>
                </w:tcPr>
                <w:p>
                  <w:pPr>
                    <w:jc w:val="center"/>
                    <w:rPr>
                      <w:color w:val="7030A0"/>
                    </w:rPr>
                  </w:pPr>
                  <w:r>
                    <w:rPr>
                      <w:color w:val="7030A0"/>
                    </w:rPr>
                    <w:t>1</w:t>
                  </w:r>
                </w:p>
              </w:tc>
              <w:tc>
                <w:tcPr>
                  <w:tcW w:w="1140" w:type="dxa"/>
                  <w:tcBorders>
                    <w:tl2br w:val="nil"/>
                    <w:tr2bl w:val="nil"/>
                  </w:tcBorders>
                  <w:shd w:val="clear" w:color="auto" w:fill="auto"/>
                  <w:noWrap w:val="0"/>
                  <w:vAlign w:val="center"/>
                </w:tcPr>
                <w:p>
                  <w:pPr>
                    <w:jc w:val="center"/>
                    <w:rPr>
                      <w:color w:val="7030A0"/>
                    </w:rPr>
                  </w:pPr>
                  <w:r>
                    <w:rPr>
                      <w:color w:val="7030A0"/>
                    </w:rPr>
                    <w:t>边角料</w:t>
                  </w:r>
                </w:p>
              </w:tc>
              <w:tc>
                <w:tcPr>
                  <w:tcW w:w="1049" w:type="dxa"/>
                  <w:tcBorders>
                    <w:tl2br w:val="nil"/>
                    <w:tr2bl w:val="nil"/>
                  </w:tcBorders>
                  <w:shd w:val="clear" w:color="auto" w:fill="auto"/>
                  <w:noWrap w:val="0"/>
                  <w:vAlign w:val="center"/>
                </w:tcPr>
                <w:p>
                  <w:pPr>
                    <w:jc w:val="center"/>
                    <w:rPr>
                      <w:color w:val="7030A0"/>
                    </w:rPr>
                  </w:pPr>
                  <w:r>
                    <w:rPr>
                      <w:rFonts w:hint="eastAsia"/>
                      <w:color w:val="7030A0"/>
                      <w:lang w:eastAsia="zh-CN"/>
                    </w:rPr>
                    <w:t>开松、梳棉</w:t>
                  </w:r>
                </w:p>
              </w:tc>
              <w:tc>
                <w:tcPr>
                  <w:tcW w:w="595" w:type="dxa"/>
                  <w:tcBorders>
                    <w:tl2br w:val="nil"/>
                    <w:tr2bl w:val="nil"/>
                  </w:tcBorders>
                  <w:shd w:val="clear" w:color="auto" w:fill="auto"/>
                  <w:noWrap w:val="0"/>
                  <w:vAlign w:val="center"/>
                </w:tcPr>
                <w:p>
                  <w:pPr>
                    <w:jc w:val="center"/>
                    <w:rPr>
                      <w:color w:val="7030A0"/>
                    </w:rPr>
                  </w:pPr>
                  <w:r>
                    <w:rPr>
                      <w:color w:val="7030A0"/>
                    </w:rPr>
                    <w:t>固</w:t>
                  </w:r>
                </w:p>
              </w:tc>
              <w:tc>
                <w:tcPr>
                  <w:tcW w:w="895" w:type="dxa"/>
                  <w:tcBorders>
                    <w:tl2br w:val="nil"/>
                    <w:tr2bl w:val="nil"/>
                  </w:tcBorders>
                  <w:shd w:val="clear" w:color="auto" w:fill="auto"/>
                  <w:noWrap w:val="0"/>
                  <w:vAlign w:val="center"/>
                </w:tcPr>
                <w:p>
                  <w:pPr>
                    <w:jc w:val="center"/>
                    <w:rPr>
                      <w:color w:val="7030A0"/>
                    </w:rPr>
                  </w:pPr>
                  <w:r>
                    <w:rPr>
                      <w:color w:val="7030A0"/>
                    </w:rPr>
                    <w:t>化纤</w:t>
                  </w:r>
                </w:p>
              </w:tc>
              <w:tc>
                <w:tcPr>
                  <w:tcW w:w="1134" w:type="dxa"/>
                  <w:tcBorders>
                    <w:tl2br w:val="nil"/>
                    <w:tr2bl w:val="nil"/>
                  </w:tcBorders>
                  <w:shd w:val="clear" w:color="auto" w:fill="auto"/>
                  <w:noWrap w:val="0"/>
                  <w:vAlign w:val="center"/>
                </w:tcPr>
                <w:p>
                  <w:pPr>
                    <w:jc w:val="center"/>
                    <w:rPr>
                      <w:rFonts w:hint="default" w:eastAsia="宋体"/>
                      <w:color w:val="7030A0"/>
                      <w:lang w:val="en-US" w:eastAsia="zh-CN"/>
                    </w:rPr>
                  </w:pPr>
                  <w:r>
                    <w:rPr>
                      <w:rFonts w:hint="eastAsia"/>
                      <w:color w:val="7030A0"/>
                      <w:lang w:val="en-US" w:eastAsia="zh-CN"/>
                    </w:rPr>
                    <w:t>0.2</w:t>
                  </w:r>
                </w:p>
              </w:tc>
              <w:tc>
                <w:tcPr>
                  <w:tcW w:w="709" w:type="dxa"/>
                  <w:tcBorders>
                    <w:tl2br w:val="nil"/>
                    <w:tr2bl w:val="nil"/>
                  </w:tcBorders>
                  <w:shd w:val="clear" w:color="auto" w:fill="auto"/>
                  <w:noWrap w:val="0"/>
                  <w:vAlign w:val="center"/>
                </w:tcPr>
                <w:p>
                  <w:pPr>
                    <w:jc w:val="center"/>
                    <w:rPr>
                      <w:color w:val="7030A0"/>
                    </w:rPr>
                  </w:pPr>
                </w:p>
              </w:tc>
              <w:tc>
                <w:tcPr>
                  <w:tcW w:w="833" w:type="dxa"/>
                  <w:tcBorders>
                    <w:tl2br w:val="nil"/>
                    <w:tr2bl w:val="nil"/>
                  </w:tcBorders>
                  <w:shd w:val="clear" w:color="auto" w:fill="auto"/>
                  <w:noWrap w:val="0"/>
                  <w:vAlign w:val="center"/>
                </w:tcPr>
                <w:p>
                  <w:pPr>
                    <w:jc w:val="center"/>
                    <w:rPr>
                      <w:color w:val="7030A0"/>
                    </w:rPr>
                  </w:pPr>
                  <w:r>
                    <w:rPr>
                      <w:color w:val="7030A0"/>
                    </w:rPr>
                    <w:t>√</w:t>
                  </w:r>
                </w:p>
              </w:tc>
              <w:tc>
                <w:tcPr>
                  <w:tcW w:w="1241" w:type="dxa"/>
                  <w:vMerge w:val="restart"/>
                  <w:tcBorders>
                    <w:tl2br w:val="nil"/>
                    <w:tr2bl w:val="nil"/>
                  </w:tcBorders>
                  <w:shd w:val="clear" w:color="auto" w:fill="auto"/>
                  <w:noWrap w:val="0"/>
                  <w:vAlign w:val="center"/>
                </w:tcPr>
                <w:p>
                  <w:pPr>
                    <w:jc w:val="center"/>
                    <w:rPr>
                      <w:rFonts w:hint="eastAsia"/>
                      <w:color w:val="7030A0"/>
                    </w:rPr>
                  </w:pPr>
                  <w:r>
                    <w:rPr>
                      <w:color w:val="7030A0"/>
                    </w:rPr>
                    <w:t>《</w:t>
                  </w:r>
                  <w:r>
                    <w:rPr>
                      <w:color w:val="7030A0"/>
                    </w:rPr>
                    <w:fldChar w:fldCharType="begin"/>
                  </w:r>
                  <w:r>
                    <w:rPr>
                      <w:color w:val="7030A0"/>
                    </w:rPr>
                    <w:instrText xml:space="preserve"> HYPERLINK "http://kjs.mep.gov.cn/hjbhbz/bzwb/gthw/wxfwjbffbz/201709/W020170906521003416419.pdf" </w:instrText>
                  </w:r>
                  <w:r>
                    <w:rPr>
                      <w:color w:val="7030A0"/>
                    </w:rPr>
                    <w:fldChar w:fldCharType="separate"/>
                  </w:r>
                  <w:r>
                    <w:rPr>
                      <w:color w:val="7030A0"/>
                    </w:rPr>
                    <w:t>固体废物鉴别标准通则》(GB 34330—2017)</w:t>
                  </w:r>
                  <w:r>
                    <w:rPr>
                      <w:color w:val="7030A0"/>
                    </w:rPr>
                    <w:fldChar w:fldCharType="end"/>
                  </w:r>
                  <w:r>
                    <w:rPr>
                      <w:rFonts w:hint="eastAsia"/>
                      <w:color w:val="7030A0"/>
                    </w:rPr>
                    <w:t>及</w:t>
                  </w:r>
                  <w:r>
                    <w:rPr>
                      <w:color w:val="7030A0"/>
                    </w:rPr>
                    <w:t>《国家危险废物名录》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97" w:hRule="exact"/>
                <w:jc w:val="center"/>
              </w:trPr>
              <w:tc>
                <w:tcPr>
                  <w:tcW w:w="500" w:type="dxa"/>
                  <w:tcBorders>
                    <w:tl2br w:val="nil"/>
                    <w:tr2bl w:val="nil"/>
                  </w:tcBorders>
                  <w:shd w:val="clear" w:color="auto" w:fill="auto"/>
                  <w:noWrap w:val="0"/>
                  <w:vAlign w:val="center"/>
                </w:tcPr>
                <w:p>
                  <w:pPr>
                    <w:jc w:val="center"/>
                    <w:rPr>
                      <w:color w:val="7030A0"/>
                    </w:rPr>
                  </w:pPr>
                  <w:r>
                    <w:rPr>
                      <w:color w:val="7030A0"/>
                    </w:rPr>
                    <w:t>2</w:t>
                  </w:r>
                </w:p>
              </w:tc>
              <w:tc>
                <w:tcPr>
                  <w:tcW w:w="1140" w:type="dxa"/>
                  <w:tcBorders>
                    <w:tl2br w:val="nil"/>
                    <w:tr2bl w:val="nil"/>
                  </w:tcBorders>
                  <w:shd w:val="clear" w:color="auto" w:fill="auto"/>
                  <w:noWrap w:val="0"/>
                  <w:vAlign w:val="center"/>
                </w:tcPr>
                <w:p>
                  <w:pPr>
                    <w:jc w:val="center"/>
                    <w:rPr>
                      <w:color w:val="7030A0"/>
                    </w:rPr>
                  </w:pPr>
                  <w:r>
                    <w:rPr>
                      <w:rFonts w:hint="eastAsia"/>
                      <w:color w:val="7030A0"/>
                      <w:lang w:val="en-US" w:eastAsia="zh-CN"/>
                    </w:rPr>
                    <w:t>粉尘</w:t>
                  </w:r>
                </w:p>
              </w:tc>
              <w:tc>
                <w:tcPr>
                  <w:tcW w:w="1049" w:type="dxa"/>
                  <w:tcBorders>
                    <w:tl2br w:val="nil"/>
                    <w:tr2bl w:val="nil"/>
                  </w:tcBorders>
                  <w:shd w:val="clear" w:color="auto" w:fill="auto"/>
                  <w:noWrap w:val="0"/>
                  <w:vAlign w:val="center"/>
                </w:tcPr>
                <w:p>
                  <w:pPr>
                    <w:jc w:val="center"/>
                    <w:rPr>
                      <w:rFonts w:hint="eastAsia"/>
                      <w:color w:val="7030A0"/>
                    </w:rPr>
                  </w:pPr>
                  <w:r>
                    <w:rPr>
                      <w:rFonts w:hint="eastAsia"/>
                      <w:color w:val="7030A0"/>
                      <w:lang w:eastAsia="zh-CN"/>
                    </w:rPr>
                    <w:t>开松、梳棉</w:t>
                  </w:r>
                </w:p>
              </w:tc>
              <w:tc>
                <w:tcPr>
                  <w:tcW w:w="595" w:type="dxa"/>
                  <w:tcBorders>
                    <w:tl2br w:val="nil"/>
                    <w:tr2bl w:val="nil"/>
                  </w:tcBorders>
                  <w:shd w:val="clear" w:color="auto" w:fill="auto"/>
                  <w:noWrap w:val="0"/>
                  <w:vAlign w:val="center"/>
                </w:tcPr>
                <w:p>
                  <w:pPr>
                    <w:jc w:val="center"/>
                    <w:rPr>
                      <w:color w:val="7030A0"/>
                    </w:rPr>
                  </w:pPr>
                  <w:r>
                    <w:rPr>
                      <w:color w:val="7030A0"/>
                    </w:rPr>
                    <w:t>固</w:t>
                  </w:r>
                </w:p>
              </w:tc>
              <w:tc>
                <w:tcPr>
                  <w:tcW w:w="895" w:type="dxa"/>
                  <w:tcBorders>
                    <w:tl2br w:val="nil"/>
                    <w:tr2bl w:val="nil"/>
                  </w:tcBorders>
                  <w:shd w:val="clear" w:color="auto" w:fill="auto"/>
                  <w:noWrap w:val="0"/>
                  <w:vAlign w:val="center"/>
                </w:tcPr>
                <w:p>
                  <w:pPr>
                    <w:jc w:val="center"/>
                    <w:rPr>
                      <w:rFonts w:hint="eastAsia"/>
                      <w:color w:val="7030A0"/>
                    </w:rPr>
                  </w:pPr>
                  <w:r>
                    <w:rPr>
                      <w:color w:val="7030A0"/>
                    </w:rPr>
                    <w:t>化纤</w:t>
                  </w:r>
                </w:p>
              </w:tc>
              <w:tc>
                <w:tcPr>
                  <w:tcW w:w="1134" w:type="dxa"/>
                  <w:tcBorders>
                    <w:tl2br w:val="nil"/>
                    <w:tr2bl w:val="nil"/>
                  </w:tcBorders>
                  <w:shd w:val="clear" w:color="auto" w:fill="auto"/>
                  <w:noWrap w:val="0"/>
                  <w:vAlign w:val="center"/>
                </w:tcPr>
                <w:p>
                  <w:pPr>
                    <w:jc w:val="center"/>
                    <w:rPr>
                      <w:rFonts w:hint="default" w:eastAsia="宋体"/>
                      <w:color w:val="7030A0"/>
                      <w:lang w:val="en-US" w:eastAsia="zh-CN"/>
                    </w:rPr>
                  </w:pPr>
                  <w:r>
                    <w:rPr>
                      <w:rFonts w:hint="eastAsia"/>
                      <w:color w:val="7030A0"/>
                      <w:lang w:val="en-US" w:eastAsia="zh-CN"/>
                    </w:rPr>
                    <w:t>1.62</w:t>
                  </w:r>
                </w:p>
              </w:tc>
              <w:tc>
                <w:tcPr>
                  <w:tcW w:w="709" w:type="dxa"/>
                  <w:tcBorders>
                    <w:tl2br w:val="nil"/>
                    <w:tr2bl w:val="nil"/>
                  </w:tcBorders>
                  <w:shd w:val="clear" w:color="auto" w:fill="auto"/>
                  <w:noWrap w:val="0"/>
                  <w:vAlign w:val="center"/>
                </w:tcPr>
                <w:p>
                  <w:pPr>
                    <w:jc w:val="center"/>
                    <w:rPr>
                      <w:color w:val="7030A0"/>
                    </w:rPr>
                  </w:pPr>
                  <w:r>
                    <w:rPr>
                      <w:color w:val="7030A0"/>
                    </w:rPr>
                    <w:t>√</w:t>
                  </w:r>
                </w:p>
              </w:tc>
              <w:tc>
                <w:tcPr>
                  <w:tcW w:w="833" w:type="dxa"/>
                  <w:tcBorders>
                    <w:tl2br w:val="nil"/>
                    <w:tr2bl w:val="nil"/>
                  </w:tcBorders>
                  <w:shd w:val="clear" w:color="auto" w:fill="auto"/>
                  <w:noWrap w:val="0"/>
                  <w:vAlign w:val="center"/>
                </w:tcPr>
                <w:p>
                  <w:pPr>
                    <w:jc w:val="center"/>
                    <w:rPr>
                      <w:color w:val="7030A0"/>
                    </w:rPr>
                  </w:pPr>
                </w:p>
              </w:tc>
              <w:tc>
                <w:tcPr>
                  <w:tcW w:w="1241" w:type="dxa"/>
                  <w:vMerge w:val="continue"/>
                  <w:tcBorders>
                    <w:tl2br w:val="nil"/>
                    <w:tr2bl w:val="nil"/>
                  </w:tcBorders>
                  <w:shd w:val="clear" w:color="auto" w:fill="auto"/>
                  <w:noWrap w:val="0"/>
                  <w:vAlign w:val="center"/>
                </w:tcPr>
                <w:p>
                  <w:pPr>
                    <w:jc w:val="center"/>
                    <w:rPr>
                      <w:color w:val="7030A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397" w:hRule="exact"/>
                <w:jc w:val="center"/>
              </w:trPr>
              <w:tc>
                <w:tcPr>
                  <w:tcW w:w="500" w:type="dxa"/>
                  <w:tcBorders>
                    <w:tl2br w:val="nil"/>
                    <w:tr2bl w:val="nil"/>
                  </w:tcBorders>
                  <w:shd w:val="clear" w:color="auto" w:fill="auto"/>
                  <w:noWrap w:val="0"/>
                  <w:vAlign w:val="center"/>
                </w:tcPr>
                <w:p>
                  <w:pPr>
                    <w:jc w:val="center"/>
                    <w:rPr>
                      <w:rFonts w:hint="eastAsia" w:eastAsia="宋体"/>
                      <w:color w:val="7030A0"/>
                      <w:lang w:eastAsia="zh-CN"/>
                    </w:rPr>
                  </w:pPr>
                  <w:r>
                    <w:rPr>
                      <w:rFonts w:hint="eastAsia"/>
                      <w:color w:val="7030A0"/>
                      <w:lang w:val="en-US" w:eastAsia="zh-CN"/>
                    </w:rPr>
                    <w:t>3</w:t>
                  </w:r>
                </w:p>
              </w:tc>
              <w:tc>
                <w:tcPr>
                  <w:tcW w:w="1140" w:type="dxa"/>
                  <w:tcBorders>
                    <w:tl2br w:val="nil"/>
                    <w:tr2bl w:val="nil"/>
                  </w:tcBorders>
                  <w:shd w:val="clear" w:color="auto" w:fill="auto"/>
                  <w:noWrap w:val="0"/>
                  <w:vAlign w:val="center"/>
                </w:tcPr>
                <w:p>
                  <w:pPr>
                    <w:jc w:val="center"/>
                    <w:rPr>
                      <w:color w:val="7030A0"/>
                    </w:rPr>
                  </w:pPr>
                  <w:r>
                    <w:rPr>
                      <w:rFonts w:hint="eastAsia"/>
                      <w:color w:val="7030A0"/>
                    </w:rPr>
                    <w:t>生活垃圾</w:t>
                  </w:r>
                </w:p>
              </w:tc>
              <w:tc>
                <w:tcPr>
                  <w:tcW w:w="1049" w:type="dxa"/>
                  <w:tcBorders>
                    <w:tl2br w:val="nil"/>
                    <w:tr2bl w:val="nil"/>
                  </w:tcBorders>
                  <w:shd w:val="clear" w:color="auto" w:fill="auto"/>
                  <w:noWrap w:val="0"/>
                  <w:vAlign w:val="center"/>
                </w:tcPr>
                <w:p>
                  <w:pPr>
                    <w:jc w:val="center"/>
                    <w:rPr>
                      <w:color w:val="7030A0"/>
                    </w:rPr>
                  </w:pPr>
                  <w:r>
                    <w:rPr>
                      <w:rFonts w:hint="eastAsia"/>
                      <w:color w:val="7030A0"/>
                    </w:rPr>
                    <w:t>职工</w:t>
                  </w:r>
                </w:p>
              </w:tc>
              <w:tc>
                <w:tcPr>
                  <w:tcW w:w="595" w:type="dxa"/>
                  <w:tcBorders>
                    <w:tl2br w:val="nil"/>
                    <w:tr2bl w:val="nil"/>
                  </w:tcBorders>
                  <w:shd w:val="clear" w:color="auto" w:fill="auto"/>
                  <w:noWrap w:val="0"/>
                  <w:vAlign w:val="center"/>
                </w:tcPr>
                <w:p>
                  <w:pPr>
                    <w:jc w:val="center"/>
                    <w:rPr>
                      <w:color w:val="7030A0"/>
                    </w:rPr>
                  </w:pPr>
                  <w:r>
                    <w:rPr>
                      <w:color w:val="7030A0"/>
                    </w:rPr>
                    <w:t>固</w:t>
                  </w:r>
                </w:p>
              </w:tc>
              <w:tc>
                <w:tcPr>
                  <w:tcW w:w="895" w:type="dxa"/>
                  <w:tcBorders>
                    <w:tl2br w:val="nil"/>
                    <w:tr2bl w:val="nil"/>
                  </w:tcBorders>
                  <w:shd w:val="clear" w:color="auto" w:fill="auto"/>
                  <w:noWrap w:val="0"/>
                  <w:vAlign w:val="center"/>
                </w:tcPr>
                <w:p>
                  <w:pPr>
                    <w:jc w:val="center"/>
                    <w:rPr>
                      <w:rFonts w:hint="eastAsia"/>
                      <w:color w:val="7030A0"/>
                    </w:rPr>
                  </w:pPr>
                  <w:r>
                    <w:rPr>
                      <w:rFonts w:hint="eastAsia"/>
                      <w:color w:val="7030A0"/>
                    </w:rPr>
                    <w:t>/</w:t>
                  </w:r>
                </w:p>
              </w:tc>
              <w:tc>
                <w:tcPr>
                  <w:tcW w:w="1134" w:type="dxa"/>
                  <w:tcBorders>
                    <w:tl2br w:val="nil"/>
                    <w:tr2bl w:val="nil"/>
                  </w:tcBorders>
                  <w:shd w:val="clear" w:color="auto" w:fill="auto"/>
                  <w:noWrap w:val="0"/>
                  <w:vAlign w:val="center"/>
                </w:tcPr>
                <w:p>
                  <w:pPr>
                    <w:jc w:val="center"/>
                    <w:rPr>
                      <w:rFonts w:hint="eastAsia" w:eastAsia="宋体"/>
                      <w:color w:val="7030A0"/>
                      <w:lang w:eastAsia="zh-CN"/>
                    </w:rPr>
                  </w:pPr>
                  <w:r>
                    <w:rPr>
                      <w:rFonts w:hint="eastAsia"/>
                      <w:color w:val="7030A0"/>
                      <w:lang w:val="en-US" w:eastAsia="zh-CN"/>
                    </w:rPr>
                    <w:t>3</w:t>
                  </w:r>
                </w:p>
              </w:tc>
              <w:tc>
                <w:tcPr>
                  <w:tcW w:w="709" w:type="dxa"/>
                  <w:tcBorders>
                    <w:tl2br w:val="nil"/>
                    <w:tr2bl w:val="nil"/>
                  </w:tcBorders>
                  <w:shd w:val="clear" w:color="auto" w:fill="auto"/>
                  <w:noWrap w:val="0"/>
                  <w:vAlign w:val="center"/>
                </w:tcPr>
                <w:p>
                  <w:pPr>
                    <w:jc w:val="center"/>
                    <w:rPr>
                      <w:color w:val="7030A0"/>
                    </w:rPr>
                  </w:pPr>
                </w:p>
              </w:tc>
              <w:tc>
                <w:tcPr>
                  <w:tcW w:w="833" w:type="dxa"/>
                  <w:tcBorders>
                    <w:tl2br w:val="nil"/>
                    <w:tr2bl w:val="nil"/>
                  </w:tcBorders>
                  <w:shd w:val="clear" w:color="auto" w:fill="auto"/>
                  <w:noWrap w:val="0"/>
                  <w:vAlign w:val="center"/>
                </w:tcPr>
                <w:p>
                  <w:pPr>
                    <w:jc w:val="center"/>
                    <w:rPr>
                      <w:color w:val="7030A0"/>
                    </w:rPr>
                  </w:pPr>
                </w:p>
              </w:tc>
              <w:tc>
                <w:tcPr>
                  <w:tcW w:w="1241" w:type="dxa"/>
                  <w:tcBorders>
                    <w:tl2br w:val="nil"/>
                    <w:tr2bl w:val="nil"/>
                  </w:tcBorders>
                  <w:shd w:val="clear" w:color="auto" w:fill="auto"/>
                  <w:noWrap w:val="0"/>
                  <w:vAlign w:val="center"/>
                </w:tcPr>
                <w:p>
                  <w:pPr>
                    <w:jc w:val="center"/>
                    <w:rPr>
                      <w:color w:val="7030A0"/>
                    </w:rPr>
                  </w:pPr>
                </w:p>
              </w:tc>
            </w:tr>
          </w:tbl>
          <w:p>
            <w:pPr>
              <w:tabs>
                <w:tab w:val="left" w:pos="2457"/>
              </w:tabs>
              <w:autoSpaceDE w:val="0"/>
              <w:autoSpaceDN w:val="0"/>
              <w:adjustRightInd w:val="0"/>
              <w:snapToGrid w:val="0"/>
              <w:jc w:val="center"/>
              <w:rPr>
                <w:b/>
                <w:color w:val="7030A0"/>
                <w:szCs w:val="21"/>
              </w:rPr>
            </w:pPr>
            <w:r>
              <w:rPr>
                <w:b/>
                <w:color w:val="7030A0"/>
                <w:szCs w:val="21"/>
              </w:rPr>
              <w:t>表 5-</w:t>
            </w:r>
            <w:r>
              <w:rPr>
                <w:rFonts w:hint="eastAsia"/>
                <w:b/>
                <w:color w:val="7030A0"/>
                <w:szCs w:val="21"/>
                <w:lang w:val="en-US" w:eastAsia="zh-CN"/>
              </w:rPr>
              <w:t>5</w:t>
            </w:r>
            <w:r>
              <w:rPr>
                <w:b/>
                <w:color w:val="7030A0"/>
                <w:szCs w:val="21"/>
              </w:rPr>
              <w:t xml:space="preserve">  建设项目固废产生处置情况</w:t>
            </w:r>
          </w:p>
          <w:tbl>
            <w:tblPr>
              <w:tblStyle w:val="31"/>
              <w:tblW w:w="6329" w:type="dxa"/>
              <w:jc w:val="center"/>
              <w:tblInd w:w="-14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4"/>
              <w:gridCol w:w="1309"/>
              <w:gridCol w:w="1128"/>
              <w:gridCol w:w="1457"/>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24" w:hRule="exact"/>
                <w:jc w:val="center"/>
              </w:trPr>
              <w:tc>
                <w:tcPr>
                  <w:tcW w:w="734" w:type="dxa"/>
                  <w:tcBorders>
                    <w:tl2br w:val="nil"/>
                    <w:tr2bl w:val="nil"/>
                  </w:tcBorders>
                  <w:shd w:val="clear" w:color="auto" w:fill="auto"/>
                  <w:noWrap w:val="0"/>
                  <w:vAlign w:val="center"/>
                </w:tcPr>
                <w:p>
                  <w:pPr>
                    <w:pStyle w:val="87"/>
                    <w:spacing w:before="146" w:line="240" w:lineRule="auto"/>
                    <w:jc w:val="center"/>
                    <w:rPr>
                      <w:rFonts w:hint="eastAsia" w:ascii="宋体" w:hAnsi="宋体" w:eastAsia="宋体" w:cs="Arial"/>
                      <w:b/>
                      <w:bCs/>
                      <w:color w:val="7030A0"/>
                      <w:sz w:val="21"/>
                      <w:szCs w:val="21"/>
                      <w:lang w:eastAsia="zh-CN"/>
                    </w:rPr>
                  </w:pPr>
                  <w:r>
                    <w:rPr>
                      <w:rFonts w:hint="eastAsia" w:ascii="宋体" w:hAnsi="宋体" w:cs="Arial"/>
                      <w:b/>
                      <w:bCs/>
                      <w:color w:val="7030A0"/>
                      <w:sz w:val="21"/>
                      <w:szCs w:val="21"/>
                      <w:lang w:eastAsia="zh-CN"/>
                    </w:rPr>
                    <w:t>序号</w:t>
                  </w:r>
                </w:p>
              </w:tc>
              <w:tc>
                <w:tcPr>
                  <w:tcW w:w="1309" w:type="dxa"/>
                  <w:tcBorders>
                    <w:tl2br w:val="nil"/>
                    <w:tr2bl w:val="nil"/>
                  </w:tcBorders>
                  <w:shd w:val="clear" w:color="auto" w:fill="auto"/>
                  <w:noWrap w:val="0"/>
                  <w:vAlign w:val="center"/>
                </w:tcPr>
                <w:p>
                  <w:pPr>
                    <w:pStyle w:val="87"/>
                    <w:spacing w:before="146" w:line="240" w:lineRule="auto"/>
                    <w:jc w:val="center"/>
                    <w:rPr>
                      <w:rFonts w:ascii="宋体" w:hAnsi="宋体" w:cs="Arial"/>
                      <w:b/>
                      <w:bCs/>
                      <w:color w:val="7030A0"/>
                      <w:sz w:val="21"/>
                      <w:szCs w:val="21"/>
                    </w:rPr>
                  </w:pPr>
                  <w:r>
                    <w:rPr>
                      <w:rFonts w:ascii="宋体" w:hAnsi="宋体" w:cs="Arial"/>
                      <w:b/>
                      <w:bCs/>
                      <w:color w:val="7030A0"/>
                      <w:sz w:val="21"/>
                      <w:szCs w:val="21"/>
                    </w:rPr>
                    <w:t>名称</w:t>
                  </w:r>
                </w:p>
              </w:tc>
              <w:tc>
                <w:tcPr>
                  <w:tcW w:w="1128" w:type="dxa"/>
                  <w:tcBorders>
                    <w:tl2br w:val="nil"/>
                    <w:tr2bl w:val="nil"/>
                  </w:tcBorders>
                  <w:shd w:val="clear" w:color="auto" w:fill="auto"/>
                  <w:noWrap w:val="0"/>
                  <w:vAlign w:val="center"/>
                </w:tcPr>
                <w:p>
                  <w:pPr>
                    <w:pStyle w:val="87"/>
                    <w:spacing w:before="146" w:line="240" w:lineRule="auto"/>
                    <w:jc w:val="center"/>
                    <w:rPr>
                      <w:rFonts w:ascii="宋体" w:hAnsi="宋体" w:cs="Arial"/>
                      <w:b/>
                      <w:bCs/>
                      <w:color w:val="7030A0"/>
                      <w:sz w:val="21"/>
                      <w:szCs w:val="21"/>
                    </w:rPr>
                  </w:pPr>
                  <w:r>
                    <w:rPr>
                      <w:rFonts w:ascii="宋体" w:hAnsi="宋体" w:cs="Arial"/>
                      <w:b/>
                      <w:bCs/>
                      <w:color w:val="7030A0"/>
                      <w:sz w:val="21"/>
                      <w:szCs w:val="21"/>
                    </w:rPr>
                    <w:t>属性</w:t>
                  </w:r>
                </w:p>
              </w:tc>
              <w:tc>
                <w:tcPr>
                  <w:tcW w:w="1457" w:type="dxa"/>
                  <w:tcBorders>
                    <w:tl2br w:val="nil"/>
                    <w:tr2bl w:val="nil"/>
                  </w:tcBorders>
                  <w:shd w:val="clear" w:color="auto" w:fill="auto"/>
                  <w:noWrap w:val="0"/>
                  <w:vAlign w:val="center"/>
                </w:tcPr>
                <w:p>
                  <w:pPr>
                    <w:pStyle w:val="87"/>
                    <w:spacing w:before="146" w:line="240" w:lineRule="auto"/>
                    <w:jc w:val="center"/>
                    <w:rPr>
                      <w:rFonts w:ascii="宋体" w:hAnsi="宋体" w:cs="Arial"/>
                      <w:b/>
                      <w:bCs/>
                      <w:color w:val="7030A0"/>
                      <w:sz w:val="21"/>
                      <w:szCs w:val="21"/>
                    </w:rPr>
                  </w:pPr>
                  <w:r>
                    <w:rPr>
                      <w:b/>
                      <w:bCs/>
                      <w:color w:val="7030A0"/>
                    </w:rPr>
                    <w:t>年产生量（t/a）</w:t>
                  </w:r>
                </w:p>
              </w:tc>
              <w:tc>
                <w:tcPr>
                  <w:tcW w:w="1701" w:type="dxa"/>
                  <w:tcBorders>
                    <w:tl2br w:val="nil"/>
                    <w:tr2bl w:val="nil"/>
                  </w:tcBorders>
                  <w:shd w:val="clear" w:color="auto" w:fill="auto"/>
                  <w:noWrap w:val="0"/>
                  <w:vAlign w:val="center"/>
                </w:tcPr>
                <w:p>
                  <w:pPr>
                    <w:pStyle w:val="87"/>
                    <w:spacing w:before="146" w:line="240" w:lineRule="auto"/>
                    <w:ind w:right="6"/>
                    <w:jc w:val="center"/>
                    <w:rPr>
                      <w:rFonts w:ascii="宋体" w:hAnsi="宋体" w:cs="Arial"/>
                      <w:b/>
                      <w:bCs/>
                      <w:color w:val="7030A0"/>
                      <w:sz w:val="21"/>
                      <w:szCs w:val="21"/>
                    </w:rPr>
                  </w:pPr>
                  <w:r>
                    <w:rPr>
                      <w:rFonts w:ascii="宋体" w:hAnsi="宋体" w:cs="Arial"/>
                      <w:b/>
                      <w:bCs/>
                      <w:color w:val="7030A0"/>
                      <w:sz w:val="21"/>
                      <w:szCs w:val="21"/>
                    </w:rPr>
                    <w:t>处置方式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exact"/>
                <w:jc w:val="center"/>
              </w:trPr>
              <w:tc>
                <w:tcPr>
                  <w:tcW w:w="734" w:type="dxa"/>
                  <w:tcBorders>
                    <w:tl2br w:val="nil"/>
                    <w:tr2bl w:val="nil"/>
                  </w:tcBorders>
                  <w:shd w:val="clear" w:color="auto" w:fill="auto"/>
                  <w:noWrap w:val="0"/>
                  <w:vAlign w:val="center"/>
                </w:tcPr>
                <w:p>
                  <w:pPr>
                    <w:spacing w:line="240" w:lineRule="auto"/>
                    <w:jc w:val="center"/>
                    <w:rPr>
                      <w:rFonts w:hint="eastAsia"/>
                      <w:color w:val="7030A0"/>
                    </w:rPr>
                  </w:pPr>
                  <w:r>
                    <w:rPr>
                      <w:color w:val="7030A0"/>
                    </w:rPr>
                    <w:t>1</w:t>
                  </w:r>
                </w:p>
              </w:tc>
              <w:tc>
                <w:tcPr>
                  <w:tcW w:w="1309" w:type="dxa"/>
                  <w:tcBorders>
                    <w:tl2br w:val="nil"/>
                    <w:tr2bl w:val="nil"/>
                  </w:tcBorders>
                  <w:shd w:val="clear" w:color="auto" w:fill="auto"/>
                  <w:noWrap w:val="0"/>
                  <w:vAlign w:val="center"/>
                </w:tcPr>
                <w:p>
                  <w:pPr>
                    <w:jc w:val="center"/>
                    <w:rPr>
                      <w:rFonts w:ascii="宋体" w:hAnsi="宋体" w:cs="仿宋"/>
                      <w:color w:val="7030A0"/>
                      <w:sz w:val="21"/>
                      <w:szCs w:val="21"/>
                    </w:rPr>
                  </w:pPr>
                  <w:r>
                    <w:rPr>
                      <w:color w:val="7030A0"/>
                    </w:rPr>
                    <w:t>边角料</w:t>
                  </w:r>
                </w:p>
              </w:tc>
              <w:tc>
                <w:tcPr>
                  <w:tcW w:w="1128" w:type="dxa"/>
                  <w:tcBorders>
                    <w:tl2br w:val="nil"/>
                    <w:tr2bl w:val="nil"/>
                  </w:tcBorders>
                  <w:shd w:val="clear" w:color="auto" w:fill="auto"/>
                  <w:noWrap w:val="0"/>
                  <w:vAlign w:val="center"/>
                </w:tcPr>
                <w:p>
                  <w:pPr>
                    <w:spacing w:line="240" w:lineRule="auto"/>
                    <w:jc w:val="center"/>
                    <w:rPr>
                      <w:color w:val="7030A0"/>
                    </w:rPr>
                  </w:pPr>
                  <w:r>
                    <w:rPr>
                      <w:rFonts w:hint="eastAsia"/>
                      <w:color w:val="7030A0"/>
                    </w:rPr>
                    <w:t>一般固废</w:t>
                  </w:r>
                </w:p>
              </w:tc>
              <w:tc>
                <w:tcPr>
                  <w:tcW w:w="1457" w:type="dxa"/>
                  <w:tcBorders>
                    <w:tl2br w:val="nil"/>
                    <w:tr2bl w:val="nil"/>
                  </w:tcBorders>
                  <w:shd w:val="clear" w:color="auto" w:fill="auto"/>
                  <w:noWrap w:val="0"/>
                  <w:vAlign w:val="center"/>
                </w:tcPr>
                <w:p>
                  <w:pPr>
                    <w:spacing w:line="240" w:lineRule="auto"/>
                    <w:jc w:val="center"/>
                    <w:rPr>
                      <w:rFonts w:hint="eastAsia"/>
                      <w:color w:val="7030A0"/>
                    </w:rPr>
                  </w:pPr>
                  <w:r>
                    <w:rPr>
                      <w:rFonts w:hint="eastAsia"/>
                      <w:color w:val="7030A0"/>
                      <w:lang w:val="en-US" w:eastAsia="zh-CN"/>
                    </w:rPr>
                    <w:t>0.2</w:t>
                  </w:r>
                </w:p>
              </w:tc>
              <w:tc>
                <w:tcPr>
                  <w:tcW w:w="1701" w:type="dxa"/>
                  <w:tcBorders>
                    <w:tl2br w:val="nil"/>
                    <w:tr2bl w:val="nil"/>
                  </w:tcBorders>
                  <w:shd w:val="clear" w:color="auto" w:fill="auto"/>
                  <w:noWrap w:val="0"/>
                  <w:vAlign w:val="center"/>
                </w:tcPr>
                <w:p>
                  <w:pPr>
                    <w:spacing w:line="240" w:lineRule="auto"/>
                    <w:jc w:val="center"/>
                    <w:rPr>
                      <w:color w:val="7030A0"/>
                    </w:rPr>
                  </w:pPr>
                  <w:r>
                    <w:rPr>
                      <w:rFonts w:hint="eastAsia"/>
                      <w:color w:val="7030A0"/>
                    </w:rPr>
                    <w:t>回用于</w:t>
                  </w:r>
                  <w:r>
                    <w:rPr>
                      <w:color w:val="7030A0"/>
                    </w:rPr>
                    <w:t>生产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exact"/>
                <w:jc w:val="center"/>
              </w:trPr>
              <w:tc>
                <w:tcPr>
                  <w:tcW w:w="734" w:type="dxa"/>
                  <w:tcBorders>
                    <w:tl2br w:val="nil"/>
                    <w:tr2bl w:val="nil"/>
                  </w:tcBorders>
                  <w:shd w:val="clear" w:color="auto" w:fill="auto"/>
                  <w:noWrap w:val="0"/>
                  <w:vAlign w:val="center"/>
                </w:tcPr>
                <w:p>
                  <w:pPr>
                    <w:spacing w:line="240" w:lineRule="auto"/>
                    <w:jc w:val="center"/>
                    <w:rPr>
                      <w:color w:val="7030A0"/>
                    </w:rPr>
                  </w:pPr>
                  <w:r>
                    <w:rPr>
                      <w:color w:val="7030A0"/>
                    </w:rPr>
                    <w:t>2</w:t>
                  </w:r>
                </w:p>
              </w:tc>
              <w:tc>
                <w:tcPr>
                  <w:tcW w:w="1309" w:type="dxa"/>
                  <w:tcBorders>
                    <w:tl2br w:val="nil"/>
                    <w:tr2bl w:val="nil"/>
                  </w:tcBorders>
                  <w:shd w:val="clear" w:color="auto" w:fill="auto"/>
                  <w:noWrap w:val="0"/>
                  <w:vAlign w:val="center"/>
                </w:tcPr>
                <w:p>
                  <w:pPr>
                    <w:jc w:val="center"/>
                    <w:rPr>
                      <w:rFonts w:ascii="宋体" w:hAnsi="宋体" w:cs="仿宋"/>
                      <w:color w:val="7030A0"/>
                      <w:sz w:val="21"/>
                      <w:szCs w:val="21"/>
                    </w:rPr>
                  </w:pPr>
                  <w:r>
                    <w:rPr>
                      <w:rFonts w:hint="eastAsia"/>
                      <w:color w:val="7030A0"/>
                      <w:lang w:val="en-US" w:eastAsia="zh-CN"/>
                    </w:rPr>
                    <w:t>粉尘</w:t>
                  </w:r>
                </w:p>
              </w:tc>
              <w:tc>
                <w:tcPr>
                  <w:tcW w:w="1128" w:type="dxa"/>
                  <w:tcBorders>
                    <w:tl2br w:val="nil"/>
                    <w:tr2bl w:val="nil"/>
                  </w:tcBorders>
                  <w:shd w:val="clear" w:color="auto" w:fill="auto"/>
                  <w:noWrap w:val="0"/>
                  <w:vAlign w:val="center"/>
                </w:tcPr>
                <w:p>
                  <w:pPr>
                    <w:spacing w:line="240" w:lineRule="auto"/>
                    <w:jc w:val="center"/>
                    <w:rPr>
                      <w:color w:val="7030A0"/>
                    </w:rPr>
                  </w:pPr>
                  <w:r>
                    <w:rPr>
                      <w:rFonts w:hint="eastAsia"/>
                      <w:color w:val="7030A0"/>
                    </w:rPr>
                    <w:t>一般固废</w:t>
                  </w:r>
                </w:p>
              </w:tc>
              <w:tc>
                <w:tcPr>
                  <w:tcW w:w="1457" w:type="dxa"/>
                  <w:tcBorders>
                    <w:tl2br w:val="nil"/>
                    <w:tr2bl w:val="nil"/>
                  </w:tcBorders>
                  <w:shd w:val="clear" w:color="auto" w:fill="auto"/>
                  <w:noWrap w:val="0"/>
                  <w:vAlign w:val="center"/>
                </w:tcPr>
                <w:p>
                  <w:pPr>
                    <w:spacing w:line="240" w:lineRule="auto"/>
                    <w:jc w:val="center"/>
                    <w:rPr>
                      <w:rFonts w:hint="eastAsia"/>
                      <w:color w:val="7030A0"/>
                    </w:rPr>
                  </w:pPr>
                  <w:r>
                    <w:rPr>
                      <w:rFonts w:hint="eastAsia"/>
                      <w:color w:val="7030A0"/>
                      <w:lang w:val="en-US" w:eastAsia="zh-CN"/>
                    </w:rPr>
                    <w:t>1.62</w:t>
                  </w:r>
                </w:p>
              </w:tc>
              <w:tc>
                <w:tcPr>
                  <w:tcW w:w="1701" w:type="dxa"/>
                  <w:tcBorders>
                    <w:tl2br w:val="nil"/>
                    <w:tr2bl w:val="nil"/>
                  </w:tcBorders>
                  <w:shd w:val="clear" w:color="auto" w:fill="auto"/>
                  <w:noWrap w:val="0"/>
                  <w:vAlign w:val="center"/>
                </w:tcPr>
                <w:p>
                  <w:pPr>
                    <w:spacing w:line="240" w:lineRule="auto"/>
                    <w:jc w:val="center"/>
                    <w:rPr>
                      <w:color w:val="7030A0"/>
                    </w:rPr>
                  </w:pPr>
                  <w:r>
                    <w:rPr>
                      <w:rFonts w:hint="eastAsia" w:ascii="宋体" w:hAnsi="宋体" w:cs="Arial"/>
                      <w:color w:val="7030A0"/>
                      <w:sz w:val="21"/>
                      <w:szCs w:val="21"/>
                    </w:rPr>
                    <w:t>环卫部门</w:t>
                  </w:r>
                  <w:r>
                    <w:rPr>
                      <w:rFonts w:ascii="宋体" w:hAnsi="宋体" w:cs="Arial"/>
                      <w:color w:val="7030A0"/>
                      <w:sz w:val="21"/>
                      <w:szCs w:val="21"/>
                    </w:rPr>
                    <w:t>收集处置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54" w:hRule="exact"/>
                <w:jc w:val="center"/>
              </w:trPr>
              <w:tc>
                <w:tcPr>
                  <w:tcW w:w="734" w:type="dxa"/>
                  <w:tcBorders>
                    <w:tl2br w:val="nil"/>
                    <w:tr2bl w:val="nil"/>
                  </w:tcBorders>
                  <w:shd w:val="clear" w:color="auto" w:fill="auto"/>
                  <w:noWrap w:val="0"/>
                  <w:vAlign w:val="center"/>
                </w:tcPr>
                <w:p>
                  <w:pPr>
                    <w:spacing w:line="240" w:lineRule="auto"/>
                    <w:jc w:val="center"/>
                    <w:rPr>
                      <w:color w:val="7030A0"/>
                    </w:rPr>
                  </w:pPr>
                  <w:r>
                    <w:rPr>
                      <w:rFonts w:hint="eastAsia"/>
                      <w:color w:val="7030A0"/>
                    </w:rPr>
                    <w:t>5</w:t>
                  </w:r>
                </w:p>
              </w:tc>
              <w:tc>
                <w:tcPr>
                  <w:tcW w:w="1309" w:type="dxa"/>
                  <w:tcBorders>
                    <w:tl2br w:val="nil"/>
                    <w:tr2bl w:val="nil"/>
                  </w:tcBorders>
                  <w:shd w:val="clear" w:color="auto" w:fill="auto"/>
                  <w:noWrap w:val="0"/>
                  <w:vAlign w:val="center"/>
                </w:tcPr>
                <w:p>
                  <w:pPr>
                    <w:jc w:val="center"/>
                    <w:rPr>
                      <w:rFonts w:ascii="宋体" w:hAnsi="宋体" w:cs="仿宋"/>
                      <w:color w:val="7030A0"/>
                      <w:spacing w:val="-1"/>
                      <w:sz w:val="21"/>
                      <w:szCs w:val="21"/>
                    </w:rPr>
                  </w:pPr>
                  <w:r>
                    <w:rPr>
                      <w:rFonts w:hint="eastAsia"/>
                      <w:color w:val="7030A0"/>
                    </w:rPr>
                    <w:t>生活垃圾</w:t>
                  </w:r>
                </w:p>
              </w:tc>
              <w:tc>
                <w:tcPr>
                  <w:tcW w:w="1128" w:type="dxa"/>
                  <w:tcBorders>
                    <w:tl2br w:val="nil"/>
                    <w:tr2bl w:val="nil"/>
                  </w:tcBorders>
                  <w:shd w:val="clear" w:color="auto" w:fill="auto"/>
                  <w:noWrap w:val="0"/>
                  <w:vAlign w:val="center"/>
                </w:tcPr>
                <w:p>
                  <w:pPr>
                    <w:pStyle w:val="87"/>
                    <w:spacing w:line="240" w:lineRule="auto"/>
                    <w:ind w:left="104"/>
                    <w:jc w:val="center"/>
                    <w:rPr>
                      <w:rFonts w:hint="eastAsia" w:ascii="宋体" w:hAnsi="宋体" w:cs="Arial"/>
                      <w:color w:val="7030A0"/>
                      <w:sz w:val="21"/>
                      <w:szCs w:val="21"/>
                    </w:rPr>
                  </w:pPr>
                  <w:r>
                    <w:rPr>
                      <w:rFonts w:hint="eastAsia"/>
                      <w:color w:val="7030A0"/>
                    </w:rPr>
                    <w:t>一般固废</w:t>
                  </w:r>
                </w:p>
              </w:tc>
              <w:tc>
                <w:tcPr>
                  <w:tcW w:w="1457" w:type="dxa"/>
                  <w:tcBorders>
                    <w:tl2br w:val="nil"/>
                    <w:tr2bl w:val="nil"/>
                  </w:tcBorders>
                  <w:shd w:val="clear" w:color="auto" w:fill="auto"/>
                  <w:noWrap w:val="0"/>
                  <w:vAlign w:val="center"/>
                </w:tcPr>
                <w:p>
                  <w:pPr>
                    <w:spacing w:line="240" w:lineRule="auto"/>
                    <w:jc w:val="center"/>
                    <w:rPr>
                      <w:rFonts w:hint="eastAsia" w:ascii="Times New Roman" w:hAnsi="Times New Roman"/>
                      <w:color w:val="7030A0"/>
                      <w:sz w:val="21"/>
                      <w:szCs w:val="21"/>
                    </w:rPr>
                  </w:pPr>
                  <w:r>
                    <w:rPr>
                      <w:rFonts w:hint="eastAsia"/>
                      <w:color w:val="7030A0"/>
                      <w:lang w:val="en-US" w:eastAsia="zh-CN"/>
                    </w:rPr>
                    <w:t>3</w:t>
                  </w:r>
                </w:p>
              </w:tc>
              <w:tc>
                <w:tcPr>
                  <w:tcW w:w="1701" w:type="dxa"/>
                  <w:tcBorders>
                    <w:tl2br w:val="nil"/>
                    <w:tr2bl w:val="nil"/>
                  </w:tcBorders>
                  <w:shd w:val="clear" w:color="auto" w:fill="auto"/>
                  <w:noWrap w:val="0"/>
                  <w:vAlign w:val="center"/>
                </w:tcPr>
                <w:p>
                  <w:pPr>
                    <w:pStyle w:val="87"/>
                    <w:spacing w:line="240" w:lineRule="auto"/>
                    <w:jc w:val="center"/>
                    <w:rPr>
                      <w:rFonts w:hint="eastAsia" w:ascii="宋体" w:hAnsi="宋体" w:cs="Arial"/>
                      <w:color w:val="7030A0"/>
                      <w:sz w:val="21"/>
                      <w:szCs w:val="21"/>
                    </w:rPr>
                  </w:pPr>
                  <w:r>
                    <w:rPr>
                      <w:rFonts w:hint="eastAsia" w:ascii="宋体" w:hAnsi="宋体" w:cs="Arial"/>
                      <w:color w:val="7030A0"/>
                      <w:sz w:val="21"/>
                      <w:szCs w:val="21"/>
                    </w:rPr>
                    <w:t>环卫部门</w:t>
                  </w:r>
                  <w:r>
                    <w:rPr>
                      <w:rFonts w:ascii="宋体" w:hAnsi="宋体" w:cs="Arial"/>
                      <w:color w:val="7030A0"/>
                      <w:sz w:val="21"/>
                      <w:szCs w:val="21"/>
                    </w:rPr>
                    <w:t>收集处置</w:t>
                  </w:r>
                </w:p>
              </w:tc>
            </w:tr>
          </w:tbl>
          <w:p>
            <w:pPr>
              <w:spacing w:line="360" w:lineRule="auto"/>
              <w:ind w:firstLine="480" w:firstLineChars="200"/>
              <w:rPr>
                <w:color w:val="auto"/>
                <w:sz w:val="24"/>
              </w:rPr>
            </w:pPr>
          </w:p>
        </w:tc>
      </w:tr>
    </w:tbl>
    <w:p>
      <w:pPr>
        <w:spacing w:line="300" w:lineRule="auto"/>
        <w:ind w:firstLine="454"/>
        <w:rPr>
          <w:color w:val="auto"/>
          <w:sz w:val="28"/>
        </w:rPr>
        <w:sectPr>
          <w:footerReference r:id="rId7"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pStyle w:val="3"/>
        <w:jc w:val="left"/>
        <w:rPr>
          <w:rStyle w:val="44"/>
          <w:b/>
          <w:bCs/>
          <w:color w:val="auto"/>
          <w:szCs w:val="28"/>
        </w:rPr>
      </w:pPr>
      <w:r>
        <w:rPr>
          <w:rStyle w:val="44"/>
          <w:b/>
          <w:bCs/>
          <w:color w:val="auto"/>
          <w:szCs w:val="28"/>
        </w:rPr>
        <w:t>项目主要污染物产生及排放情况</w:t>
      </w:r>
    </w:p>
    <w:tbl>
      <w:tblPr>
        <w:tblStyle w:val="31"/>
        <w:tblW w:w="957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77"/>
        <w:gridCol w:w="1921"/>
        <w:gridCol w:w="2169"/>
        <w:gridCol w:w="2238"/>
        <w:gridCol w:w="23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877" w:type="dxa"/>
            <w:tcBorders>
              <w:tl2br w:val="single" w:color="000000" w:sz="6" w:space="0"/>
            </w:tcBorders>
          </w:tcPr>
          <w:p>
            <w:pPr>
              <w:jc w:val="center"/>
              <w:rPr>
                <w:b/>
                <w:bCs/>
                <w:color w:val="auto"/>
              </w:rPr>
            </w:pPr>
            <w:r>
              <w:rPr>
                <w:b/>
                <w:bCs/>
                <w:color w:val="auto"/>
              </w:rPr>
              <w:t>内容</w:t>
            </w:r>
          </w:p>
          <w:p>
            <w:pPr>
              <w:jc w:val="center"/>
              <w:rPr>
                <w:b/>
                <w:bCs/>
                <w:color w:val="auto"/>
              </w:rPr>
            </w:pPr>
          </w:p>
          <w:p>
            <w:pPr>
              <w:jc w:val="center"/>
              <w:rPr>
                <w:b/>
                <w:bCs/>
                <w:color w:val="auto"/>
              </w:rPr>
            </w:pPr>
            <w:r>
              <w:rPr>
                <w:b/>
                <w:bCs/>
                <w:color w:val="auto"/>
              </w:rPr>
              <w:t>类型</w:t>
            </w:r>
          </w:p>
        </w:tc>
        <w:tc>
          <w:tcPr>
            <w:tcW w:w="1921" w:type="dxa"/>
            <w:vAlign w:val="center"/>
          </w:tcPr>
          <w:p>
            <w:pPr>
              <w:jc w:val="center"/>
              <w:rPr>
                <w:b/>
                <w:bCs/>
                <w:color w:val="auto"/>
                <w:szCs w:val="21"/>
              </w:rPr>
            </w:pPr>
            <w:r>
              <w:rPr>
                <w:b/>
                <w:bCs/>
                <w:color w:val="auto"/>
                <w:szCs w:val="21"/>
              </w:rPr>
              <w:t>排放源</w:t>
            </w:r>
          </w:p>
        </w:tc>
        <w:tc>
          <w:tcPr>
            <w:tcW w:w="2169" w:type="dxa"/>
            <w:vAlign w:val="center"/>
          </w:tcPr>
          <w:p>
            <w:pPr>
              <w:jc w:val="center"/>
              <w:rPr>
                <w:b/>
                <w:bCs/>
                <w:color w:val="auto"/>
                <w:szCs w:val="21"/>
              </w:rPr>
            </w:pPr>
            <w:r>
              <w:rPr>
                <w:b/>
                <w:bCs/>
                <w:color w:val="auto"/>
                <w:szCs w:val="21"/>
              </w:rPr>
              <w:t>污染物</w:t>
            </w:r>
          </w:p>
          <w:p>
            <w:pPr>
              <w:jc w:val="center"/>
              <w:rPr>
                <w:b/>
                <w:bCs/>
                <w:color w:val="auto"/>
                <w:szCs w:val="21"/>
              </w:rPr>
            </w:pPr>
            <w:r>
              <w:rPr>
                <w:b/>
                <w:bCs/>
                <w:color w:val="auto"/>
                <w:szCs w:val="21"/>
              </w:rPr>
              <w:t>名称</w:t>
            </w:r>
          </w:p>
        </w:tc>
        <w:tc>
          <w:tcPr>
            <w:tcW w:w="2238" w:type="dxa"/>
            <w:vAlign w:val="center"/>
          </w:tcPr>
          <w:p>
            <w:pPr>
              <w:jc w:val="center"/>
              <w:rPr>
                <w:b/>
                <w:bCs/>
                <w:color w:val="auto"/>
                <w:szCs w:val="21"/>
              </w:rPr>
            </w:pPr>
            <w:r>
              <w:rPr>
                <w:b/>
                <w:bCs/>
                <w:color w:val="auto"/>
                <w:szCs w:val="21"/>
              </w:rPr>
              <w:t>处理前产生</w:t>
            </w:r>
          </w:p>
          <w:p>
            <w:pPr>
              <w:jc w:val="center"/>
              <w:rPr>
                <w:b/>
                <w:bCs/>
                <w:color w:val="auto"/>
                <w:szCs w:val="21"/>
              </w:rPr>
            </w:pPr>
            <w:r>
              <w:rPr>
                <w:b/>
                <w:bCs/>
                <w:color w:val="auto"/>
                <w:szCs w:val="21"/>
              </w:rPr>
              <w:t>浓度及产生量</w:t>
            </w:r>
          </w:p>
        </w:tc>
        <w:tc>
          <w:tcPr>
            <w:tcW w:w="2366" w:type="dxa"/>
            <w:vAlign w:val="center"/>
          </w:tcPr>
          <w:p>
            <w:pPr>
              <w:jc w:val="center"/>
              <w:rPr>
                <w:b/>
                <w:bCs/>
                <w:color w:val="auto"/>
                <w:szCs w:val="21"/>
              </w:rPr>
            </w:pPr>
            <w:r>
              <w:rPr>
                <w:b/>
                <w:bCs/>
                <w:color w:val="auto"/>
                <w:szCs w:val="21"/>
              </w:rPr>
              <w:t>排放浓度及排放量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restart"/>
            <w:vAlign w:val="center"/>
          </w:tcPr>
          <w:p>
            <w:pPr>
              <w:jc w:val="center"/>
              <w:rPr>
                <w:b/>
                <w:bCs/>
                <w:color w:val="auto"/>
              </w:rPr>
            </w:pPr>
            <w:r>
              <w:rPr>
                <w:b/>
                <w:bCs/>
                <w:color w:val="auto"/>
              </w:rPr>
              <w:t>水</w:t>
            </w:r>
          </w:p>
          <w:p>
            <w:pPr>
              <w:jc w:val="center"/>
              <w:rPr>
                <w:b/>
                <w:bCs/>
                <w:color w:val="auto"/>
              </w:rPr>
            </w:pPr>
            <w:r>
              <w:rPr>
                <w:b/>
                <w:bCs/>
                <w:color w:val="auto"/>
              </w:rPr>
              <w:t>污</w:t>
            </w:r>
          </w:p>
          <w:p>
            <w:pPr>
              <w:jc w:val="center"/>
              <w:rPr>
                <w:b/>
                <w:bCs/>
                <w:color w:val="auto"/>
              </w:rPr>
            </w:pPr>
            <w:r>
              <w:rPr>
                <w:b/>
                <w:bCs/>
                <w:color w:val="auto"/>
              </w:rPr>
              <w:t>染</w:t>
            </w:r>
          </w:p>
          <w:p>
            <w:pPr>
              <w:jc w:val="center"/>
              <w:rPr>
                <w:b/>
                <w:bCs/>
                <w:color w:val="auto"/>
              </w:rPr>
            </w:pPr>
            <w:r>
              <w:rPr>
                <w:b/>
                <w:bCs/>
                <w:color w:val="auto"/>
              </w:rPr>
              <w:t>物</w:t>
            </w:r>
          </w:p>
        </w:tc>
        <w:tc>
          <w:tcPr>
            <w:tcW w:w="1921" w:type="dxa"/>
            <w:vMerge w:val="restart"/>
            <w:vAlign w:val="center"/>
          </w:tcPr>
          <w:p>
            <w:pPr>
              <w:jc w:val="center"/>
              <w:rPr>
                <w:bCs/>
                <w:color w:val="auto"/>
                <w:kern w:val="28"/>
                <w:szCs w:val="21"/>
              </w:rPr>
            </w:pPr>
            <w:r>
              <w:rPr>
                <w:bCs/>
                <w:color w:val="auto"/>
                <w:kern w:val="28"/>
                <w:szCs w:val="21"/>
              </w:rPr>
              <w:t>生活污水</w:t>
            </w:r>
          </w:p>
          <w:p>
            <w:pPr>
              <w:jc w:val="center"/>
              <w:rPr>
                <w:color w:val="auto"/>
                <w:szCs w:val="21"/>
                <w:lang w:val="en-GB"/>
              </w:rPr>
            </w:pPr>
            <w:r>
              <w:rPr>
                <w:rFonts w:hint="eastAsia"/>
                <w:bCs/>
                <w:color w:val="auto"/>
                <w:kern w:val="28"/>
                <w:szCs w:val="21"/>
                <w:lang w:val="en-US" w:eastAsia="zh-CN"/>
              </w:rPr>
              <w:t>486</w:t>
            </w:r>
            <w:r>
              <w:rPr>
                <w:bCs/>
                <w:color w:val="auto"/>
                <w:kern w:val="28"/>
                <w:szCs w:val="21"/>
              </w:rPr>
              <w:t>t/a</w:t>
            </w:r>
          </w:p>
        </w:tc>
        <w:tc>
          <w:tcPr>
            <w:tcW w:w="2169" w:type="dxa"/>
            <w:tcBorders>
              <w:top w:val="single" w:color="auto" w:sz="4" w:space="0"/>
            </w:tcBorders>
            <w:vAlign w:val="center"/>
          </w:tcPr>
          <w:p>
            <w:pPr>
              <w:jc w:val="center"/>
              <w:rPr>
                <w:color w:val="auto"/>
                <w:szCs w:val="21"/>
              </w:rPr>
            </w:pPr>
            <w:r>
              <w:rPr>
                <w:bCs/>
                <w:color w:val="auto"/>
                <w:kern w:val="28"/>
                <w:szCs w:val="21"/>
              </w:rPr>
              <w:t>COD</w:t>
            </w:r>
            <w:r>
              <w:rPr>
                <w:bCs/>
                <w:color w:val="auto"/>
                <w:kern w:val="28"/>
                <w:szCs w:val="21"/>
                <w:vertAlign w:val="subscript"/>
              </w:rPr>
              <w:t>Cr</w:t>
            </w:r>
          </w:p>
        </w:tc>
        <w:tc>
          <w:tcPr>
            <w:tcW w:w="2238" w:type="dxa"/>
            <w:tcBorders>
              <w:right w:val="single" w:color="auto" w:sz="4" w:space="0"/>
            </w:tcBorders>
            <w:vAlign w:val="center"/>
          </w:tcPr>
          <w:p>
            <w:pPr>
              <w:jc w:val="center"/>
              <w:rPr>
                <w:color w:val="auto"/>
                <w:szCs w:val="21"/>
              </w:rPr>
            </w:pPr>
            <w:r>
              <w:rPr>
                <w:bCs/>
                <w:color w:val="auto"/>
                <w:kern w:val="28"/>
                <w:szCs w:val="21"/>
              </w:rPr>
              <w:t>250</w:t>
            </w:r>
            <w:r>
              <w:rPr>
                <w:color w:val="auto"/>
                <w:szCs w:val="21"/>
              </w:rPr>
              <w:t>mg/L</w:t>
            </w:r>
            <w:r>
              <w:rPr>
                <w:bCs/>
                <w:color w:val="auto"/>
                <w:kern w:val="28"/>
                <w:szCs w:val="21"/>
              </w:rPr>
              <w:t>，</w:t>
            </w:r>
            <w:r>
              <w:rPr>
                <w:rFonts w:hint="eastAsia"/>
                <w:bCs/>
                <w:color w:val="auto"/>
                <w:kern w:val="28"/>
                <w:szCs w:val="21"/>
                <w:lang w:val="en-US" w:eastAsia="zh-CN"/>
              </w:rPr>
              <w:t>1.22</w:t>
            </w:r>
            <w:r>
              <w:rPr>
                <w:bCs/>
                <w:color w:val="auto"/>
                <w:kern w:val="28"/>
                <w:szCs w:val="21"/>
              </w:rPr>
              <w:t>t/a</w:t>
            </w:r>
          </w:p>
        </w:tc>
        <w:tc>
          <w:tcPr>
            <w:tcW w:w="2366" w:type="dxa"/>
            <w:tcBorders>
              <w:left w:val="single" w:color="auto" w:sz="4" w:space="0"/>
            </w:tcBorders>
            <w:vAlign w:val="center"/>
          </w:tcPr>
          <w:p>
            <w:pPr>
              <w:jc w:val="center"/>
              <w:rPr>
                <w:color w:val="auto"/>
                <w:szCs w:val="21"/>
              </w:rPr>
            </w:pPr>
            <w:r>
              <w:rPr>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b/>
                <w:bCs/>
                <w:color w:val="auto"/>
              </w:rPr>
            </w:pPr>
          </w:p>
        </w:tc>
        <w:tc>
          <w:tcPr>
            <w:tcW w:w="1921" w:type="dxa"/>
            <w:vMerge w:val="continue"/>
            <w:vAlign w:val="center"/>
          </w:tcPr>
          <w:p>
            <w:pPr>
              <w:jc w:val="center"/>
              <w:rPr>
                <w:bCs/>
                <w:color w:val="auto"/>
                <w:kern w:val="28"/>
                <w:szCs w:val="21"/>
              </w:rPr>
            </w:pPr>
          </w:p>
        </w:tc>
        <w:tc>
          <w:tcPr>
            <w:tcW w:w="2169" w:type="dxa"/>
            <w:tcBorders>
              <w:top w:val="single" w:color="auto" w:sz="4" w:space="0"/>
            </w:tcBorders>
            <w:vAlign w:val="center"/>
          </w:tcPr>
          <w:p>
            <w:pPr>
              <w:jc w:val="center"/>
              <w:rPr>
                <w:bCs/>
                <w:color w:val="auto"/>
                <w:kern w:val="28"/>
                <w:szCs w:val="21"/>
              </w:rPr>
            </w:pPr>
            <w:r>
              <w:rPr>
                <w:rFonts w:hint="eastAsia"/>
                <w:bCs/>
                <w:color w:val="auto"/>
                <w:kern w:val="28"/>
                <w:szCs w:val="21"/>
              </w:rPr>
              <w:t>B</w:t>
            </w:r>
            <w:r>
              <w:rPr>
                <w:bCs/>
                <w:color w:val="auto"/>
                <w:kern w:val="28"/>
                <w:szCs w:val="21"/>
              </w:rPr>
              <w:t>OD</w:t>
            </w:r>
            <w:r>
              <w:rPr>
                <w:bCs/>
                <w:color w:val="auto"/>
                <w:kern w:val="28"/>
                <w:szCs w:val="21"/>
                <w:vertAlign w:val="subscript"/>
              </w:rPr>
              <w:t>5</w:t>
            </w:r>
          </w:p>
        </w:tc>
        <w:tc>
          <w:tcPr>
            <w:tcW w:w="2238" w:type="dxa"/>
            <w:tcBorders>
              <w:right w:val="single" w:color="auto" w:sz="4" w:space="0"/>
            </w:tcBorders>
            <w:vAlign w:val="center"/>
          </w:tcPr>
          <w:p>
            <w:pPr>
              <w:jc w:val="center"/>
              <w:rPr>
                <w:color w:val="auto"/>
                <w:szCs w:val="21"/>
              </w:rPr>
            </w:pPr>
            <w:r>
              <w:rPr>
                <w:bCs/>
                <w:color w:val="auto"/>
                <w:kern w:val="28"/>
                <w:szCs w:val="21"/>
              </w:rPr>
              <w:t>200</w:t>
            </w:r>
            <w:r>
              <w:rPr>
                <w:color w:val="auto"/>
                <w:szCs w:val="21"/>
              </w:rPr>
              <w:t>mg/L</w:t>
            </w:r>
            <w:r>
              <w:rPr>
                <w:bCs/>
                <w:color w:val="auto"/>
                <w:kern w:val="28"/>
                <w:szCs w:val="21"/>
              </w:rPr>
              <w:t>，0.</w:t>
            </w:r>
            <w:r>
              <w:rPr>
                <w:rFonts w:hint="eastAsia"/>
                <w:bCs/>
                <w:color w:val="auto"/>
                <w:kern w:val="28"/>
                <w:szCs w:val="21"/>
                <w:lang w:val="en-US" w:eastAsia="zh-CN"/>
              </w:rPr>
              <w:t>097</w:t>
            </w:r>
            <w:r>
              <w:rPr>
                <w:bCs/>
                <w:color w:val="auto"/>
                <w:kern w:val="28"/>
                <w:szCs w:val="21"/>
              </w:rPr>
              <w:t>t/a</w:t>
            </w:r>
          </w:p>
        </w:tc>
        <w:tc>
          <w:tcPr>
            <w:tcW w:w="2366" w:type="dxa"/>
            <w:tcBorders>
              <w:left w:val="single" w:color="auto" w:sz="4" w:space="0"/>
            </w:tcBorders>
            <w:vAlign w:val="center"/>
          </w:tcPr>
          <w:p>
            <w:pPr>
              <w:jc w:val="center"/>
              <w:rPr>
                <w:color w:val="auto"/>
                <w:szCs w:val="21"/>
              </w:rPr>
            </w:pPr>
            <w:r>
              <w:rPr>
                <w:rFonts w:hint="eastAsia"/>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b/>
                <w:bCs/>
                <w:color w:val="auto"/>
              </w:rPr>
            </w:pPr>
          </w:p>
        </w:tc>
        <w:tc>
          <w:tcPr>
            <w:tcW w:w="1921" w:type="dxa"/>
            <w:vMerge w:val="continue"/>
            <w:vAlign w:val="center"/>
          </w:tcPr>
          <w:p>
            <w:pPr>
              <w:jc w:val="center"/>
              <w:rPr>
                <w:color w:val="auto"/>
                <w:szCs w:val="21"/>
                <w:lang w:val="en-GB"/>
              </w:rPr>
            </w:pPr>
          </w:p>
        </w:tc>
        <w:tc>
          <w:tcPr>
            <w:tcW w:w="2169" w:type="dxa"/>
            <w:tcBorders>
              <w:top w:val="single" w:color="auto" w:sz="4" w:space="0"/>
            </w:tcBorders>
            <w:vAlign w:val="center"/>
          </w:tcPr>
          <w:p>
            <w:pPr>
              <w:jc w:val="center"/>
              <w:rPr>
                <w:color w:val="auto"/>
                <w:szCs w:val="21"/>
              </w:rPr>
            </w:pPr>
            <w:r>
              <w:rPr>
                <w:bCs/>
                <w:color w:val="auto"/>
                <w:kern w:val="28"/>
                <w:szCs w:val="21"/>
              </w:rPr>
              <w:t>SS</w:t>
            </w:r>
          </w:p>
        </w:tc>
        <w:tc>
          <w:tcPr>
            <w:tcW w:w="2238" w:type="dxa"/>
            <w:tcBorders>
              <w:right w:val="single" w:color="auto" w:sz="4" w:space="0"/>
            </w:tcBorders>
            <w:vAlign w:val="center"/>
          </w:tcPr>
          <w:p>
            <w:pPr>
              <w:jc w:val="center"/>
              <w:rPr>
                <w:color w:val="auto"/>
                <w:szCs w:val="21"/>
              </w:rPr>
            </w:pPr>
            <w:r>
              <w:rPr>
                <w:bCs/>
                <w:color w:val="auto"/>
                <w:kern w:val="28"/>
                <w:szCs w:val="21"/>
              </w:rPr>
              <w:t>200</w:t>
            </w:r>
            <w:r>
              <w:rPr>
                <w:color w:val="auto"/>
                <w:szCs w:val="21"/>
              </w:rPr>
              <w:t>mg/L</w:t>
            </w:r>
            <w:r>
              <w:rPr>
                <w:bCs/>
                <w:color w:val="auto"/>
                <w:kern w:val="28"/>
                <w:szCs w:val="21"/>
              </w:rPr>
              <w:t>，0.</w:t>
            </w:r>
            <w:r>
              <w:rPr>
                <w:rFonts w:hint="eastAsia"/>
                <w:bCs/>
                <w:color w:val="auto"/>
                <w:kern w:val="28"/>
                <w:szCs w:val="21"/>
                <w:lang w:val="en-US" w:eastAsia="zh-CN"/>
              </w:rPr>
              <w:t>097</w:t>
            </w:r>
            <w:r>
              <w:rPr>
                <w:bCs/>
                <w:color w:val="auto"/>
                <w:kern w:val="28"/>
                <w:szCs w:val="21"/>
              </w:rPr>
              <w:t>t/a</w:t>
            </w:r>
          </w:p>
        </w:tc>
        <w:tc>
          <w:tcPr>
            <w:tcW w:w="2366" w:type="dxa"/>
            <w:tcBorders>
              <w:left w:val="single" w:color="auto" w:sz="4" w:space="0"/>
            </w:tcBorders>
            <w:vAlign w:val="center"/>
          </w:tcPr>
          <w:p>
            <w:pPr>
              <w:jc w:val="center"/>
              <w:rPr>
                <w:color w:val="auto"/>
                <w:szCs w:val="21"/>
              </w:rPr>
            </w:pPr>
            <w:r>
              <w:rPr>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Merge w:val="continue"/>
            <w:vAlign w:val="center"/>
          </w:tcPr>
          <w:p>
            <w:pPr>
              <w:jc w:val="center"/>
              <w:rPr>
                <w:b/>
                <w:bCs/>
                <w:color w:val="auto"/>
              </w:rPr>
            </w:pPr>
          </w:p>
        </w:tc>
        <w:tc>
          <w:tcPr>
            <w:tcW w:w="1921" w:type="dxa"/>
            <w:vMerge w:val="continue"/>
            <w:vAlign w:val="center"/>
          </w:tcPr>
          <w:p>
            <w:pPr>
              <w:jc w:val="center"/>
              <w:rPr>
                <w:color w:val="auto"/>
                <w:szCs w:val="21"/>
                <w:lang w:val="en-GB"/>
              </w:rPr>
            </w:pPr>
          </w:p>
        </w:tc>
        <w:tc>
          <w:tcPr>
            <w:tcW w:w="2169" w:type="dxa"/>
            <w:tcBorders>
              <w:top w:val="single" w:color="auto" w:sz="4" w:space="0"/>
            </w:tcBorders>
            <w:vAlign w:val="center"/>
          </w:tcPr>
          <w:p>
            <w:pPr>
              <w:jc w:val="center"/>
              <w:rPr>
                <w:color w:val="auto"/>
                <w:szCs w:val="21"/>
              </w:rPr>
            </w:pPr>
            <w:r>
              <w:rPr>
                <w:bCs/>
                <w:color w:val="auto"/>
                <w:kern w:val="28"/>
                <w:szCs w:val="21"/>
              </w:rPr>
              <w:t>NH</w:t>
            </w:r>
            <w:r>
              <w:rPr>
                <w:bCs/>
                <w:color w:val="auto"/>
                <w:kern w:val="28"/>
                <w:szCs w:val="21"/>
                <w:vertAlign w:val="subscript"/>
              </w:rPr>
              <w:t>3</w:t>
            </w:r>
            <w:r>
              <w:rPr>
                <w:bCs/>
                <w:color w:val="auto"/>
                <w:kern w:val="28"/>
                <w:szCs w:val="21"/>
              </w:rPr>
              <w:t>-N</w:t>
            </w:r>
          </w:p>
        </w:tc>
        <w:tc>
          <w:tcPr>
            <w:tcW w:w="2238" w:type="dxa"/>
            <w:tcBorders>
              <w:right w:val="single" w:color="auto" w:sz="4" w:space="0"/>
            </w:tcBorders>
            <w:vAlign w:val="center"/>
          </w:tcPr>
          <w:p>
            <w:pPr>
              <w:jc w:val="center"/>
              <w:rPr>
                <w:color w:val="auto"/>
                <w:szCs w:val="21"/>
              </w:rPr>
            </w:pPr>
            <w:r>
              <w:rPr>
                <w:bCs/>
                <w:color w:val="auto"/>
                <w:kern w:val="28"/>
                <w:szCs w:val="21"/>
              </w:rPr>
              <w:t>40</w:t>
            </w:r>
            <w:r>
              <w:rPr>
                <w:color w:val="auto"/>
                <w:szCs w:val="21"/>
              </w:rPr>
              <w:t xml:space="preserve"> mg/L</w:t>
            </w:r>
            <w:r>
              <w:rPr>
                <w:bCs/>
                <w:color w:val="auto"/>
                <w:kern w:val="28"/>
                <w:szCs w:val="21"/>
              </w:rPr>
              <w:t>，0.0</w:t>
            </w:r>
            <w:r>
              <w:rPr>
                <w:rFonts w:hint="eastAsia"/>
                <w:bCs/>
                <w:color w:val="auto"/>
                <w:kern w:val="28"/>
                <w:szCs w:val="21"/>
              </w:rPr>
              <w:t>2</w:t>
            </w:r>
            <w:r>
              <w:rPr>
                <w:bCs/>
                <w:color w:val="auto"/>
                <w:kern w:val="28"/>
                <w:szCs w:val="21"/>
              </w:rPr>
              <w:t>t/a</w:t>
            </w:r>
          </w:p>
        </w:tc>
        <w:tc>
          <w:tcPr>
            <w:tcW w:w="2366" w:type="dxa"/>
            <w:tcBorders>
              <w:left w:val="single" w:color="auto" w:sz="4" w:space="0"/>
            </w:tcBorders>
            <w:vAlign w:val="center"/>
          </w:tcPr>
          <w:p>
            <w:pPr>
              <w:jc w:val="center"/>
              <w:rPr>
                <w:color w:val="auto"/>
                <w:szCs w:val="21"/>
              </w:rPr>
            </w:pPr>
            <w:r>
              <w:rPr>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06" w:hRule="atLeast"/>
          <w:jc w:val="center"/>
        </w:trPr>
        <w:tc>
          <w:tcPr>
            <w:tcW w:w="877" w:type="dxa"/>
            <w:vAlign w:val="center"/>
          </w:tcPr>
          <w:p>
            <w:pPr>
              <w:jc w:val="center"/>
              <w:rPr>
                <w:b/>
                <w:bCs/>
                <w:color w:val="auto"/>
              </w:rPr>
            </w:pPr>
            <w:r>
              <w:rPr>
                <w:b/>
                <w:bCs/>
                <w:color w:val="auto"/>
              </w:rPr>
              <w:t>大</w:t>
            </w:r>
          </w:p>
          <w:p>
            <w:pPr>
              <w:jc w:val="center"/>
              <w:rPr>
                <w:b/>
                <w:bCs/>
                <w:color w:val="auto"/>
              </w:rPr>
            </w:pPr>
            <w:r>
              <w:rPr>
                <w:b/>
                <w:bCs/>
                <w:color w:val="auto"/>
              </w:rPr>
              <w:t>气</w:t>
            </w:r>
          </w:p>
          <w:p>
            <w:pPr>
              <w:jc w:val="center"/>
              <w:rPr>
                <w:b/>
                <w:bCs/>
                <w:color w:val="auto"/>
              </w:rPr>
            </w:pPr>
            <w:r>
              <w:rPr>
                <w:b/>
                <w:bCs/>
                <w:color w:val="auto"/>
              </w:rPr>
              <w:t>污</w:t>
            </w:r>
          </w:p>
          <w:p>
            <w:pPr>
              <w:jc w:val="center"/>
              <w:rPr>
                <w:b/>
                <w:bCs/>
                <w:color w:val="auto"/>
              </w:rPr>
            </w:pPr>
            <w:r>
              <w:rPr>
                <w:b/>
                <w:bCs/>
                <w:color w:val="auto"/>
              </w:rPr>
              <w:t>染</w:t>
            </w:r>
          </w:p>
          <w:p>
            <w:pPr>
              <w:jc w:val="center"/>
              <w:rPr>
                <w:b/>
                <w:bCs/>
                <w:color w:val="auto"/>
              </w:rPr>
            </w:pPr>
            <w:r>
              <w:rPr>
                <w:rFonts w:hint="eastAsia"/>
                <w:b/>
                <w:bCs/>
                <w:color w:val="auto"/>
              </w:rPr>
              <w:t>物</w:t>
            </w:r>
          </w:p>
        </w:tc>
        <w:tc>
          <w:tcPr>
            <w:tcW w:w="1921" w:type="dxa"/>
            <w:vAlign w:val="center"/>
          </w:tcPr>
          <w:p>
            <w:pPr>
              <w:jc w:val="center"/>
              <w:rPr>
                <w:bCs/>
                <w:color w:val="auto"/>
                <w:kern w:val="28"/>
                <w:szCs w:val="21"/>
                <w:lang w:val="en-GB"/>
              </w:rPr>
            </w:pPr>
            <w:r>
              <w:rPr>
                <w:rFonts w:hint="eastAsia"/>
                <w:bCs/>
                <w:color w:val="auto"/>
                <w:kern w:val="28"/>
                <w:szCs w:val="21"/>
                <w:lang w:val="en-GB" w:eastAsia="zh-CN"/>
              </w:rPr>
              <w:t>开松、梳棉过程产生</w:t>
            </w:r>
            <w:r>
              <w:rPr>
                <w:rFonts w:hint="eastAsia"/>
                <w:bCs/>
                <w:color w:val="auto"/>
                <w:kern w:val="28"/>
                <w:szCs w:val="21"/>
                <w:lang w:val="en-GB"/>
              </w:rPr>
              <w:t>废气</w:t>
            </w:r>
          </w:p>
        </w:tc>
        <w:tc>
          <w:tcPr>
            <w:tcW w:w="2169" w:type="dxa"/>
            <w:tcBorders>
              <w:top w:val="single" w:color="auto" w:sz="4" w:space="0"/>
            </w:tcBorders>
            <w:vAlign w:val="center"/>
          </w:tcPr>
          <w:p>
            <w:pPr>
              <w:jc w:val="center"/>
              <w:rPr>
                <w:rFonts w:hint="eastAsia" w:eastAsia="宋体"/>
                <w:bCs/>
                <w:color w:val="auto"/>
                <w:kern w:val="28"/>
                <w:szCs w:val="21"/>
                <w:lang w:eastAsia="zh-CN"/>
              </w:rPr>
            </w:pPr>
            <w:r>
              <w:rPr>
                <w:rFonts w:hint="eastAsia"/>
                <w:bCs/>
                <w:color w:val="auto"/>
                <w:kern w:val="28"/>
                <w:szCs w:val="21"/>
                <w:lang w:eastAsia="zh-CN"/>
              </w:rPr>
              <w:t>粉尘</w:t>
            </w:r>
          </w:p>
        </w:tc>
        <w:tc>
          <w:tcPr>
            <w:tcW w:w="2238" w:type="dxa"/>
            <w:tcBorders>
              <w:right w:val="single" w:color="auto" w:sz="4" w:space="0"/>
            </w:tcBorders>
            <w:vAlign w:val="center"/>
          </w:tcPr>
          <w:p>
            <w:pPr>
              <w:jc w:val="center"/>
              <w:rPr>
                <w:bCs/>
                <w:color w:val="auto"/>
                <w:kern w:val="28"/>
                <w:szCs w:val="21"/>
              </w:rPr>
            </w:pPr>
            <w:r>
              <w:rPr>
                <w:rFonts w:hint="eastAsia"/>
                <w:bCs/>
                <w:color w:val="auto"/>
                <w:kern w:val="28"/>
                <w:szCs w:val="21"/>
                <w:lang w:val="en-US" w:eastAsia="zh-CN"/>
              </w:rPr>
              <w:t>83.3</w:t>
            </w:r>
            <w:r>
              <w:rPr>
                <w:rFonts w:hint="eastAsia"/>
                <w:bCs/>
                <w:color w:val="auto"/>
                <w:kern w:val="28"/>
                <w:szCs w:val="21"/>
              </w:rPr>
              <w:t>mg</w:t>
            </w:r>
            <w:r>
              <w:rPr>
                <w:bCs/>
                <w:color w:val="auto"/>
                <w:kern w:val="28"/>
                <w:szCs w:val="21"/>
              </w:rPr>
              <w:t>/</w:t>
            </w:r>
            <w:r>
              <w:rPr>
                <w:rFonts w:hint="eastAsia"/>
                <w:bCs/>
                <w:color w:val="auto"/>
                <w:kern w:val="28"/>
                <w:szCs w:val="21"/>
              </w:rPr>
              <w:t>m</w:t>
            </w:r>
            <w:r>
              <w:rPr>
                <w:bCs/>
                <w:color w:val="auto"/>
                <w:kern w:val="28"/>
                <w:szCs w:val="21"/>
                <w:vertAlign w:val="superscript"/>
              </w:rPr>
              <w:t>3</w:t>
            </w:r>
            <w:r>
              <w:rPr>
                <w:bCs/>
                <w:color w:val="auto"/>
                <w:kern w:val="28"/>
                <w:szCs w:val="21"/>
              </w:rPr>
              <w:t xml:space="preserve"> </w:t>
            </w:r>
            <w:r>
              <w:rPr>
                <w:rFonts w:hint="eastAsia"/>
                <w:bCs/>
                <w:color w:val="auto"/>
                <w:kern w:val="28"/>
                <w:szCs w:val="21"/>
                <w:lang w:val="en-US" w:eastAsia="zh-CN"/>
              </w:rPr>
              <w:t>2</w:t>
            </w:r>
            <w:r>
              <w:rPr>
                <w:rFonts w:hint="eastAsia"/>
                <w:bCs/>
                <w:color w:val="auto"/>
                <w:kern w:val="28"/>
                <w:szCs w:val="21"/>
              </w:rPr>
              <w:t>t</w:t>
            </w:r>
            <w:r>
              <w:rPr>
                <w:bCs/>
                <w:color w:val="auto"/>
                <w:kern w:val="28"/>
                <w:szCs w:val="21"/>
              </w:rPr>
              <w:t>/</w:t>
            </w:r>
            <w:r>
              <w:rPr>
                <w:rFonts w:hint="eastAsia"/>
                <w:bCs/>
                <w:color w:val="auto"/>
                <w:kern w:val="28"/>
                <w:szCs w:val="21"/>
              </w:rPr>
              <w:t>a</w:t>
            </w:r>
          </w:p>
        </w:tc>
        <w:tc>
          <w:tcPr>
            <w:tcW w:w="2366" w:type="dxa"/>
            <w:tcBorders>
              <w:left w:val="single" w:color="auto" w:sz="4" w:space="0"/>
            </w:tcBorders>
            <w:vAlign w:val="center"/>
          </w:tcPr>
          <w:p>
            <w:pPr>
              <w:jc w:val="center"/>
              <w:rPr>
                <w:bCs/>
                <w:color w:val="auto"/>
                <w:kern w:val="28"/>
                <w:szCs w:val="21"/>
              </w:rPr>
            </w:pPr>
            <w:r>
              <w:rPr>
                <w:rFonts w:hint="eastAsia"/>
                <w:bCs/>
                <w:color w:val="auto"/>
                <w:kern w:val="28"/>
                <w:szCs w:val="21"/>
                <w:lang w:val="en-US" w:eastAsia="zh-CN"/>
              </w:rPr>
              <w:t>7.5</w:t>
            </w:r>
            <w:r>
              <w:rPr>
                <w:rFonts w:hint="eastAsia"/>
                <w:bCs/>
                <w:color w:val="auto"/>
                <w:kern w:val="28"/>
                <w:szCs w:val="21"/>
              </w:rPr>
              <w:t>mg</w:t>
            </w:r>
            <w:r>
              <w:rPr>
                <w:bCs/>
                <w:color w:val="auto"/>
                <w:kern w:val="28"/>
                <w:szCs w:val="21"/>
              </w:rPr>
              <w:t>/</w:t>
            </w:r>
            <w:r>
              <w:rPr>
                <w:rFonts w:hint="eastAsia"/>
                <w:bCs/>
                <w:color w:val="auto"/>
                <w:kern w:val="28"/>
                <w:szCs w:val="21"/>
              </w:rPr>
              <w:t>m</w:t>
            </w:r>
            <w:r>
              <w:rPr>
                <w:bCs/>
                <w:color w:val="auto"/>
                <w:kern w:val="28"/>
                <w:szCs w:val="21"/>
                <w:vertAlign w:val="superscript"/>
              </w:rPr>
              <w:t>3</w:t>
            </w:r>
            <w:r>
              <w:rPr>
                <w:bCs/>
                <w:color w:val="auto"/>
                <w:kern w:val="28"/>
                <w:szCs w:val="21"/>
              </w:rPr>
              <w:t xml:space="preserve"> 0.</w:t>
            </w:r>
            <w:r>
              <w:rPr>
                <w:rFonts w:hint="eastAsia"/>
                <w:bCs/>
                <w:color w:val="auto"/>
                <w:kern w:val="28"/>
                <w:szCs w:val="21"/>
                <w:lang w:val="en-US" w:eastAsia="zh-CN"/>
              </w:rPr>
              <w:t>18</w:t>
            </w:r>
            <w:r>
              <w:rPr>
                <w:rFonts w:hint="eastAsia"/>
                <w:bCs/>
                <w:color w:val="auto"/>
                <w:kern w:val="28"/>
                <w:szCs w:val="21"/>
              </w:rPr>
              <w:t>t</w:t>
            </w:r>
            <w:r>
              <w:rPr>
                <w:bCs/>
                <w:color w:val="auto"/>
                <w:kern w:val="28"/>
                <w:szCs w:val="21"/>
              </w:rPr>
              <w:t>/</w:t>
            </w:r>
            <w:r>
              <w:rPr>
                <w:rFonts w:hint="eastAsia"/>
                <w:bCs/>
                <w:color w:val="auto"/>
                <w:kern w:val="28"/>
                <w:szCs w:val="21"/>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9" w:hRule="atLeast"/>
          <w:jc w:val="center"/>
        </w:trPr>
        <w:tc>
          <w:tcPr>
            <w:tcW w:w="877" w:type="dxa"/>
            <w:vMerge w:val="restart"/>
            <w:tcBorders>
              <w:top w:val="single" w:color="auto" w:sz="4" w:space="0"/>
            </w:tcBorders>
            <w:vAlign w:val="center"/>
          </w:tcPr>
          <w:p>
            <w:pPr>
              <w:jc w:val="center"/>
              <w:rPr>
                <w:b/>
                <w:bCs/>
                <w:color w:val="auto"/>
              </w:rPr>
            </w:pPr>
            <w:r>
              <w:rPr>
                <w:b/>
                <w:bCs/>
                <w:color w:val="auto"/>
              </w:rPr>
              <w:t>固</w:t>
            </w:r>
          </w:p>
          <w:p>
            <w:pPr>
              <w:jc w:val="center"/>
              <w:rPr>
                <w:b/>
                <w:bCs/>
                <w:color w:val="auto"/>
              </w:rPr>
            </w:pPr>
            <w:r>
              <w:rPr>
                <w:b/>
                <w:bCs/>
                <w:color w:val="auto"/>
              </w:rPr>
              <w:t>体</w:t>
            </w:r>
          </w:p>
          <w:p>
            <w:pPr>
              <w:jc w:val="center"/>
              <w:rPr>
                <w:b/>
                <w:bCs/>
                <w:color w:val="auto"/>
              </w:rPr>
            </w:pPr>
            <w:r>
              <w:rPr>
                <w:b/>
                <w:bCs/>
                <w:color w:val="auto"/>
              </w:rPr>
              <w:t>废</w:t>
            </w:r>
          </w:p>
          <w:p>
            <w:pPr>
              <w:jc w:val="center"/>
              <w:rPr>
                <w:b/>
                <w:bCs/>
                <w:color w:val="auto"/>
              </w:rPr>
            </w:pPr>
            <w:r>
              <w:rPr>
                <w:b/>
                <w:bCs/>
                <w:color w:val="auto"/>
              </w:rPr>
              <w:t>物</w:t>
            </w:r>
          </w:p>
        </w:tc>
        <w:tc>
          <w:tcPr>
            <w:tcW w:w="1921" w:type="dxa"/>
            <w:tcBorders>
              <w:top w:val="single" w:color="auto" w:sz="4" w:space="0"/>
            </w:tcBorders>
            <w:vAlign w:val="center"/>
          </w:tcPr>
          <w:p>
            <w:pPr>
              <w:jc w:val="center"/>
              <w:rPr>
                <w:bCs/>
                <w:color w:val="auto"/>
                <w:kern w:val="28"/>
                <w:szCs w:val="21"/>
              </w:rPr>
            </w:pPr>
            <w:r>
              <w:rPr>
                <w:rFonts w:hint="eastAsia"/>
                <w:bCs/>
                <w:color w:val="auto"/>
                <w:kern w:val="28"/>
                <w:szCs w:val="21"/>
                <w:lang w:val="en-GB" w:eastAsia="zh-CN"/>
              </w:rPr>
              <w:t>开松、梳棉过程</w:t>
            </w:r>
          </w:p>
        </w:tc>
        <w:tc>
          <w:tcPr>
            <w:tcW w:w="2169" w:type="dxa"/>
            <w:tcBorders>
              <w:top w:val="single" w:color="auto" w:sz="4" w:space="0"/>
            </w:tcBorders>
            <w:vAlign w:val="center"/>
          </w:tcPr>
          <w:p>
            <w:pPr>
              <w:jc w:val="center"/>
              <w:rPr>
                <w:rFonts w:hint="eastAsia" w:eastAsia="宋体"/>
                <w:color w:val="auto"/>
                <w:lang w:eastAsia="zh-CN"/>
              </w:rPr>
            </w:pPr>
            <w:r>
              <w:rPr>
                <w:rFonts w:hint="eastAsia"/>
                <w:color w:val="auto"/>
                <w:lang w:eastAsia="zh-CN"/>
              </w:rPr>
              <w:t>边角料</w:t>
            </w:r>
          </w:p>
        </w:tc>
        <w:tc>
          <w:tcPr>
            <w:tcW w:w="2238" w:type="dxa"/>
            <w:tcBorders>
              <w:top w:val="single" w:color="auto" w:sz="4" w:space="0"/>
              <w:bottom w:val="single" w:color="auto" w:sz="4" w:space="0"/>
            </w:tcBorders>
            <w:vAlign w:val="center"/>
          </w:tcPr>
          <w:p>
            <w:pPr>
              <w:pStyle w:val="66"/>
              <w:rPr>
                <w:rFonts w:ascii="Times New Roman" w:hAnsi="Times New Roman"/>
                <w:color w:val="auto"/>
                <w:szCs w:val="21"/>
              </w:rPr>
            </w:pPr>
            <w:r>
              <w:rPr>
                <w:rFonts w:hint="eastAsia" w:ascii="Times New Roman" w:hAnsi="Times New Roman"/>
                <w:color w:val="auto"/>
                <w:szCs w:val="21"/>
                <w:lang w:val="en-US" w:eastAsia="zh-CN"/>
              </w:rPr>
              <w:t>0.2</w:t>
            </w:r>
            <w:r>
              <w:rPr>
                <w:rFonts w:ascii="Times New Roman" w:hAnsi="Times New Roman"/>
                <w:color w:val="auto"/>
                <w:szCs w:val="21"/>
              </w:rPr>
              <w:t>t/a</w:t>
            </w:r>
          </w:p>
        </w:tc>
        <w:tc>
          <w:tcPr>
            <w:tcW w:w="2366" w:type="dxa"/>
            <w:tcBorders>
              <w:top w:val="single" w:color="auto" w:sz="4" w:space="0"/>
            </w:tcBorders>
            <w:vAlign w:val="center"/>
          </w:tcPr>
          <w:p>
            <w:pPr>
              <w:jc w:val="center"/>
              <w:rPr>
                <w:color w:val="auto"/>
                <w:szCs w:val="21"/>
              </w:rPr>
            </w:pPr>
            <w:r>
              <w:rPr>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9" w:hRule="atLeast"/>
          <w:jc w:val="center"/>
        </w:trPr>
        <w:tc>
          <w:tcPr>
            <w:tcW w:w="877" w:type="dxa"/>
            <w:vMerge w:val="continue"/>
            <w:vAlign w:val="center"/>
          </w:tcPr>
          <w:p>
            <w:pPr>
              <w:jc w:val="center"/>
              <w:rPr>
                <w:b/>
                <w:bCs/>
                <w:color w:val="auto"/>
              </w:rPr>
            </w:pPr>
          </w:p>
        </w:tc>
        <w:tc>
          <w:tcPr>
            <w:tcW w:w="1921" w:type="dxa"/>
            <w:tcBorders>
              <w:top w:val="single" w:color="auto" w:sz="4" w:space="0"/>
            </w:tcBorders>
            <w:vAlign w:val="center"/>
          </w:tcPr>
          <w:p>
            <w:pPr>
              <w:jc w:val="center"/>
              <w:rPr>
                <w:rFonts w:hint="eastAsia"/>
                <w:bCs/>
                <w:color w:val="auto"/>
                <w:kern w:val="28"/>
                <w:szCs w:val="21"/>
                <w:lang w:val="en-GB" w:eastAsia="zh-CN"/>
              </w:rPr>
            </w:pPr>
            <w:r>
              <w:rPr>
                <w:rFonts w:hint="eastAsia"/>
                <w:bCs/>
                <w:color w:val="auto"/>
                <w:kern w:val="28"/>
                <w:szCs w:val="21"/>
                <w:lang w:val="en-GB" w:eastAsia="zh-CN"/>
              </w:rPr>
              <w:t>多筒式除尘机</w:t>
            </w:r>
          </w:p>
        </w:tc>
        <w:tc>
          <w:tcPr>
            <w:tcW w:w="2169" w:type="dxa"/>
            <w:tcBorders>
              <w:top w:val="single" w:color="auto" w:sz="4" w:space="0"/>
            </w:tcBorders>
            <w:vAlign w:val="center"/>
          </w:tcPr>
          <w:p>
            <w:pPr>
              <w:jc w:val="center"/>
              <w:rPr>
                <w:rFonts w:hint="eastAsia"/>
                <w:color w:val="auto"/>
                <w:lang w:eastAsia="zh-CN"/>
              </w:rPr>
            </w:pPr>
            <w:r>
              <w:rPr>
                <w:rFonts w:hint="eastAsia"/>
                <w:color w:val="auto"/>
                <w:lang w:eastAsia="zh-CN"/>
              </w:rPr>
              <w:t>粉尘</w:t>
            </w:r>
          </w:p>
        </w:tc>
        <w:tc>
          <w:tcPr>
            <w:tcW w:w="2238" w:type="dxa"/>
            <w:tcBorders>
              <w:top w:val="single" w:color="auto" w:sz="4" w:space="0"/>
              <w:bottom w:val="single" w:color="auto" w:sz="4" w:space="0"/>
            </w:tcBorders>
            <w:vAlign w:val="center"/>
          </w:tcPr>
          <w:p>
            <w:pPr>
              <w:pStyle w:val="66"/>
              <w:rPr>
                <w:rFonts w:hint="eastAsia" w:ascii="Times New Roman" w:hAnsi="Times New Roman"/>
                <w:color w:val="auto"/>
                <w:szCs w:val="21"/>
                <w:lang w:val="en-US" w:eastAsia="zh-CN"/>
              </w:rPr>
            </w:pPr>
            <w:r>
              <w:rPr>
                <w:rFonts w:hint="eastAsia" w:ascii="Times New Roman" w:hAnsi="Times New Roman"/>
                <w:color w:val="auto"/>
                <w:szCs w:val="21"/>
                <w:lang w:val="en-US" w:eastAsia="zh-CN"/>
              </w:rPr>
              <w:t>1.62t/a</w:t>
            </w:r>
          </w:p>
        </w:tc>
        <w:tc>
          <w:tcPr>
            <w:tcW w:w="2366" w:type="dxa"/>
            <w:tcBorders>
              <w:top w:val="single" w:color="auto" w:sz="4" w:space="0"/>
            </w:tcBorders>
            <w:vAlign w:val="center"/>
          </w:tcPr>
          <w:p>
            <w:pPr>
              <w:jc w:val="center"/>
              <w:rPr>
                <w:rFonts w:hint="eastAsia" w:eastAsia="宋体"/>
                <w:color w:val="auto"/>
                <w:szCs w:val="21"/>
                <w:lang w:val="en-US" w:eastAsia="zh-CN"/>
              </w:rPr>
            </w:pPr>
            <w:r>
              <w:rPr>
                <w:rFonts w:hint="eastAsia"/>
                <w:color w:val="auto"/>
                <w:szCs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13" w:hRule="atLeast"/>
          <w:jc w:val="center"/>
        </w:trPr>
        <w:tc>
          <w:tcPr>
            <w:tcW w:w="877" w:type="dxa"/>
            <w:vMerge w:val="continue"/>
            <w:vAlign w:val="center"/>
          </w:tcPr>
          <w:p>
            <w:pPr>
              <w:jc w:val="center"/>
              <w:rPr>
                <w:b/>
                <w:bCs/>
                <w:color w:val="auto"/>
              </w:rPr>
            </w:pPr>
          </w:p>
        </w:tc>
        <w:tc>
          <w:tcPr>
            <w:tcW w:w="1921" w:type="dxa"/>
            <w:vAlign w:val="center"/>
          </w:tcPr>
          <w:p>
            <w:pPr>
              <w:jc w:val="center"/>
              <w:rPr>
                <w:bCs/>
                <w:color w:val="auto"/>
                <w:kern w:val="28"/>
                <w:szCs w:val="21"/>
              </w:rPr>
            </w:pPr>
            <w:r>
              <w:rPr>
                <w:bCs/>
                <w:color w:val="auto"/>
                <w:kern w:val="28"/>
                <w:szCs w:val="21"/>
              </w:rPr>
              <w:t>员工</w:t>
            </w:r>
            <w:r>
              <w:rPr>
                <w:rFonts w:hint="eastAsia"/>
                <w:bCs/>
                <w:color w:val="auto"/>
                <w:kern w:val="28"/>
                <w:szCs w:val="21"/>
                <w:lang w:eastAsia="zh-CN"/>
              </w:rPr>
              <w:t>办公</w:t>
            </w:r>
            <w:r>
              <w:rPr>
                <w:bCs/>
                <w:color w:val="auto"/>
                <w:kern w:val="28"/>
                <w:szCs w:val="21"/>
              </w:rPr>
              <w:t>生活</w:t>
            </w:r>
          </w:p>
        </w:tc>
        <w:tc>
          <w:tcPr>
            <w:tcW w:w="2169" w:type="dxa"/>
            <w:tcBorders>
              <w:top w:val="single" w:color="auto" w:sz="4" w:space="0"/>
              <w:bottom w:val="single" w:color="auto" w:sz="4" w:space="0"/>
            </w:tcBorders>
            <w:vAlign w:val="center"/>
          </w:tcPr>
          <w:p>
            <w:pPr>
              <w:jc w:val="center"/>
              <w:rPr>
                <w:bCs/>
                <w:color w:val="auto"/>
                <w:kern w:val="28"/>
                <w:szCs w:val="21"/>
              </w:rPr>
            </w:pPr>
            <w:r>
              <w:rPr>
                <w:bCs/>
                <w:color w:val="auto"/>
                <w:kern w:val="28"/>
                <w:szCs w:val="21"/>
              </w:rPr>
              <w:t>生活垃圾</w:t>
            </w:r>
          </w:p>
        </w:tc>
        <w:tc>
          <w:tcPr>
            <w:tcW w:w="2238" w:type="dxa"/>
            <w:tcBorders>
              <w:top w:val="single" w:color="auto" w:sz="4" w:space="0"/>
              <w:bottom w:val="single" w:color="auto" w:sz="4" w:space="0"/>
            </w:tcBorders>
            <w:vAlign w:val="center"/>
          </w:tcPr>
          <w:p>
            <w:pPr>
              <w:jc w:val="center"/>
              <w:rPr>
                <w:bCs/>
                <w:color w:val="auto"/>
                <w:kern w:val="28"/>
                <w:szCs w:val="21"/>
              </w:rPr>
            </w:pPr>
            <w:r>
              <w:rPr>
                <w:rFonts w:hint="eastAsia"/>
                <w:bCs/>
                <w:color w:val="auto"/>
                <w:kern w:val="28"/>
                <w:szCs w:val="21"/>
                <w:lang w:val="en-US" w:eastAsia="zh-CN"/>
              </w:rPr>
              <w:t>3</w:t>
            </w:r>
            <w:r>
              <w:rPr>
                <w:bCs/>
                <w:color w:val="auto"/>
                <w:kern w:val="28"/>
                <w:szCs w:val="21"/>
              </w:rPr>
              <w:t>t/a</w:t>
            </w:r>
          </w:p>
        </w:tc>
        <w:tc>
          <w:tcPr>
            <w:tcW w:w="2366" w:type="dxa"/>
            <w:vAlign w:val="center"/>
          </w:tcPr>
          <w:p>
            <w:pPr>
              <w:jc w:val="center"/>
              <w:rPr>
                <w:color w:val="auto"/>
                <w:szCs w:val="21"/>
              </w:rPr>
            </w:pPr>
            <w:r>
              <w:rPr>
                <w:color w:val="auto"/>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750" w:hRule="atLeast"/>
          <w:jc w:val="center"/>
        </w:trPr>
        <w:tc>
          <w:tcPr>
            <w:tcW w:w="877" w:type="dxa"/>
            <w:tcBorders>
              <w:top w:val="single" w:color="auto" w:sz="4" w:space="0"/>
              <w:bottom w:val="single" w:color="auto" w:sz="4" w:space="0"/>
            </w:tcBorders>
            <w:vAlign w:val="center"/>
          </w:tcPr>
          <w:p>
            <w:pPr>
              <w:jc w:val="center"/>
              <w:rPr>
                <w:b/>
                <w:bCs/>
                <w:color w:val="auto"/>
              </w:rPr>
            </w:pPr>
            <w:r>
              <w:rPr>
                <w:b/>
                <w:bCs/>
                <w:color w:val="auto"/>
              </w:rPr>
              <w:t>噪</w:t>
            </w:r>
          </w:p>
          <w:p>
            <w:pPr>
              <w:jc w:val="center"/>
              <w:rPr>
                <w:b/>
                <w:bCs/>
                <w:color w:val="auto"/>
              </w:rPr>
            </w:pPr>
            <w:r>
              <w:rPr>
                <w:b/>
                <w:bCs/>
                <w:color w:val="auto"/>
              </w:rPr>
              <w:t>声</w:t>
            </w:r>
          </w:p>
        </w:tc>
        <w:tc>
          <w:tcPr>
            <w:tcW w:w="1921" w:type="dxa"/>
            <w:vAlign w:val="center"/>
          </w:tcPr>
          <w:p>
            <w:pPr>
              <w:spacing w:line="320" w:lineRule="exact"/>
              <w:jc w:val="center"/>
              <w:rPr>
                <w:color w:val="auto"/>
                <w:szCs w:val="21"/>
              </w:rPr>
            </w:pPr>
            <w:r>
              <w:rPr>
                <w:rFonts w:hint="eastAsia"/>
                <w:color w:val="auto"/>
                <w:szCs w:val="21"/>
              </w:rPr>
              <w:t>生产设备</w:t>
            </w:r>
          </w:p>
        </w:tc>
        <w:tc>
          <w:tcPr>
            <w:tcW w:w="2169" w:type="dxa"/>
            <w:vAlign w:val="center"/>
          </w:tcPr>
          <w:p>
            <w:pPr>
              <w:spacing w:line="320" w:lineRule="exact"/>
              <w:jc w:val="center"/>
              <w:rPr>
                <w:color w:val="auto"/>
                <w:szCs w:val="21"/>
              </w:rPr>
            </w:pPr>
            <w:r>
              <w:rPr>
                <w:color w:val="auto"/>
                <w:szCs w:val="21"/>
              </w:rPr>
              <w:t>噪声</w:t>
            </w:r>
          </w:p>
        </w:tc>
        <w:tc>
          <w:tcPr>
            <w:tcW w:w="2238" w:type="dxa"/>
            <w:tcBorders>
              <w:bottom w:val="single" w:color="auto" w:sz="4" w:space="0"/>
            </w:tcBorders>
            <w:vAlign w:val="center"/>
          </w:tcPr>
          <w:p>
            <w:pPr>
              <w:jc w:val="center"/>
              <w:rPr>
                <w:color w:val="auto"/>
                <w:szCs w:val="21"/>
              </w:rPr>
            </w:pPr>
            <w:r>
              <w:rPr>
                <w:bCs/>
                <w:color w:val="auto"/>
                <w:kern w:val="28"/>
                <w:szCs w:val="21"/>
              </w:rPr>
              <w:t>70～</w:t>
            </w:r>
            <w:r>
              <w:rPr>
                <w:rFonts w:hint="eastAsia"/>
                <w:bCs/>
                <w:color w:val="auto"/>
                <w:kern w:val="28"/>
                <w:szCs w:val="21"/>
                <w:lang w:val="en-US" w:eastAsia="zh-CN"/>
              </w:rPr>
              <w:t>85</w:t>
            </w:r>
            <w:r>
              <w:rPr>
                <w:bCs/>
                <w:color w:val="auto"/>
                <w:kern w:val="28"/>
                <w:szCs w:val="21"/>
              </w:rPr>
              <w:t>dB(A)</w:t>
            </w:r>
          </w:p>
        </w:tc>
        <w:tc>
          <w:tcPr>
            <w:tcW w:w="2366" w:type="dxa"/>
            <w:tcBorders>
              <w:bottom w:val="single" w:color="auto" w:sz="4" w:space="0"/>
            </w:tcBorders>
            <w:vAlign w:val="center"/>
          </w:tcPr>
          <w:p>
            <w:pPr>
              <w:jc w:val="center"/>
              <w:rPr>
                <w:color w:val="auto"/>
                <w:szCs w:val="21"/>
              </w:rPr>
            </w:pPr>
            <w:r>
              <w:rPr>
                <w:color w:val="auto"/>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457" w:hRule="atLeast"/>
          <w:jc w:val="center"/>
        </w:trPr>
        <w:tc>
          <w:tcPr>
            <w:tcW w:w="877" w:type="dxa"/>
            <w:tcBorders>
              <w:top w:val="single" w:color="auto" w:sz="4" w:space="0"/>
            </w:tcBorders>
            <w:vAlign w:val="center"/>
          </w:tcPr>
          <w:p>
            <w:pPr>
              <w:jc w:val="center"/>
              <w:rPr>
                <w:b/>
                <w:bCs/>
                <w:color w:val="auto"/>
              </w:rPr>
            </w:pPr>
            <w:r>
              <w:rPr>
                <w:b/>
                <w:bCs/>
                <w:color w:val="auto"/>
              </w:rPr>
              <w:t>其他</w:t>
            </w:r>
          </w:p>
        </w:tc>
        <w:tc>
          <w:tcPr>
            <w:tcW w:w="8694" w:type="dxa"/>
            <w:gridSpan w:val="4"/>
            <w:vAlign w:val="center"/>
          </w:tcPr>
          <w:p>
            <w:pPr>
              <w:jc w:val="center"/>
              <w:rPr>
                <w:color w:val="auto"/>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571" w:type="dxa"/>
            <w:gridSpan w:val="5"/>
          </w:tcPr>
          <w:p>
            <w:pPr>
              <w:rPr>
                <w:b/>
                <w:bCs/>
                <w:color w:val="auto"/>
              </w:rPr>
            </w:pPr>
            <w:r>
              <w:rPr>
                <w:b/>
                <w:bCs/>
                <w:color w:val="auto"/>
              </w:rPr>
              <w:t>主要生态影响(不够时可附另页):</w:t>
            </w:r>
          </w:p>
          <w:p>
            <w:pPr>
              <w:spacing w:line="360" w:lineRule="auto"/>
              <w:ind w:firstLine="360" w:firstLineChars="150"/>
              <w:rPr>
                <w:color w:val="auto"/>
                <w:sz w:val="24"/>
              </w:rPr>
            </w:pPr>
            <w:r>
              <w:rPr>
                <w:color w:val="auto"/>
                <w:sz w:val="24"/>
              </w:rPr>
              <w:t>本项目位于</w:t>
            </w:r>
            <w:r>
              <w:rPr>
                <w:rFonts w:hint="eastAsia"/>
                <w:bCs/>
                <w:color w:val="auto"/>
                <w:spacing w:val="8"/>
                <w:sz w:val="24"/>
                <w:lang w:eastAsia="zh-CN"/>
              </w:rPr>
              <w:t>普宁市梅塘镇新光村镇政府西侧</w:t>
            </w:r>
            <w:r>
              <w:rPr>
                <w:color w:val="auto"/>
                <w:sz w:val="24"/>
              </w:rPr>
              <w:t>。据现场调查，项目所在区域内无国家重点保护的动植物和无大型或珍贵受保护生物，该区域不属生态环境保护区，没有特别受保护的生境和生物区系及水产资源，本项目的建设对当地的生态环境影响不大。</w:t>
            </w:r>
          </w:p>
          <w:p>
            <w:pPr>
              <w:ind w:firstLine="480"/>
              <w:rPr>
                <w:color w:val="auto"/>
              </w:rPr>
            </w:pPr>
          </w:p>
        </w:tc>
      </w:tr>
    </w:tbl>
    <w:p>
      <w:pPr>
        <w:rPr>
          <w:color w:val="auto"/>
        </w:rPr>
      </w:pPr>
    </w:p>
    <w:p>
      <w:pPr>
        <w:rPr>
          <w:color w:val="auto"/>
        </w:rPr>
      </w:pPr>
    </w:p>
    <w:p>
      <w:pPr>
        <w:spacing w:line="300" w:lineRule="auto"/>
        <w:rPr>
          <w:color w:val="auto"/>
          <w:sz w:val="24"/>
        </w:rPr>
        <w:sectPr>
          <w:footerReference r:id="rId8"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pStyle w:val="3"/>
        <w:jc w:val="left"/>
        <w:rPr>
          <w:b/>
          <w:bCs/>
          <w:color w:val="auto"/>
          <w:szCs w:val="28"/>
        </w:rPr>
      </w:pPr>
      <w:r>
        <w:rPr>
          <w:b/>
          <w:bCs/>
          <w:color w:val="auto"/>
          <w:szCs w:val="28"/>
        </w:rPr>
        <w:t>环境影响分析</w:t>
      </w:r>
    </w:p>
    <w:tbl>
      <w:tblPr>
        <w:tblStyle w:val="31"/>
        <w:tblW w:w="957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79" w:hRule="atLeast"/>
        </w:trPr>
        <w:tc>
          <w:tcPr>
            <w:tcW w:w="9571" w:type="dxa"/>
          </w:tcPr>
          <w:p>
            <w:pPr>
              <w:spacing w:line="360" w:lineRule="auto"/>
              <w:rPr>
                <w:b/>
                <w:bCs/>
                <w:color w:val="auto"/>
                <w:sz w:val="24"/>
              </w:rPr>
            </w:pPr>
            <w:r>
              <w:rPr>
                <w:b/>
                <w:bCs/>
                <w:color w:val="auto"/>
                <w:sz w:val="24"/>
              </w:rPr>
              <w:t>施工期环境影响分析：</w:t>
            </w:r>
          </w:p>
          <w:p>
            <w:pPr>
              <w:spacing w:line="360" w:lineRule="auto"/>
              <w:ind w:firstLine="480" w:firstLineChars="200"/>
              <w:jc w:val="left"/>
              <w:rPr>
                <w:color w:val="auto"/>
                <w:sz w:val="24"/>
              </w:rPr>
            </w:pPr>
            <w:r>
              <w:rPr>
                <w:color w:val="auto"/>
                <w:kern w:val="0"/>
                <w:sz w:val="24"/>
                <w:szCs w:val="24"/>
              </w:rPr>
              <w:t>本项目</w:t>
            </w:r>
            <w:r>
              <w:rPr>
                <w:rFonts w:hint="eastAsia"/>
                <w:color w:val="auto"/>
                <w:kern w:val="0"/>
                <w:sz w:val="24"/>
                <w:szCs w:val="24"/>
              </w:rPr>
              <w:t>已建成</w:t>
            </w:r>
            <w:r>
              <w:rPr>
                <w:color w:val="auto"/>
                <w:kern w:val="0"/>
                <w:sz w:val="24"/>
                <w:szCs w:val="24"/>
              </w:rPr>
              <w:t>，不存在施工期，则施工期不在本环评评价范围之内。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52" w:hRule="atLeast"/>
        </w:trPr>
        <w:tc>
          <w:tcPr>
            <w:tcW w:w="9571" w:type="dxa"/>
            <w:tcBorders>
              <w:bottom w:val="single" w:color="auto" w:sz="4" w:space="0"/>
            </w:tcBorders>
          </w:tcPr>
          <w:p>
            <w:pPr>
              <w:widowControl/>
              <w:tabs>
                <w:tab w:val="left" w:pos="945"/>
              </w:tabs>
              <w:autoSpaceDE w:val="0"/>
              <w:autoSpaceDN w:val="0"/>
              <w:spacing w:line="360" w:lineRule="auto"/>
              <w:jc w:val="left"/>
              <w:rPr>
                <w:b/>
                <w:color w:val="auto"/>
                <w:sz w:val="24"/>
              </w:rPr>
            </w:pPr>
            <w:r>
              <w:rPr>
                <w:b/>
                <w:color w:val="auto"/>
                <w:sz w:val="24"/>
              </w:rPr>
              <w:t>营运期环境影响分析：</w:t>
            </w:r>
          </w:p>
          <w:p>
            <w:pPr>
              <w:spacing w:line="360" w:lineRule="auto"/>
              <w:ind w:firstLine="482" w:firstLineChars="200"/>
              <w:rPr>
                <w:b/>
                <w:bCs/>
                <w:color w:val="auto"/>
                <w:sz w:val="24"/>
              </w:rPr>
            </w:pPr>
            <w:bookmarkStart w:id="3" w:name="_Toc319526752"/>
            <w:bookmarkStart w:id="4" w:name="_Toc343664438"/>
            <w:bookmarkStart w:id="5" w:name="_Toc343665622"/>
            <w:r>
              <w:rPr>
                <w:b/>
                <w:bCs/>
                <w:color w:val="auto"/>
                <w:sz w:val="24"/>
              </w:rPr>
              <w:t>一、环境空气影响分析</w:t>
            </w:r>
            <w:bookmarkEnd w:id="3"/>
            <w:bookmarkEnd w:id="4"/>
            <w:bookmarkEnd w:id="5"/>
          </w:p>
          <w:p>
            <w:pPr>
              <w:adjustRightInd w:val="0"/>
              <w:spacing w:line="360" w:lineRule="auto"/>
              <w:ind w:firstLine="480" w:firstLineChars="200"/>
              <w:rPr>
                <w:color w:val="auto"/>
                <w:sz w:val="24"/>
              </w:rPr>
            </w:pPr>
            <w:r>
              <w:rPr>
                <w:rFonts w:hint="eastAsia"/>
                <w:color w:val="auto"/>
                <w:sz w:val="24"/>
              </w:rPr>
              <w:t>项目</w:t>
            </w:r>
            <w:r>
              <w:rPr>
                <w:color w:val="auto"/>
                <w:sz w:val="24"/>
              </w:rPr>
              <w:t>生产废气</w:t>
            </w:r>
            <w:r>
              <w:rPr>
                <w:rFonts w:hint="eastAsia"/>
                <w:color w:val="auto"/>
                <w:sz w:val="24"/>
              </w:rPr>
              <w:t>主要为</w:t>
            </w:r>
            <w:r>
              <w:rPr>
                <w:rFonts w:hint="eastAsia"/>
                <w:color w:val="auto"/>
                <w:sz w:val="24"/>
                <w:lang w:eastAsia="zh-CN"/>
              </w:rPr>
              <w:t>开松、梳棉过程中产生的废气，主要污染物为粉尘</w:t>
            </w:r>
            <w:r>
              <w:rPr>
                <w:rFonts w:hint="eastAsia"/>
                <w:color w:val="auto"/>
                <w:sz w:val="24"/>
              </w:rPr>
              <w:t>。</w:t>
            </w:r>
          </w:p>
          <w:p>
            <w:pPr>
              <w:adjustRightInd w:val="0"/>
              <w:spacing w:line="360" w:lineRule="auto"/>
              <w:ind w:firstLine="480" w:firstLineChars="200"/>
              <w:rPr>
                <w:color w:val="auto"/>
                <w:sz w:val="24"/>
                <w:szCs w:val="20"/>
              </w:rPr>
            </w:pPr>
            <w:r>
              <w:rPr>
                <w:rFonts w:hint="eastAsia"/>
                <w:color w:val="auto"/>
                <w:sz w:val="24"/>
              </w:rPr>
              <w:t>根据上述建设项目分析可知</w:t>
            </w:r>
            <w:r>
              <w:rPr>
                <w:color w:val="auto"/>
                <w:sz w:val="24"/>
              </w:rPr>
              <w:t>，本项目</w:t>
            </w:r>
            <w:r>
              <w:rPr>
                <w:rFonts w:hint="eastAsia"/>
                <w:color w:val="auto"/>
                <w:sz w:val="24"/>
                <w:lang w:eastAsia="zh-CN"/>
              </w:rPr>
              <w:t>产生的粉尘</w:t>
            </w:r>
            <w:r>
              <w:rPr>
                <w:color w:val="auto"/>
                <w:sz w:val="24"/>
              </w:rPr>
              <w:t>经</w:t>
            </w:r>
            <w:r>
              <w:rPr>
                <w:rFonts w:hint="eastAsia"/>
                <w:color w:val="auto"/>
                <w:sz w:val="24"/>
                <w:lang w:eastAsia="zh-CN"/>
              </w:rPr>
              <w:t>多筒式除尘机</w:t>
            </w:r>
            <w:r>
              <w:rPr>
                <w:color w:val="auto"/>
                <w:sz w:val="24"/>
              </w:rPr>
              <w:t>（风量为</w:t>
            </w:r>
            <w:r>
              <w:rPr>
                <w:rFonts w:hint="eastAsia"/>
                <w:color w:val="auto"/>
                <w:sz w:val="24"/>
                <w:lang w:val="en-US" w:eastAsia="zh-CN"/>
              </w:rPr>
              <w:t>5</w:t>
            </w:r>
            <w:r>
              <w:rPr>
                <w:color w:val="auto"/>
                <w:sz w:val="24"/>
              </w:rPr>
              <w:t>000m</w:t>
            </w:r>
            <w:r>
              <w:rPr>
                <w:color w:val="auto"/>
                <w:sz w:val="24"/>
                <w:vertAlign w:val="superscript"/>
              </w:rPr>
              <w:t>3</w:t>
            </w:r>
            <w:r>
              <w:rPr>
                <w:color w:val="auto"/>
                <w:sz w:val="24"/>
              </w:rPr>
              <w:t>/h，除尘效率为9</w:t>
            </w:r>
            <w:r>
              <w:rPr>
                <w:rFonts w:hint="eastAsia"/>
                <w:color w:val="auto"/>
                <w:sz w:val="24"/>
                <w:lang w:val="en-US" w:eastAsia="zh-CN"/>
              </w:rPr>
              <w:t>0</w:t>
            </w:r>
            <w:r>
              <w:rPr>
                <w:color w:val="auto"/>
                <w:sz w:val="24"/>
              </w:rPr>
              <w:t>%）处理后通过</w:t>
            </w:r>
            <w:r>
              <w:rPr>
                <w:rFonts w:hint="eastAsia"/>
                <w:color w:val="auto"/>
                <w:sz w:val="24"/>
                <w:lang w:val="en-US" w:eastAsia="zh-CN"/>
              </w:rPr>
              <w:t>15</w:t>
            </w:r>
            <w:r>
              <w:rPr>
                <w:color w:val="auto"/>
                <w:sz w:val="24"/>
              </w:rPr>
              <w:t>米的专用烟囱高空排放。</w:t>
            </w:r>
            <w:r>
              <w:rPr>
                <w:color w:val="auto"/>
                <w:sz w:val="24"/>
                <w:szCs w:val="20"/>
              </w:rPr>
              <w:t>因此，</w:t>
            </w:r>
            <w:r>
              <w:rPr>
                <w:rFonts w:hint="eastAsia"/>
                <w:color w:val="auto"/>
                <w:sz w:val="24"/>
                <w:szCs w:val="20"/>
                <w:lang w:eastAsia="zh-CN"/>
              </w:rPr>
              <w:t>开松、梳棉过程中有组织废气</w:t>
            </w:r>
            <w:r>
              <w:rPr>
                <w:color w:val="auto"/>
                <w:sz w:val="24"/>
                <w:szCs w:val="20"/>
              </w:rPr>
              <w:t>产排</w:t>
            </w:r>
            <w:r>
              <w:rPr>
                <w:rFonts w:hint="eastAsia"/>
                <w:color w:val="auto"/>
                <w:sz w:val="24"/>
                <w:szCs w:val="20"/>
                <w:lang w:eastAsia="zh-CN"/>
              </w:rPr>
              <w:t>情况</w:t>
            </w:r>
            <w:r>
              <w:rPr>
                <w:color w:val="auto"/>
                <w:sz w:val="24"/>
                <w:szCs w:val="20"/>
              </w:rPr>
              <w:t>详见下表。</w:t>
            </w:r>
          </w:p>
          <w:p>
            <w:pPr>
              <w:tabs>
                <w:tab w:val="left" w:pos="2457"/>
              </w:tabs>
              <w:autoSpaceDE w:val="0"/>
              <w:autoSpaceDN w:val="0"/>
              <w:adjustRightInd w:val="0"/>
              <w:snapToGrid w:val="0"/>
              <w:jc w:val="center"/>
              <w:rPr>
                <w:b/>
                <w:color w:val="auto"/>
                <w:szCs w:val="21"/>
              </w:rPr>
            </w:pPr>
            <w:r>
              <w:rPr>
                <w:b/>
                <w:color w:val="auto"/>
                <w:szCs w:val="21"/>
                <w:lang w:val="zh-CN"/>
              </w:rPr>
              <w:t>表</w:t>
            </w:r>
            <w:r>
              <w:rPr>
                <w:rFonts w:hint="eastAsia"/>
                <w:b/>
                <w:color w:val="auto"/>
                <w:szCs w:val="21"/>
                <w:lang w:val="en-US" w:eastAsia="zh-CN"/>
              </w:rPr>
              <w:t xml:space="preserve">7-1 </w:t>
            </w:r>
            <w:r>
              <w:rPr>
                <w:rFonts w:hint="eastAsia"/>
                <w:b/>
                <w:color w:val="auto"/>
                <w:szCs w:val="21"/>
                <w:lang w:eastAsia="zh-CN"/>
              </w:rPr>
              <w:t>开松、梳棉过程中有组织废气</w:t>
            </w:r>
            <w:r>
              <w:rPr>
                <w:b/>
                <w:color w:val="auto"/>
                <w:szCs w:val="21"/>
              </w:rPr>
              <w:t>产排放情况一览表</w:t>
            </w:r>
          </w:p>
          <w:tbl>
            <w:tblPr>
              <w:tblStyle w:val="31"/>
              <w:tblW w:w="65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3"/>
              <w:gridCol w:w="2179"/>
              <w:gridCol w:w="134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废气类型</w:t>
                  </w: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主要污染物</w:t>
                  </w:r>
                </w:p>
              </w:tc>
              <w:tc>
                <w:tcPr>
                  <w:tcW w:w="1344"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b/>
                      <w:color w:val="auto"/>
                      <w:szCs w:val="21"/>
                      <w:lang w:eastAsia="zh-CN"/>
                    </w:rPr>
                  </w:pPr>
                  <w:r>
                    <w:rPr>
                      <w:rFonts w:hint="eastAsia"/>
                      <w:b/>
                      <w:color w:val="auto"/>
                      <w:szCs w:val="21"/>
                      <w:lang w:eastAsia="zh-CN"/>
                    </w:rPr>
                    <w:t>粉尘</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废气量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restart"/>
                  <w:tcBorders>
                    <w:top w:val="single" w:color="auto" w:sz="4" w:space="0"/>
                    <w:left w:val="single" w:color="auto" w:sz="4" w:space="0"/>
                    <w:right w:val="single" w:color="auto" w:sz="4" w:space="0"/>
                  </w:tcBorders>
                  <w:vAlign w:val="center"/>
                </w:tcPr>
                <w:p>
                  <w:pPr>
                    <w:jc w:val="center"/>
                    <w:rPr>
                      <w:color w:val="auto"/>
                      <w:szCs w:val="21"/>
                    </w:rPr>
                  </w:pPr>
                  <w:r>
                    <w:rPr>
                      <w:rFonts w:hint="eastAsia"/>
                      <w:color w:val="auto"/>
                      <w:szCs w:val="21"/>
                      <w:lang w:eastAsia="zh-CN"/>
                    </w:rPr>
                    <w:t>开松、梳棉过程中</w:t>
                  </w:r>
                  <w:r>
                    <w:rPr>
                      <w:color w:val="auto"/>
                      <w:szCs w:val="21"/>
                    </w:rPr>
                    <w:t>废气</w:t>
                  </w: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产生量（t/a）</w:t>
                  </w:r>
                </w:p>
              </w:tc>
              <w:tc>
                <w:tcPr>
                  <w:tcW w:w="1344"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auto"/>
                      <w:szCs w:val="21"/>
                      <w:lang w:val="en-US" w:eastAsia="zh-CN"/>
                    </w:rPr>
                  </w:pPr>
                  <w:r>
                    <w:rPr>
                      <w:rFonts w:hint="eastAsia"/>
                      <w:color w:val="auto"/>
                      <w:szCs w:val="21"/>
                      <w:lang w:val="en-US" w:eastAsia="zh-CN"/>
                    </w:rPr>
                    <w:t>2</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val="en-US" w:eastAsia="zh-CN"/>
                    </w:rPr>
                    <w:t>2400</w:t>
                  </w:r>
                  <w:r>
                    <w:rPr>
                      <w:color w:val="auto"/>
                      <w:szCs w:val="21"/>
                    </w:rPr>
                    <w:t>万m</w:t>
                  </w:r>
                  <w:r>
                    <w:rPr>
                      <w:color w:val="auto"/>
                      <w:szCs w:val="21"/>
                      <w:vertAlign w:val="superscript"/>
                    </w:rPr>
                    <w:t>3</w:t>
                  </w:r>
                  <w:r>
                    <w:rPr>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left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产生浓度(mg/Nm</w:t>
                  </w:r>
                  <w:r>
                    <w:rPr>
                      <w:color w:val="auto"/>
                      <w:szCs w:val="21"/>
                      <w:vertAlign w:val="superscript"/>
                    </w:rPr>
                    <w:t>3</w:t>
                  </w:r>
                  <w:r>
                    <w:rPr>
                      <w:color w:val="auto"/>
                      <w:szCs w:val="21"/>
                    </w:rPr>
                    <w:t>)</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rFonts w:hint="eastAsia" w:eastAsia="宋体"/>
                      <w:color w:val="auto"/>
                      <w:szCs w:val="21"/>
                      <w:lang w:val="en-US" w:eastAsia="zh-CN"/>
                    </w:rPr>
                  </w:pPr>
                  <w:r>
                    <w:rPr>
                      <w:rFonts w:hint="eastAsia"/>
                      <w:color w:val="auto"/>
                      <w:szCs w:val="21"/>
                      <w:lang w:val="en-US" w:eastAsia="zh-CN"/>
                    </w:rPr>
                    <w:t>83.3</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603" w:type="dxa"/>
                  <w:vMerge w:val="continue"/>
                  <w:tcBorders>
                    <w:left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eastAsia="zh-CN"/>
                    </w:rPr>
                    <w:t>有组织</w:t>
                  </w:r>
                  <w:r>
                    <w:rPr>
                      <w:color w:val="auto"/>
                      <w:szCs w:val="21"/>
                    </w:rPr>
                    <w:t>排放量（t/a）</w:t>
                  </w:r>
                </w:p>
              </w:tc>
              <w:tc>
                <w:tcPr>
                  <w:tcW w:w="1344"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auto"/>
                      <w:szCs w:val="21"/>
                      <w:lang w:val="en-US" w:eastAsia="zh-CN"/>
                    </w:rPr>
                  </w:pPr>
                  <w:r>
                    <w:rPr>
                      <w:rFonts w:hint="eastAsia"/>
                      <w:color w:val="auto"/>
                      <w:szCs w:val="21"/>
                      <w:lang w:val="en-US" w:eastAsia="zh-CN"/>
                    </w:rPr>
                    <w:t>0.18</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val="en-US" w:eastAsia="zh-CN"/>
                    </w:rPr>
                    <w:t>2400</w:t>
                  </w:r>
                  <w:r>
                    <w:rPr>
                      <w:color w:val="auto"/>
                      <w:szCs w:val="21"/>
                    </w:rPr>
                    <w:t>万m</w:t>
                  </w:r>
                  <w:r>
                    <w:rPr>
                      <w:color w:val="auto"/>
                      <w:szCs w:val="21"/>
                      <w:vertAlign w:val="superscript"/>
                    </w:rPr>
                    <w:t>3</w:t>
                  </w:r>
                  <w:r>
                    <w:rPr>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left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排放浓度(mg/Nm</w:t>
                  </w:r>
                  <w:r>
                    <w:rPr>
                      <w:color w:val="auto"/>
                      <w:szCs w:val="21"/>
                      <w:vertAlign w:val="superscript"/>
                    </w:rPr>
                    <w:t>3</w:t>
                  </w:r>
                  <w:r>
                    <w:rPr>
                      <w:color w:val="auto"/>
                      <w:szCs w:val="21"/>
                    </w:rPr>
                    <w:t>)</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rFonts w:hint="eastAsia" w:eastAsia="宋体"/>
                      <w:color w:val="auto"/>
                      <w:szCs w:val="21"/>
                      <w:lang w:val="en-US" w:eastAsia="zh-CN"/>
                    </w:rPr>
                  </w:pPr>
                  <w:r>
                    <w:rPr>
                      <w:rFonts w:hint="eastAsia"/>
                      <w:color w:val="auto"/>
                      <w:szCs w:val="21"/>
                      <w:lang w:val="en-US" w:eastAsia="zh-CN"/>
                    </w:rPr>
                    <w:t>7.5</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left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排放标准 (mg/Nm</w:t>
                  </w:r>
                  <w:r>
                    <w:rPr>
                      <w:color w:val="auto"/>
                      <w:szCs w:val="21"/>
                      <w:vertAlign w:val="superscript"/>
                    </w:rPr>
                    <w:t>3</w:t>
                  </w:r>
                  <w:r>
                    <w:rPr>
                      <w:color w:val="auto"/>
                      <w:szCs w:val="21"/>
                    </w:rPr>
                    <w:t>)</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rFonts w:hint="eastAsia"/>
                      <w:color w:val="auto"/>
                      <w:szCs w:val="21"/>
                      <w:lang w:val="en-US" w:eastAsia="zh-CN"/>
                    </w:rPr>
                    <w:t>1</w:t>
                  </w:r>
                  <w:r>
                    <w:rPr>
                      <w:color w:val="auto"/>
                      <w:szCs w:val="21"/>
                    </w:rPr>
                    <w:t>20</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603" w:type="dxa"/>
                  <w:vMerge w:val="continue"/>
                  <w:tcBorders>
                    <w:left w:val="single" w:color="auto" w:sz="4" w:space="0"/>
                    <w:bottom w:val="single" w:color="auto" w:sz="4" w:space="0"/>
                    <w:right w:val="single" w:color="auto" w:sz="4" w:space="0"/>
                  </w:tcBorders>
                  <w:vAlign w:val="center"/>
                </w:tcPr>
                <w:p>
                  <w:pPr>
                    <w:widowControl/>
                    <w:jc w:val="left"/>
                    <w:rPr>
                      <w:color w:val="auto"/>
                      <w:szCs w:val="21"/>
                    </w:rPr>
                  </w:pPr>
                </w:p>
              </w:tc>
              <w:tc>
                <w:tcPr>
                  <w:tcW w:w="2179"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lang w:eastAsia="zh-CN"/>
                    </w:rPr>
                    <w:t>无组织</w:t>
                  </w:r>
                  <w:r>
                    <w:rPr>
                      <w:color w:val="auto"/>
                      <w:szCs w:val="21"/>
                    </w:rPr>
                    <w:t>排放量（t/a）</w:t>
                  </w:r>
                </w:p>
              </w:tc>
              <w:tc>
                <w:tcPr>
                  <w:tcW w:w="1344"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rFonts w:hint="default"/>
                      <w:color w:val="auto"/>
                      <w:szCs w:val="21"/>
                      <w:lang w:val="en-US" w:eastAsia="zh-CN"/>
                    </w:rPr>
                  </w:pPr>
                  <w:r>
                    <w:rPr>
                      <w:rFonts w:hint="eastAsia"/>
                      <w:color w:val="auto"/>
                      <w:szCs w:val="21"/>
                      <w:lang w:val="en-US" w:eastAsia="zh-CN"/>
                    </w:rPr>
                    <w:t>0.2</w:t>
                  </w:r>
                </w:p>
              </w:tc>
              <w:tc>
                <w:tcPr>
                  <w:tcW w:w="1418" w:type="dxa"/>
                  <w:tcBorders>
                    <w:top w:val="single" w:color="auto" w:sz="4" w:space="0"/>
                    <w:left w:val="single" w:color="auto" w:sz="4" w:space="0"/>
                    <w:bottom w:val="single" w:color="auto" w:sz="4" w:space="0"/>
                    <w:right w:val="single" w:color="auto" w:sz="4" w:space="0"/>
                  </w:tcBorders>
                  <w:vAlign w:val="center"/>
                </w:tcPr>
                <w:p>
                  <w:pPr>
                    <w:ind w:right="42" w:rightChars="20"/>
                    <w:jc w:val="center"/>
                    <w:rPr>
                      <w:rFonts w:hint="default" w:eastAsia="宋体"/>
                      <w:color w:val="auto"/>
                      <w:szCs w:val="21"/>
                      <w:lang w:val="en-US" w:eastAsia="zh-CN"/>
                    </w:rPr>
                  </w:pPr>
                  <w:r>
                    <w:rPr>
                      <w:rFonts w:hint="eastAsia"/>
                      <w:color w:val="auto"/>
                      <w:szCs w:val="21"/>
                      <w:lang w:val="en-US" w:eastAsia="zh-CN"/>
                    </w:rPr>
                    <w:t>--</w:t>
                  </w:r>
                </w:p>
              </w:tc>
            </w:tr>
          </w:tbl>
          <w:p>
            <w:pPr>
              <w:widowControl/>
              <w:spacing w:line="360" w:lineRule="auto"/>
              <w:ind w:firstLine="480" w:firstLineChars="200"/>
              <w:rPr>
                <w:color w:val="auto"/>
                <w:sz w:val="24"/>
              </w:rPr>
            </w:pPr>
            <w:r>
              <w:rPr>
                <w:rFonts w:hint="eastAsia"/>
                <w:color w:val="auto"/>
                <w:sz w:val="24"/>
                <w:lang w:eastAsia="zh-CN"/>
              </w:rPr>
              <w:t>根据</w:t>
            </w:r>
            <w:r>
              <w:rPr>
                <w:color w:val="auto"/>
                <w:sz w:val="24"/>
              </w:rPr>
              <w:t>项目生产工艺中污染物产生情况，确定本次大气评价因子为</w:t>
            </w:r>
            <w:r>
              <w:rPr>
                <w:rFonts w:hint="eastAsia"/>
                <w:color w:val="auto"/>
                <w:sz w:val="24"/>
                <w:lang w:val="en-US" w:eastAsia="zh-CN"/>
              </w:rPr>
              <w:t>TSP</w:t>
            </w:r>
            <w:r>
              <w:rPr>
                <w:color w:val="auto"/>
                <w:sz w:val="24"/>
              </w:rPr>
              <w:t>，面源为生产厂区。</w:t>
            </w:r>
          </w:p>
          <w:p>
            <w:pPr>
              <w:widowControl/>
              <w:spacing w:line="360" w:lineRule="auto"/>
              <w:ind w:firstLine="482" w:firstLineChars="200"/>
              <w:rPr>
                <w:b/>
                <w:color w:val="auto"/>
                <w:sz w:val="24"/>
              </w:rPr>
            </w:pPr>
            <w:r>
              <w:rPr>
                <w:b/>
                <w:color w:val="auto"/>
                <w:sz w:val="24"/>
              </w:rPr>
              <w:t>项目粉尘初步预测：</w:t>
            </w:r>
          </w:p>
          <w:p>
            <w:pPr>
              <w:spacing w:line="360" w:lineRule="auto"/>
              <w:ind w:firstLine="480" w:firstLineChars="200"/>
              <w:rPr>
                <w:color w:val="auto"/>
                <w:sz w:val="24"/>
              </w:rPr>
            </w:pPr>
            <w:r>
              <w:rPr>
                <w:color w:val="auto"/>
                <w:sz w:val="24"/>
              </w:rPr>
              <w:t>本次大气初步预测采用《环境影响评价技术导则—大气环境》（HJ2.2-2018）所推荐的估算模式ARESCREEN进行估算，预测正常工况下污染物最大落地浓度和出现距离。</w:t>
            </w:r>
          </w:p>
          <w:p>
            <w:pPr>
              <w:spacing w:line="360" w:lineRule="auto"/>
              <w:ind w:firstLine="422" w:firstLineChars="200"/>
              <w:jc w:val="center"/>
              <w:rPr>
                <w:rFonts w:ascii="Times New Roman" w:hAnsi="Times New Roman" w:eastAsia="宋体" w:cs="Times New Roman"/>
                <w:b/>
                <w:color w:val="auto"/>
                <w:kern w:val="0"/>
                <w:sz w:val="21"/>
                <w:szCs w:val="21"/>
                <w:lang w:val="en-US" w:eastAsia="zh-CN" w:bidi="ar-SA"/>
              </w:rPr>
            </w:pPr>
            <w:r>
              <w:rPr>
                <w:rFonts w:ascii="Times New Roman" w:hAnsi="Times New Roman" w:eastAsia="宋体" w:cs="Times New Roman"/>
                <w:b/>
                <w:color w:val="auto"/>
                <w:kern w:val="0"/>
                <w:sz w:val="21"/>
                <w:szCs w:val="21"/>
                <w:lang w:val="en-US" w:eastAsia="zh-CN" w:bidi="ar-SA"/>
              </w:rPr>
              <w:t>表</w:t>
            </w:r>
            <w:r>
              <w:rPr>
                <w:rFonts w:hint="eastAsia" w:ascii="Times New Roman" w:hAnsi="Times New Roman" w:eastAsia="宋体" w:cs="Times New Roman"/>
                <w:b/>
                <w:color w:val="auto"/>
                <w:kern w:val="0"/>
                <w:sz w:val="21"/>
                <w:szCs w:val="21"/>
                <w:lang w:val="en-US" w:eastAsia="zh-CN" w:bidi="ar-SA"/>
              </w:rPr>
              <w:t>7-2</w:t>
            </w:r>
            <w:r>
              <w:rPr>
                <w:rFonts w:ascii="Times New Roman" w:hAnsi="Times New Roman" w:eastAsia="宋体" w:cs="Times New Roman"/>
                <w:b/>
                <w:color w:val="auto"/>
                <w:kern w:val="0"/>
                <w:sz w:val="21"/>
                <w:szCs w:val="21"/>
                <w:lang w:val="en-US" w:eastAsia="zh-CN" w:bidi="ar-SA"/>
              </w:rPr>
              <w:t xml:space="preserve"> 主要废气污染源参数一览表(点源)</w:t>
            </w:r>
          </w:p>
          <w:tbl>
            <w:tblPr>
              <w:tblStyle w:val="32"/>
              <w:tblW w:w="92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4"/>
              <w:gridCol w:w="606"/>
              <w:gridCol w:w="631"/>
              <w:gridCol w:w="705"/>
              <w:gridCol w:w="744"/>
              <w:gridCol w:w="854"/>
              <w:gridCol w:w="1060"/>
              <w:gridCol w:w="930"/>
              <w:gridCol w:w="1029"/>
              <w:gridCol w:w="887"/>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874"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污染源名称</w:t>
                  </w:r>
                </w:p>
              </w:tc>
              <w:tc>
                <w:tcPr>
                  <w:tcW w:w="1237" w:type="dxa"/>
                  <w:gridSpan w:val="2"/>
                  <w:vAlign w:val="center"/>
                </w:tcPr>
                <w:p>
                  <w:pPr>
                    <w:jc w:val="center"/>
                    <w:rPr>
                      <w:rFonts w:hint="eastAsia"/>
                      <w:b/>
                      <w:bCs/>
                      <w:color w:val="auto"/>
                      <w:szCs w:val="21"/>
                      <w:lang w:val="en-US" w:eastAsia="zh-CN"/>
                    </w:rPr>
                  </w:pPr>
                  <w:r>
                    <w:rPr>
                      <w:rFonts w:hint="eastAsia"/>
                      <w:b/>
                      <w:bCs/>
                      <w:color w:val="auto"/>
                      <w:szCs w:val="21"/>
                      <w:lang w:val="en-US" w:eastAsia="zh-CN"/>
                    </w:rPr>
                    <w:t>排气筒底部中心坐标(o)</w:t>
                  </w:r>
                </w:p>
              </w:tc>
              <w:tc>
                <w:tcPr>
                  <w:tcW w:w="705"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排气筒底部海拔高度(m)</w:t>
                  </w:r>
                </w:p>
              </w:tc>
              <w:tc>
                <w:tcPr>
                  <w:tcW w:w="3588" w:type="dxa"/>
                  <w:gridSpan w:val="4"/>
                  <w:vAlign w:val="center"/>
                </w:tcPr>
                <w:p>
                  <w:pPr>
                    <w:jc w:val="center"/>
                    <w:rPr>
                      <w:rFonts w:hint="eastAsia"/>
                      <w:b/>
                      <w:bCs/>
                      <w:color w:val="auto"/>
                      <w:szCs w:val="21"/>
                      <w:lang w:val="en-US" w:eastAsia="zh-CN"/>
                    </w:rPr>
                  </w:pPr>
                  <w:r>
                    <w:rPr>
                      <w:rFonts w:hint="eastAsia"/>
                      <w:b/>
                      <w:bCs/>
                      <w:color w:val="auto"/>
                      <w:szCs w:val="21"/>
                      <w:lang w:val="en-US" w:eastAsia="zh-CN"/>
                    </w:rPr>
                    <w:t>排气筒参数</w:t>
                  </w:r>
                </w:p>
              </w:tc>
              <w:tc>
                <w:tcPr>
                  <w:tcW w:w="1029"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污染物名称</w:t>
                  </w:r>
                </w:p>
              </w:tc>
              <w:tc>
                <w:tcPr>
                  <w:tcW w:w="887"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排放速率</w:t>
                  </w:r>
                </w:p>
              </w:tc>
              <w:tc>
                <w:tcPr>
                  <w:tcW w:w="883"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874" w:type="dxa"/>
                  <w:vMerge w:val="continue"/>
                  <w:vAlign w:val="center"/>
                </w:tcPr>
                <w:p>
                  <w:pPr>
                    <w:jc w:val="center"/>
                    <w:rPr>
                      <w:rFonts w:hint="eastAsia"/>
                      <w:color w:val="auto"/>
                      <w:szCs w:val="21"/>
                      <w:lang w:val="en-US" w:eastAsia="zh-CN"/>
                    </w:rPr>
                  </w:pPr>
                </w:p>
              </w:tc>
              <w:tc>
                <w:tcPr>
                  <w:tcW w:w="606" w:type="dxa"/>
                  <w:vAlign w:val="center"/>
                </w:tcPr>
                <w:p>
                  <w:pPr>
                    <w:jc w:val="center"/>
                    <w:rPr>
                      <w:rFonts w:hint="eastAsia"/>
                      <w:b/>
                      <w:bCs/>
                      <w:color w:val="auto"/>
                      <w:szCs w:val="21"/>
                      <w:lang w:val="en-US" w:eastAsia="zh-CN"/>
                    </w:rPr>
                  </w:pPr>
                  <w:r>
                    <w:rPr>
                      <w:rFonts w:hint="eastAsia"/>
                      <w:b/>
                      <w:bCs/>
                      <w:color w:val="auto"/>
                      <w:szCs w:val="21"/>
                      <w:lang w:val="en-US" w:eastAsia="zh-CN"/>
                    </w:rPr>
                    <w:t>经度</w:t>
                  </w:r>
                </w:p>
              </w:tc>
              <w:tc>
                <w:tcPr>
                  <w:tcW w:w="631" w:type="dxa"/>
                  <w:vAlign w:val="center"/>
                </w:tcPr>
                <w:p>
                  <w:pPr>
                    <w:jc w:val="center"/>
                    <w:rPr>
                      <w:rFonts w:hint="eastAsia"/>
                      <w:b/>
                      <w:bCs/>
                      <w:color w:val="auto"/>
                      <w:szCs w:val="21"/>
                      <w:lang w:val="en-US" w:eastAsia="zh-CN"/>
                    </w:rPr>
                  </w:pPr>
                  <w:r>
                    <w:rPr>
                      <w:rFonts w:hint="eastAsia"/>
                      <w:b/>
                      <w:bCs/>
                      <w:color w:val="auto"/>
                      <w:szCs w:val="21"/>
                      <w:lang w:val="en-US" w:eastAsia="zh-CN"/>
                    </w:rPr>
                    <w:t>纬度</w:t>
                  </w:r>
                </w:p>
              </w:tc>
              <w:tc>
                <w:tcPr>
                  <w:tcW w:w="705" w:type="dxa"/>
                  <w:vMerge w:val="continue"/>
                  <w:vAlign w:val="center"/>
                </w:tcPr>
                <w:p>
                  <w:pPr>
                    <w:jc w:val="center"/>
                    <w:rPr>
                      <w:rFonts w:hint="eastAsia"/>
                      <w:b/>
                      <w:bCs/>
                      <w:color w:val="auto"/>
                      <w:szCs w:val="21"/>
                      <w:lang w:val="en-US" w:eastAsia="zh-CN"/>
                    </w:rPr>
                  </w:pPr>
                </w:p>
              </w:tc>
              <w:tc>
                <w:tcPr>
                  <w:tcW w:w="744" w:type="dxa"/>
                  <w:vAlign w:val="center"/>
                </w:tcPr>
                <w:p>
                  <w:pPr>
                    <w:jc w:val="center"/>
                    <w:rPr>
                      <w:rFonts w:hint="eastAsia"/>
                      <w:b/>
                      <w:bCs/>
                      <w:color w:val="auto"/>
                      <w:szCs w:val="21"/>
                      <w:lang w:val="en-US" w:eastAsia="zh-CN"/>
                    </w:rPr>
                  </w:pPr>
                  <w:r>
                    <w:rPr>
                      <w:rFonts w:hint="eastAsia"/>
                      <w:b/>
                      <w:bCs/>
                      <w:color w:val="auto"/>
                      <w:szCs w:val="21"/>
                      <w:lang w:val="en-US" w:eastAsia="zh-CN"/>
                    </w:rPr>
                    <w:t>高度</w:t>
                  </w:r>
                </w:p>
                <w:p>
                  <w:pPr>
                    <w:jc w:val="center"/>
                    <w:rPr>
                      <w:rFonts w:hint="eastAsia"/>
                      <w:b/>
                      <w:bCs/>
                      <w:color w:val="auto"/>
                      <w:szCs w:val="21"/>
                      <w:lang w:val="en-US" w:eastAsia="zh-CN"/>
                    </w:rPr>
                  </w:pPr>
                  <w:r>
                    <w:rPr>
                      <w:rFonts w:hint="eastAsia"/>
                      <w:b/>
                      <w:bCs/>
                      <w:color w:val="auto"/>
                      <w:szCs w:val="21"/>
                      <w:lang w:val="en-US" w:eastAsia="zh-CN"/>
                    </w:rPr>
                    <w:t>(m)</w:t>
                  </w:r>
                </w:p>
              </w:tc>
              <w:tc>
                <w:tcPr>
                  <w:tcW w:w="854" w:type="dxa"/>
                  <w:vAlign w:val="center"/>
                </w:tcPr>
                <w:p>
                  <w:pPr>
                    <w:jc w:val="center"/>
                    <w:rPr>
                      <w:rFonts w:hint="eastAsia"/>
                      <w:b/>
                      <w:bCs/>
                      <w:color w:val="auto"/>
                      <w:szCs w:val="21"/>
                      <w:lang w:val="en-US" w:eastAsia="zh-CN"/>
                    </w:rPr>
                  </w:pPr>
                  <w:r>
                    <w:rPr>
                      <w:rFonts w:hint="eastAsia"/>
                      <w:b/>
                      <w:bCs/>
                      <w:color w:val="auto"/>
                      <w:szCs w:val="21"/>
                      <w:lang w:val="en-US" w:eastAsia="zh-CN"/>
                    </w:rPr>
                    <w:t>内径</w:t>
                  </w:r>
                </w:p>
                <w:p>
                  <w:pPr>
                    <w:jc w:val="center"/>
                    <w:rPr>
                      <w:rFonts w:hint="eastAsia"/>
                      <w:b/>
                      <w:bCs/>
                      <w:color w:val="auto"/>
                      <w:szCs w:val="21"/>
                      <w:lang w:val="en-US" w:eastAsia="zh-CN"/>
                    </w:rPr>
                  </w:pPr>
                  <w:r>
                    <w:rPr>
                      <w:rFonts w:hint="eastAsia"/>
                      <w:b/>
                      <w:bCs/>
                      <w:color w:val="auto"/>
                      <w:szCs w:val="21"/>
                      <w:lang w:val="en-US" w:eastAsia="zh-CN"/>
                    </w:rPr>
                    <w:t>(m)</w:t>
                  </w:r>
                </w:p>
              </w:tc>
              <w:tc>
                <w:tcPr>
                  <w:tcW w:w="1060" w:type="dxa"/>
                  <w:vAlign w:val="center"/>
                </w:tcPr>
                <w:p>
                  <w:pPr>
                    <w:jc w:val="center"/>
                    <w:rPr>
                      <w:rFonts w:hint="eastAsia"/>
                      <w:b/>
                      <w:bCs/>
                      <w:color w:val="auto"/>
                      <w:szCs w:val="21"/>
                      <w:lang w:val="en-US" w:eastAsia="zh-CN"/>
                    </w:rPr>
                  </w:pPr>
                  <w:r>
                    <w:rPr>
                      <w:rFonts w:hint="eastAsia"/>
                      <w:b/>
                      <w:bCs/>
                      <w:color w:val="auto"/>
                      <w:szCs w:val="21"/>
                      <w:lang w:val="en-US" w:eastAsia="zh-CN"/>
                    </w:rPr>
                    <w:t>温度</w:t>
                  </w:r>
                </w:p>
                <w:p>
                  <w:pPr>
                    <w:jc w:val="center"/>
                    <w:rPr>
                      <w:rFonts w:hint="eastAsia"/>
                      <w:b/>
                      <w:bCs/>
                      <w:color w:val="auto"/>
                      <w:szCs w:val="21"/>
                      <w:lang w:val="en-US" w:eastAsia="zh-CN"/>
                    </w:rPr>
                  </w:pPr>
                  <w:r>
                    <w:rPr>
                      <w:rFonts w:hint="eastAsia"/>
                      <w:b/>
                      <w:bCs/>
                      <w:color w:val="auto"/>
                      <w:szCs w:val="21"/>
                      <w:lang w:val="en-US" w:eastAsia="zh-CN"/>
                    </w:rPr>
                    <w:t>(℃)</w:t>
                  </w:r>
                </w:p>
              </w:tc>
              <w:tc>
                <w:tcPr>
                  <w:tcW w:w="930" w:type="dxa"/>
                  <w:vAlign w:val="center"/>
                </w:tcPr>
                <w:p>
                  <w:pPr>
                    <w:jc w:val="center"/>
                    <w:rPr>
                      <w:rFonts w:hint="eastAsia"/>
                      <w:b/>
                      <w:bCs/>
                      <w:color w:val="auto"/>
                      <w:szCs w:val="21"/>
                      <w:lang w:val="en-US" w:eastAsia="zh-CN"/>
                    </w:rPr>
                  </w:pPr>
                  <w:r>
                    <w:rPr>
                      <w:rFonts w:hint="eastAsia"/>
                      <w:b/>
                      <w:bCs/>
                      <w:color w:val="auto"/>
                      <w:szCs w:val="21"/>
                      <w:lang w:val="en-US" w:eastAsia="zh-CN"/>
                    </w:rPr>
                    <w:t>流速</w:t>
                  </w:r>
                </w:p>
                <w:p>
                  <w:pPr>
                    <w:jc w:val="center"/>
                    <w:rPr>
                      <w:rFonts w:hint="eastAsia"/>
                      <w:b/>
                      <w:bCs/>
                      <w:color w:val="auto"/>
                      <w:szCs w:val="21"/>
                      <w:lang w:val="en-US" w:eastAsia="zh-CN"/>
                    </w:rPr>
                  </w:pPr>
                  <w:r>
                    <w:rPr>
                      <w:rFonts w:hint="eastAsia"/>
                      <w:b/>
                      <w:bCs/>
                      <w:color w:val="auto"/>
                      <w:szCs w:val="21"/>
                      <w:lang w:val="en-US" w:eastAsia="zh-CN"/>
                    </w:rPr>
                    <w:t>(m/s)</w:t>
                  </w:r>
                </w:p>
              </w:tc>
              <w:tc>
                <w:tcPr>
                  <w:tcW w:w="1029" w:type="dxa"/>
                  <w:vMerge w:val="continue"/>
                  <w:vAlign w:val="center"/>
                </w:tcPr>
                <w:p>
                  <w:pPr>
                    <w:jc w:val="center"/>
                    <w:rPr>
                      <w:rFonts w:hint="eastAsia"/>
                      <w:color w:val="auto"/>
                      <w:szCs w:val="21"/>
                      <w:lang w:val="en-US" w:eastAsia="zh-CN"/>
                    </w:rPr>
                  </w:pPr>
                </w:p>
              </w:tc>
              <w:tc>
                <w:tcPr>
                  <w:tcW w:w="887" w:type="dxa"/>
                  <w:vMerge w:val="continue"/>
                  <w:vAlign w:val="center"/>
                </w:tcPr>
                <w:p>
                  <w:pPr>
                    <w:jc w:val="center"/>
                    <w:rPr>
                      <w:rFonts w:hint="eastAsia"/>
                      <w:color w:val="auto"/>
                      <w:szCs w:val="21"/>
                      <w:lang w:val="en-US" w:eastAsia="zh-CN"/>
                    </w:rPr>
                  </w:pPr>
                </w:p>
              </w:tc>
              <w:tc>
                <w:tcPr>
                  <w:tcW w:w="883" w:type="dxa"/>
                  <w:vMerge w:val="continue"/>
                  <w:vAlign w:val="center"/>
                </w:tcPr>
                <w:p>
                  <w:pPr>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00" w:hRule="atLeast"/>
                <w:jc w:val="center"/>
              </w:trPr>
              <w:tc>
                <w:tcPr>
                  <w:tcW w:w="874" w:type="dxa"/>
                  <w:vAlign w:val="center"/>
                </w:tcPr>
                <w:p>
                  <w:pPr>
                    <w:jc w:val="center"/>
                    <w:rPr>
                      <w:rFonts w:hint="eastAsia"/>
                      <w:color w:val="auto"/>
                      <w:szCs w:val="21"/>
                      <w:lang w:val="en-US" w:eastAsia="zh-CN"/>
                    </w:rPr>
                  </w:pPr>
                  <w:r>
                    <w:rPr>
                      <w:rFonts w:hint="eastAsia"/>
                      <w:color w:val="auto"/>
                      <w:szCs w:val="21"/>
                      <w:lang w:val="en-US" w:eastAsia="zh-CN"/>
                    </w:rPr>
                    <w:t>点源</w:t>
                  </w:r>
                </w:p>
              </w:tc>
              <w:tc>
                <w:tcPr>
                  <w:tcW w:w="606" w:type="dxa"/>
                  <w:vAlign w:val="center"/>
                </w:tcPr>
                <w:p>
                  <w:pPr>
                    <w:jc w:val="center"/>
                    <w:rPr>
                      <w:rFonts w:hint="eastAsia"/>
                      <w:color w:val="auto"/>
                      <w:szCs w:val="21"/>
                      <w:lang w:val="en-US" w:eastAsia="zh-CN"/>
                    </w:rPr>
                  </w:pPr>
                  <w:r>
                    <w:rPr>
                      <w:rFonts w:hint="eastAsia"/>
                      <w:color w:val="auto"/>
                      <w:szCs w:val="21"/>
                      <w:lang w:val="en-US" w:eastAsia="zh-CN"/>
                    </w:rPr>
                    <w:t>116.082694</w:t>
                  </w:r>
                </w:p>
              </w:tc>
              <w:tc>
                <w:tcPr>
                  <w:tcW w:w="631" w:type="dxa"/>
                  <w:vAlign w:val="center"/>
                </w:tcPr>
                <w:p>
                  <w:pPr>
                    <w:jc w:val="center"/>
                    <w:rPr>
                      <w:rFonts w:hint="eastAsia"/>
                      <w:color w:val="auto"/>
                      <w:szCs w:val="21"/>
                      <w:lang w:val="en-US" w:eastAsia="zh-CN"/>
                    </w:rPr>
                  </w:pPr>
                  <w:r>
                    <w:rPr>
                      <w:rFonts w:hint="eastAsia"/>
                      <w:color w:val="auto"/>
                      <w:szCs w:val="21"/>
                      <w:lang w:val="en-US" w:eastAsia="zh-CN"/>
                    </w:rPr>
                    <w:t>23.356658</w:t>
                  </w:r>
                </w:p>
              </w:tc>
              <w:tc>
                <w:tcPr>
                  <w:tcW w:w="705" w:type="dxa"/>
                  <w:vAlign w:val="center"/>
                </w:tcPr>
                <w:p>
                  <w:pPr>
                    <w:jc w:val="center"/>
                    <w:rPr>
                      <w:rFonts w:hint="eastAsia"/>
                      <w:color w:val="auto"/>
                      <w:szCs w:val="21"/>
                      <w:lang w:val="en-US" w:eastAsia="zh-CN"/>
                    </w:rPr>
                  </w:pPr>
                  <w:r>
                    <w:rPr>
                      <w:rFonts w:hint="eastAsia"/>
                      <w:color w:val="auto"/>
                      <w:szCs w:val="21"/>
                      <w:lang w:val="en-US" w:eastAsia="zh-CN"/>
                    </w:rPr>
                    <w:t>18.0</w:t>
                  </w:r>
                </w:p>
              </w:tc>
              <w:tc>
                <w:tcPr>
                  <w:tcW w:w="744" w:type="dxa"/>
                  <w:vAlign w:val="center"/>
                </w:tcPr>
                <w:p>
                  <w:pPr>
                    <w:jc w:val="center"/>
                    <w:rPr>
                      <w:rFonts w:hint="eastAsia"/>
                      <w:color w:val="auto"/>
                      <w:szCs w:val="21"/>
                      <w:lang w:val="en-US" w:eastAsia="zh-CN"/>
                    </w:rPr>
                  </w:pPr>
                  <w:r>
                    <w:rPr>
                      <w:rFonts w:hint="eastAsia"/>
                      <w:color w:val="auto"/>
                      <w:szCs w:val="21"/>
                      <w:lang w:val="en-US" w:eastAsia="zh-CN"/>
                    </w:rPr>
                    <w:t>15.0</w:t>
                  </w:r>
                </w:p>
              </w:tc>
              <w:tc>
                <w:tcPr>
                  <w:tcW w:w="854" w:type="dxa"/>
                  <w:vAlign w:val="center"/>
                </w:tcPr>
                <w:p>
                  <w:pPr>
                    <w:jc w:val="center"/>
                    <w:rPr>
                      <w:rFonts w:hint="eastAsia"/>
                      <w:color w:val="auto"/>
                      <w:szCs w:val="21"/>
                      <w:lang w:val="en-US" w:eastAsia="zh-CN"/>
                    </w:rPr>
                  </w:pPr>
                  <w:r>
                    <w:rPr>
                      <w:rFonts w:hint="eastAsia"/>
                      <w:color w:val="auto"/>
                      <w:szCs w:val="21"/>
                      <w:lang w:val="en-US" w:eastAsia="zh-CN"/>
                    </w:rPr>
                    <w:t>0.5</w:t>
                  </w:r>
                </w:p>
              </w:tc>
              <w:tc>
                <w:tcPr>
                  <w:tcW w:w="1060" w:type="dxa"/>
                  <w:vAlign w:val="center"/>
                </w:tcPr>
                <w:p>
                  <w:pPr>
                    <w:jc w:val="center"/>
                    <w:rPr>
                      <w:rFonts w:hint="eastAsia"/>
                      <w:color w:val="auto"/>
                      <w:szCs w:val="21"/>
                      <w:lang w:val="en-US" w:eastAsia="zh-CN"/>
                    </w:rPr>
                  </w:pPr>
                  <w:r>
                    <w:rPr>
                      <w:rFonts w:hint="eastAsia"/>
                      <w:color w:val="auto"/>
                      <w:szCs w:val="21"/>
                      <w:lang w:val="en-US" w:eastAsia="zh-CN"/>
                    </w:rPr>
                    <w:t>25.0</w:t>
                  </w:r>
                </w:p>
              </w:tc>
              <w:tc>
                <w:tcPr>
                  <w:tcW w:w="930" w:type="dxa"/>
                  <w:vAlign w:val="center"/>
                </w:tcPr>
                <w:p>
                  <w:pPr>
                    <w:jc w:val="center"/>
                    <w:rPr>
                      <w:rFonts w:hint="eastAsia"/>
                      <w:color w:val="auto"/>
                      <w:szCs w:val="21"/>
                      <w:lang w:val="en-US" w:eastAsia="zh-CN"/>
                    </w:rPr>
                  </w:pPr>
                  <w:r>
                    <w:rPr>
                      <w:rFonts w:hint="eastAsia"/>
                      <w:color w:val="auto"/>
                      <w:szCs w:val="21"/>
                      <w:lang w:val="en-US" w:eastAsia="zh-CN"/>
                    </w:rPr>
                    <w:t>11.0</w:t>
                  </w:r>
                </w:p>
              </w:tc>
              <w:tc>
                <w:tcPr>
                  <w:tcW w:w="1029" w:type="dxa"/>
                  <w:vAlign w:val="center"/>
                </w:tcPr>
                <w:p>
                  <w:pPr>
                    <w:jc w:val="center"/>
                    <w:rPr>
                      <w:rFonts w:hint="eastAsia"/>
                      <w:color w:val="auto"/>
                      <w:szCs w:val="21"/>
                      <w:lang w:val="en-US" w:eastAsia="zh-CN"/>
                    </w:rPr>
                  </w:pPr>
                  <w:r>
                    <w:rPr>
                      <w:rFonts w:hint="eastAsia"/>
                      <w:color w:val="auto"/>
                      <w:szCs w:val="21"/>
                      <w:lang w:val="en-US" w:eastAsia="zh-CN"/>
                    </w:rPr>
                    <w:t xml:space="preserve">TSP  </w:t>
                  </w:r>
                </w:p>
              </w:tc>
              <w:tc>
                <w:tcPr>
                  <w:tcW w:w="887" w:type="dxa"/>
                  <w:vAlign w:val="center"/>
                </w:tcPr>
                <w:p>
                  <w:pPr>
                    <w:jc w:val="center"/>
                    <w:rPr>
                      <w:rFonts w:hint="eastAsia"/>
                      <w:color w:val="auto"/>
                      <w:szCs w:val="21"/>
                      <w:lang w:val="en-US" w:eastAsia="zh-CN"/>
                    </w:rPr>
                  </w:pPr>
                  <w:r>
                    <w:rPr>
                      <w:rFonts w:hint="eastAsia"/>
                      <w:color w:val="auto"/>
                      <w:szCs w:val="21"/>
                      <w:lang w:val="en-US" w:eastAsia="zh-CN"/>
                    </w:rPr>
                    <w:t xml:space="preserve">0.0375  </w:t>
                  </w:r>
                </w:p>
              </w:tc>
              <w:tc>
                <w:tcPr>
                  <w:tcW w:w="883" w:type="dxa"/>
                  <w:vAlign w:val="center"/>
                </w:tcPr>
                <w:p>
                  <w:pPr>
                    <w:jc w:val="center"/>
                    <w:rPr>
                      <w:rFonts w:hint="eastAsia"/>
                      <w:color w:val="auto"/>
                      <w:szCs w:val="21"/>
                      <w:lang w:val="en-US" w:eastAsia="zh-CN"/>
                    </w:rPr>
                  </w:pPr>
                  <w:r>
                    <w:rPr>
                      <w:rFonts w:hint="eastAsia"/>
                      <w:color w:val="auto"/>
                      <w:szCs w:val="21"/>
                      <w:lang w:val="en-US" w:eastAsia="zh-CN"/>
                    </w:rPr>
                    <w:t>kg/h</w:t>
                  </w:r>
                </w:p>
              </w:tc>
            </w:tr>
          </w:tbl>
          <w:p>
            <w:pPr>
              <w:spacing w:line="360" w:lineRule="auto"/>
              <w:ind w:firstLine="422" w:firstLineChars="200"/>
              <w:jc w:val="center"/>
              <w:rPr>
                <w:rFonts w:ascii="Times New Roman" w:hAnsi="Times New Roman" w:eastAsia="宋体" w:cs="Times New Roman"/>
                <w:b/>
                <w:color w:val="auto"/>
                <w:kern w:val="0"/>
                <w:sz w:val="21"/>
                <w:szCs w:val="21"/>
                <w:lang w:val="en-US" w:eastAsia="zh-CN" w:bidi="ar-SA"/>
              </w:rPr>
            </w:pPr>
            <w:r>
              <w:rPr>
                <w:rFonts w:ascii="Times New Roman" w:hAnsi="Times New Roman" w:eastAsia="宋体" w:cs="Times New Roman"/>
                <w:b/>
                <w:color w:val="auto"/>
                <w:kern w:val="0"/>
                <w:sz w:val="21"/>
                <w:szCs w:val="21"/>
                <w:lang w:val="en-US" w:eastAsia="zh-CN" w:bidi="ar-SA"/>
              </w:rPr>
              <w:t>表</w:t>
            </w:r>
            <w:r>
              <w:rPr>
                <w:rFonts w:hint="eastAsia" w:cs="Times New Roman"/>
                <w:b/>
                <w:color w:val="auto"/>
                <w:kern w:val="0"/>
                <w:sz w:val="21"/>
                <w:szCs w:val="21"/>
                <w:lang w:val="en-US" w:eastAsia="zh-CN" w:bidi="ar-SA"/>
              </w:rPr>
              <w:t>7-3</w:t>
            </w:r>
            <w:r>
              <w:rPr>
                <w:rFonts w:ascii="Times New Roman" w:hAnsi="Times New Roman" w:eastAsia="宋体" w:cs="Times New Roman"/>
                <w:b/>
                <w:color w:val="auto"/>
                <w:kern w:val="0"/>
                <w:sz w:val="21"/>
                <w:szCs w:val="21"/>
                <w:lang w:val="en-US" w:eastAsia="zh-CN" w:bidi="ar-SA"/>
              </w:rPr>
              <w:t xml:space="preserve">  主要废气污染源参数一览表(矩形面源)</w:t>
            </w:r>
          </w:p>
          <w:tbl>
            <w:tblPr>
              <w:tblStyle w:val="32"/>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563"/>
              <w:gridCol w:w="630"/>
              <w:gridCol w:w="581"/>
              <w:gridCol w:w="1059"/>
              <w:gridCol w:w="1042"/>
              <w:gridCol w:w="1059"/>
              <w:gridCol w:w="1203"/>
              <w:gridCol w:w="1055"/>
              <w:gridCol w:w="1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9"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污染源名称</w:t>
                  </w:r>
                </w:p>
              </w:tc>
              <w:tc>
                <w:tcPr>
                  <w:tcW w:w="1193" w:type="dxa"/>
                  <w:gridSpan w:val="2"/>
                  <w:vAlign w:val="center"/>
                </w:tcPr>
                <w:p>
                  <w:pPr>
                    <w:jc w:val="center"/>
                    <w:rPr>
                      <w:rFonts w:hint="eastAsia"/>
                      <w:b/>
                      <w:bCs/>
                      <w:color w:val="auto"/>
                      <w:szCs w:val="21"/>
                      <w:lang w:val="en-US" w:eastAsia="zh-CN"/>
                    </w:rPr>
                  </w:pPr>
                  <w:r>
                    <w:rPr>
                      <w:rFonts w:hint="eastAsia"/>
                      <w:b/>
                      <w:bCs/>
                      <w:color w:val="auto"/>
                      <w:szCs w:val="21"/>
                      <w:lang w:val="en-US" w:eastAsia="zh-CN"/>
                    </w:rPr>
                    <w:t>坐标</w:t>
                  </w:r>
                </w:p>
              </w:tc>
              <w:tc>
                <w:tcPr>
                  <w:tcW w:w="581"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海拔高度/m</w:t>
                  </w:r>
                </w:p>
              </w:tc>
              <w:tc>
                <w:tcPr>
                  <w:tcW w:w="3160" w:type="dxa"/>
                  <w:gridSpan w:val="3"/>
                  <w:vAlign w:val="center"/>
                </w:tcPr>
                <w:p>
                  <w:pPr>
                    <w:jc w:val="center"/>
                    <w:rPr>
                      <w:rFonts w:hint="eastAsia"/>
                      <w:b/>
                      <w:bCs/>
                      <w:color w:val="auto"/>
                      <w:szCs w:val="21"/>
                      <w:lang w:val="en-US" w:eastAsia="zh-CN"/>
                    </w:rPr>
                  </w:pPr>
                  <w:r>
                    <w:rPr>
                      <w:rFonts w:hint="eastAsia"/>
                      <w:b/>
                      <w:bCs/>
                      <w:color w:val="auto"/>
                      <w:szCs w:val="21"/>
                      <w:lang w:val="en-US" w:eastAsia="zh-CN"/>
                    </w:rPr>
                    <w:t>矩形面源</w:t>
                  </w:r>
                </w:p>
              </w:tc>
              <w:tc>
                <w:tcPr>
                  <w:tcW w:w="1203"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污染物</w:t>
                  </w:r>
                </w:p>
              </w:tc>
              <w:tc>
                <w:tcPr>
                  <w:tcW w:w="1055"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排放速率</w:t>
                  </w:r>
                </w:p>
              </w:tc>
              <w:tc>
                <w:tcPr>
                  <w:tcW w:w="1055" w:type="dxa"/>
                  <w:vMerge w:val="restart"/>
                  <w:vAlign w:val="center"/>
                </w:tcPr>
                <w:p>
                  <w:pPr>
                    <w:jc w:val="center"/>
                    <w:rPr>
                      <w:rFonts w:hint="eastAsia"/>
                      <w:b/>
                      <w:bCs/>
                      <w:color w:val="auto"/>
                      <w:szCs w:val="21"/>
                      <w:lang w:val="en-US" w:eastAsia="zh-CN"/>
                    </w:rPr>
                  </w:pPr>
                  <w:r>
                    <w:rPr>
                      <w:rFonts w:hint="eastAsia"/>
                      <w:b/>
                      <w:bCs/>
                      <w:color w:val="auto"/>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6" w:hRule="atLeast"/>
                <w:jc w:val="center"/>
              </w:trPr>
              <w:tc>
                <w:tcPr>
                  <w:tcW w:w="1039" w:type="dxa"/>
                  <w:vMerge w:val="continue"/>
                  <w:vAlign w:val="center"/>
                </w:tcPr>
                <w:p>
                  <w:pPr>
                    <w:jc w:val="center"/>
                    <w:rPr>
                      <w:rFonts w:hint="eastAsia"/>
                      <w:color w:val="auto"/>
                      <w:szCs w:val="21"/>
                      <w:lang w:val="en-US" w:eastAsia="zh-CN"/>
                    </w:rPr>
                  </w:pPr>
                </w:p>
              </w:tc>
              <w:tc>
                <w:tcPr>
                  <w:tcW w:w="563" w:type="dxa"/>
                  <w:vAlign w:val="center"/>
                </w:tcPr>
                <w:p>
                  <w:pPr>
                    <w:jc w:val="center"/>
                    <w:rPr>
                      <w:rFonts w:hint="eastAsia"/>
                      <w:b/>
                      <w:bCs/>
                      <w:color w:val="auto"/>
                      <w:szCs w:val="21"/>
                      <w:lang w:val="en-US" w:eastAsia="zh-CN"/>
                    </w:rPr>
                  </w:pPr>
                  <w:r>
                    <w:rPr>
                      <w:rFonts w:hint="eastAsia"/>
                      <w:b/>
                      <w:bCs/>
                      <w:color w:val="auto"/>
                      <w:szCs w:val="21"/>
                      <w:lang w:val="en-US" w:eastAsia="zh-CN"/>
                    </w:rPr>
                    <w:t>X</w:t>
                  </w:r>
                </w:p>
              </w:tc>
              <w:tc>
                <w:tcPr>
                  <w:tcW w:w="630" w:type="dxa"/>
                  <w:vAlign w:val="center"/>
                </w:tcPr>
                <w:p>
                  <w:pPr>
                    <w:jc w:val="center"/>
                    <w:rPr>
                      <w:rFonts w:hint="eastAsia"/>
                      <w:b/>
                      <w:bCs/>
                      <w:color w:val="auto"/>
                      <w:szCs w:val="21"/>
                      <w:lang w:val="en-US" w:eastAsia="zh-CN"/>
                    </w:rPr>
                  </w:pPr>
                  <w:r>
                    <w:rPr>
                      <w:rFonts w:hint="eastAsia"/>
                      <w:b/>
                      <w:bCs/>
                      <w:color w:val="auto"/>
                      <w:szCs w:val="21"/>
                      <w:lang w:val="en-US" w:eastAsia="zh-CN"/>
                    </w:rPr>
                    <w:t>Y</w:t>
                  </w:r>
                </w:p>
              </w:tc>
              <w:tc>
                <w:tcPr>
                  <w:tcW w:w="581" w:type="dxa"/>
                  <w:vMerge w:val="continue"/>
                  <w:vAlign w:val="center"/>
                </w:tcPr>
                <w:p>
                  <w:pPr>
                    <w:jc w:val="center"/>
                    <w:rPr>
                      <w:rFonts w:hint="eastAsia"/>
                      <w:b/>
                      <w:bCs/>
                      <w:color w:val="auto"/>
                      <w:szCs w:val="21"/>
                      <w:lang w:val="en-US" w:eastAsia="zh-CN"/>
                    </w:rPr>
                  </w:pPr>
                </w:p>
              </w:tc>
              <w:tc>
                <w:tcPr>
                  <w:tcW w:w="1059" w:type="dxa"/>
                  <w:vAlign w:val="center"/>
                </w:tcPr>
                <w:p>
                  <w:pPr>
                    <w:jc w:val="center"/>
                    <w:rPr>
                      <w:rFonts w:hint="eastAsia"/>
                      <w:b/>
                      <w:bCs/>
                      <w:color w:val="auto"/>
                      <w:szCs w:val="21"/>
                      <w:lang w:val="en-US" w:eastAsia="zh-CN"/>
                    </w:rPr>
                  </w:pPr>
                  <w:r>
                    <w:rPr>
                      <w:rFonts w:hint="eastAsia"/>
                      <w:b/>
                      <w:bCs/>
                      <w:color w:val="auto"/>
                      <w:szCs w:val="21"/>
                      <w:lang w:val="en-US" w:eastAsia="zh-CN"/>
                    </w:rPr>
                    <w:t>长度</w:t>
                  </w:r>
                </w:p>
              </w:tc>
              <w:tc>
                <w:tcPr>
                  <w:tcW w:w="1042" w:type="dxa"/>
                  <w:vAlign w:val="center"/>
                </w:tcPr>
                <w:p>
                  <w:pPr>
                    <w:jc w:val="center"/>
                    <w:rPr>
                      <w:rFonts w:hint="eastAsia"/>
                      <w:b/>
                      <w:bCs/>
                      <w:color w:val="auto"/>
                      <w:szCs w:val="21"/>
                      <w:lang w:val="en-US" w:eastAsia="zh-CN"/>
                    </w:rPr>
                  </w:pPr>
                  <w:r>
                    <w:rPr>
                      <w:rFonts w:hint="eastAsia"/>
                      <w:b/>
                      <w:bCs/>
                      <w:color w:val="auto"/>
                      <w:szCs w:val="21"/>
                      <w:lang w:val="en-US" w:eastAsia="zh-CN"/>
                    </w:rPr>
                    <w:t>宽度</w:t>
                  </w:r>
                </w:p>
              </w:tc>
              <w:tc>
                <w:tcPr>
                  <w:tcW w:w="1059" w:type="dxa"/>
                  <w:vAlign w:val="center"/>
                </w:tcPr>
                <w:p>
                  <w:pPr>
                    <w:jc w:val="center"/>
                    <w:rPr>
                      <w:rFonts w:hint="eastAsia"/>
                      <w:b/>
                      <w:bCs/>
                      <w:color w:val="auto"/>
                      <w:szCs w:val="21"/>
                      <w:lang w:val="en-US" w:eastAsia="zh-CN"/>
                    </w:rPr>
                  </w:pPr>
                  <w:r>
                    <w:rPr>
                      <w:rFonts w:hint="eastAsia"/>
                      <w:b/>
                      <w:bCs/>
                      <w:color w:val="auto"/>
                      <w:szCs w:val="21"/>
                      <w:lang w:val="en-US" w:eastAsia="zh-CN"/>
                    </w:rPr>
                    <w:t>有效高度</w:t>
                  </w:r>
                </w:p>
              </w:tc>
              <w:tc>
                <w:tcPr>
                  <w:tcW w:w="1203" w:type="dxa"/>
                  <w:vMerge w:val="continue"/>
                  <w:vAlign w:val="center"/>
                </w:tcPr>
                <w:p>
                  <w:pPr>
                    <w:jc w:val="center"/>
                    <w:rPr>
                      <w:rFonts w:hint="eastAsia"/>
                      <w:color w:val="auto"/>
                      <w:szCs w:val="21"/>
                      <w:lang w:val="en-US" w:eastAsia="zh-CN"/>
                    </w:rPr>
                  </w:pPr>
                </w:p>
              </w:tc>
              <w:tc>
                <w:tcPr>
                  <w:tcW w:w="1055" w:type="dxa"/>
                  <w:vMerge w:val="continue"/>
                  <w:vAlign w:val="center"/>
                </w:tcPr>
                <w:p>
                  <w:pPr>
                    <w:jc w:val="center"/>
                    <w:rPr>
                      <w:rFonts w:hint="eastAsia"/>
                      <w:color w:val="auto"/>
                      <w:szCs w:val="21"/>
                      <w:lang w:val="en-US" w:eastAsia="zh-CN"/>
                    </w:rPr>
                  </w:pPr>
                </w:p>
              </w:tc>
              <w:tc>
                <w:tcPr>
                  <w:tcW w:w="1055" w:type="dxa"/>
                  <w:vMerge w:val="continue"/>
                  <w:vAlign w:val="center"/>
                </w:tcPr>
                <w:p>
                  <w:pPr>
                    <w:jc w:val="center"/>
                    <w:rPr>
                      <w:rFonts w:hint="eastAsia"/>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039" w:type="dxa"/>
                  <w:vAlign w:val="center"/>
                </w:tcPr>
                <w:p>
                  <w:pPr>
                    <w:jc w:val="center"/>
                    <w:rPr>
                      <w:rFonts w:hint="eastAsia"/>
                      <w:color w:val="auto"/>
                      <w:szCs w:val="21"/>
                      <w:lang w:val="en-US" w:eastAsia="zh-CN"/>
                    </w:rPr>
                  </w:pPr>
                  <w:r>
                    <w:rPr>
                      <w:rFonts w:hint="eastAsia"/>
                      <w:color w:val="auto"/>
                      <w:szCs w:val="21"/>
                      <w:lang w:val="en-US" w:eastAsia="zh-CN"/>
                    </w:rPr>
                    <w:t>矩形面源</w:t>
                  </w:r>
                </w:p>
              </w:tc>
              <w:tc>
                <w:tcPr>
                  <w:tcW w:w="563" w:type="dxa"/>
                  <w:vAlign w:val="center"/>
                </w:tcPr>
                <w:p>
                  <w:pPr>
                    <w:jc w:val="center"/>
                    <w:rPr>
                      <w:rFonts w:hint="eastAsia"/>
                      <w:color w:val="auto"/>
                      <w:szCs w:val="21"/>
                      <w:lang w:val="en-US" w:eastAsia="zh-CN"/>
                    </w:rPr>
                  </w:pPr>
                  <w:r>
                    <w:rPr>
                      <w:rFonts w:hint="eastAsia"/>
                      <w:color w:val="auto"/>
                      <w:szCs w:val="21"/>
                      <w:lang w:val="en-US" w:eastAsia="zh-CN"/>
                    </w:rPr>
                    <w:t>116.082965</w:t>
                  </w:r>
                </w:p>
              </w:tc>
              <w:tc>
                <w:tcPr>
                  <w:tcW w:w="630" w:type="dxa"/>
                  <w:vAlign w:val="center"/>
                </w:tcPr>
                <w:p>
                  <w:pPr>
                    <w:jc w:val="center"/>
                    <w:rPr>
                      <w:rFonts w:hint="eastAsia"/>
                      <w:color w:val="auto"/>
                      <w:szCs w:val="21"/>
                      <w:lang w:val="en-US" w:eastAsia="zh-CN"/>
                    </w:rPr>
                  </w:pPr>
                  <w:r>
                    <w:rPr>
                      <w:rFonts w:hint="eastAsia"/>
                      <w:color w:val="auto"/>
                      <w:szCs w:val="21"/>
                      <w:lang w:val="en-US" w:eastAsia="zh-CN"/>
                    </w:rPr>
                    <w:t>23.356525</w:t>
                  </w:r>
                </w:p>
              </w:tc>
              <w:tc>
                <w:tcPr>
                  <w:tcW w:w="581" w:type="dxa"/>
                  <w:vAlign w:val="center"/>
                </w:tcPr>
                <w:p>
                  <w:pPr>
                    <w:jc w:val="center"/>
                    <w:rPr>
                      <w:rFonts w:hint="eastAsia"/>
                      <w:color w:val="auto"/>
                      <w:szCs w:val="21"/>
                      <w:lang w:val="en-US" w:eastAsia="zh-CN"/>
                    </w:rPr>
                  </w:pPr>
                  <w:r>
                    <w:rPr>
                      <w:rFonts w:hint="eastAsia"/>
                      <w:color w:val="auto"/>
                      <w:szCs w:val="21"/>
                      <w:lang w:val="en-US" w:eastAsia="zh-CN"/>
                    </w:rPr>
                    <w:t>18.0</w:t>
                  </w:r>
                </w:p>
              </w:tc>
              <w:tc>
                <w:tcPr>
                  <w:tcW w:w="1059" w:type="dxa"/>
                  <w:vAlign w:val="center"/>
                </w:tcPr>
                <w:p>
                  <w:pPr>
                    <w:jc w:val="center"/>
                    <w:rPr>
                      <w:rFonts w:hint="eastAsia"/>
                      <w:color w:val="auto"/>
                      <w:szCs w:val="21"/>
                      <w:lang w:val="en-US" w:eastAsia="zh-CN"/>
                    </w:rPr>
                  </w:pPr>
                  <w:r>
                    <w:rPr>
                      <w:rFonts w:hint="eastAsia"/>
                      <w:color w:val="auto"/>
                      <w:szCs w:val="21"/>
                      <w:lang w:val="en-US" w:eastAsia="zh-CN"/>
                    </w:rPr>
                    <w:t>40</w:t>
                  </w:r>
                </w:p>
              </w:tc>
              <w:tc>
                <w:tcPr>
                  <w:tcW w:w="1042" w:type="dxa"/>
                  <w:vAlign w:val="center"/>
                </w:tcPr>
                <w:p>
                  <w:pPr>
                    <w:jc w:val="center"/>
                    <w:rPr>
                      <w:rFonts w:hint="eastAsia"/>
                      <w:color w:val="auto"/>
                      <w:szCs w:val="21"/>
                      <w:lang w:val="en-US" w:eastAsia="zh-CN"/>
                    </w:rPr>
                  </w:pPr>
                  <w:r>
                    <w:rPr>
                      <w:rFonts w:hint="eastAsia"/>
                      <w:color w:val="auto"/>
                      <w:szCs w:val="21"/>
                      <w:lang w:val="en-US" w:eastAsia="zh-CN"/>
                    </w:rPr>
                    <w:t>25</w:t>
                  </w:r>
                </w:p>
              </w:tc>
              <w:tc>
                <w:tcPr>
                  <w:tcW w:w="1059" w:type="dxa"/>
                  <w:vAlign w:val="center"/>
                </w:tcPr>
                <w:p>
                  <w:pPr>
                    <w:jc w:val="center"/>
                    <w:rPr>
                      <w:rFonts w:hint="eastAsia"/>
                      <w:color w:val="auto"/>
                      <w:szCs w:val="21"/>
                      <w:lang w:val="en-US" w:eastAsia="zh-CN"/>
                    </w:rPr>
                  </w:pPr>
                  <w:r>
                    <w:rPr>
                      <w:rFonts w:hint="eastAsia"/>
                      <w:color w:val="auto"/>
                      <w:szCs w:val="21"/>
                      <w:lang w:val="en-US" w:eastAsia="zh-CN"/>
                    </w:rPr>
                    <w:t>6.0</w:t>
                  </w:r>
                </w:p>
              </w:tc>
              <w:tc>
                <w:tcPr>
                  <w:tcW w:w="1203" w:type="dxa"/>
                  <w:vAlign w:val="center"/>
                </w:tcPr>
                <w:p>
                  <w:pPr>
                    <w:jc w:val="center"/>
                    <w:rPr>
                      <w:rFonts w:hint="eastAsia"/>
                      <w:color w:val="auto"/>
                      <w:szCs w:val="21"/>
                      <w:lang w:val="en-US" w:eastAsia="zh-CN"/>
                    </w:rPr>
                  </w:pPr>
                  <w:r>
                    <w:rPr>
                      <w:rFonts w:hint="eastAsia"/>
                      <w:color w:val="auto"/>
                      <w:szCs w:val="21"/>
                      <w:lang w:val="en-US" w:eastAsia="zh-CN"/>
                    </w:rPr>
                    <w:t>TSP 
</w:t>
                  </w:r>
                </w:p>
              </w:tc>
              <w:tc>
                <w:tcPr>
                  <w:tcW w:w="1055" w:type="dxa"/>
                  <w:vAlign w:val="center"/>
                </w:tcPr>
                <w:p>
                  <w:pPr>
                    <w:jc w:val="center"/>
                    <w:rPr>
                      <w:rFonts w:hint="eastAsia"/>
                      <w:color w:val="auto"/>
                      <w:szCs w:val="21"/>
                      <w:lang w:val="en-US" w:eastAsia="zh-CN"/>
                    </w:rPr>
                  </w:pPr>
                  <w:r>
                    <w:rPr>
                      <w:rFonts w:hint="eastAsia"/>
                      <w:color w:val="auto"/>
                      <w:szCs w:val="21"/>
                      <w:lang w:val="en-US" w:eastAsia="zh-CN"/>
                    </w:rPr>
                    <w:t>0.042 
</w:t>
                  </w:r>
                </w:p>
              </w:tc>
              <w:tc>
                <w:tcPr>
                  <w:tcW w:w="1055" w:type="dxa"/>
                  <w:vAlign w:val="center"/>
                </w:tcPr>
                <w:p>
                  <w:pPr>
                    <w:jc w:val="center"/>
                    <w:rPr>
                      <w:rFonts w:hint="eastAsia"/>
                      <w:color w:val="auto"/>
                      <w:szCs w:val="21"/>
                      <w:lang w:val="en-US" w:eastAsia="zh-CN"/>
                    </w:rPr>
                  </w:pPr>
                  <w:r>
                    <w:rPr>
                      <w:rFonts w:hint="eastAsia"/>
                      <w:color w:val="auto"/>
                      <w:szCs w:val="21"/>
                      <w:lang w:val="en-US" w:eastAsia="zh-CN"/>
                    </w:rPr>
                    <w:t>kg/h</w:t>
                  </w:r>
                </w:p>
              </w:tc>
            </w:tr>
          </w:tbl>
          <w:p>
            <w:pPr>
              <w:spacing w:line="360" w:lineRule="auto"/>
              <w:ind w:firstLine="422" w:firstLineChars="200"/>
              <w:jc w:val="center"/>
              <w:rPr>
                <w:rFonts w:ascii="Times New Roman" w:hAnsi="Times New Roman" w:eastAsia="宋体" w:cs="Times New Roman"/>
                <w:b/>
                <w:color w:val="auto"/>
                <w:kern w:val="0"/>
                <w:sz w:val="21"/>
                <w:szCs w:val="21"/>
                <w:lang w:val="en-US" w:eastAsia="zh-CN" w:bidi="ar-SA"/>
              </w:rPr>
            </w:pPr>
            <w:r>
              <w:rPr>
                <w:rFonts w:ascii="Times New Roman" w:hAnsi="Times New Roman" w:eastAsia="宋体" w:cs="Times New Roman"/>
                <w:b/>
                <w:color w:val="auto"/>
                <w:kern w:val="0"/>
                <w:sz w:val="21"/>
                <w:szCs w:val="21"/>
                <w:lang w:val="en-US" w:eastAsia="zh-CN" w:bidi="ar-SA"/>
              </w:rPr>
              <w:t>表7-</w:t>
            </w:r>
            <w:r>
              <w:rPr>
                <w:rFonts w:hint="eastAsia" w:cs="Times New Roman"/>
                <w:b/>
                <w:color w:val="auto"/>
                <w:kern w:val="0"/>
                <w:sz w:val="21"/>
                <w:szCs w:val="21"/>
                <w:lang w:val="en-US" w:eastAsia="zh-CN" w:bidi="ar-SA"/>
              </w:rPr>
              <w:t>4</w:t>
            </w:r>
            <w:r>
              <w:rPr>
                <w:rFonts w:ascii="Times New Roman" w:hAnsi="Times New Roman" w:eastAsia="宋体" w:cs="Times New Roman"/>
                <w:b/>
                <w:color w:val="auto"/>
                <w:kern w:val="0"/>
                <w:sz w:val="21"/>
                <w:szCs w:val="21"/>
                <w:lang w:val="en-US" w:eastAsia="zh-CN" w:bidi="ar-SA"/>
              </w:rPr>
              <w:t xml:space="preserve"> 估算模型参数表</w:t>
            </w:r>
          </w:p>
          <w:tbl>
            <w:tblPr>
              <w:tblStyle w:val="31"/>
              <w:tblW w:w="90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2"/>
              <w:gridCol w:w="2833"/>
              <w:gridCol w:w="3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665" w:type="dxa"/>
                  <w:gridSpan w:val="2"/>
                  <w:vAlign w:val="center"/>
                </w:tcPr>
                <w:p>
                  <w:pPr>
                    <w:spacing w:line="360" w:lineRule="auto"/>
                    <w:jc w:val="center"/>
                    <w:rPr>
                      <w:b/>
                      <w:color w:val="auto"/>
                      <w:szCs w:val="21"/>
                    </w:rPr>
                  </w:pPr>
                  <w:r>
                    <w:rPr>
                      <w:b/>
                      <w:color w:val="auto"/>
                      <w:szCs w:val="21"/>
                    </w:rPr>
                    <w:t>参数</w:t>
                  </w:r>
                </w:p>
              </w:tc>
              <w:tc>
                <w:tcPr>
                  <w:tcW w:w="3390" w:type="dxa"/>
                  <w:vAlign w:val="center"/>
                </w:tcPr>
                <w:p>
                  <w:pPr>
                    <w:spacing w:line="360" w:lineRule="auto"/>
                    <w:jc w:val="center"/>
                    <w:rPr>
                      <w:b/>
                      <w:color w:val="auto"/>
                      <w:szCs w:val="21"/>
                    </w:rPr>
                  </w:pPr>
                  <w:r>
                    <w:rPr>
                      <w:b/>
                      <w:color w:val="auto"/>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5665" w:type="dxa"/>
                  <w:gridSpan w:val="2"/>
                  <w:vAlign w:val="center"/>
                </w:tcPr>
                <w:p>
                  <w:pPr>
                    <w:jc w:val="center"/>
                    <w:rPr>
                      <w:color w:val="auto"/>
                      <w:szCs w:val="21"/>
                    </w:rPr>
                  </w:pPr>
                  <w:r>
                    <w:rPr>
                      <w:color w:val="auto"/>
                      <w:szCs w:val="21"/>
                    </w:rPr>
                    <w:t>城市/农村选项</w:t>
                  </w:r>
                </w:p>
              </w:tc>
              <w:tc>
                <w:tcPr>
                  <w:tcW w:w="3390" w:type="dxa"/>
                  <w:vAlign w:val="center"/>
                </w:tcPr>
                <w:p>
                  <w:pPr>
                    <w:jc w:val="center"/>
                    <w:rPr>
                      <w:color w:val="auto"/>
                      <w:szCs w:val="21"/>
                    </w:rPr>
                  </w:pPr>
                  <w:r>
                    <w:rPr>
                      <w:color w:val="auto"/>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5665" w:type="dxa"/>
                  <w:gridSpan w:val="2"/>
                  <w:vAlign w:val="center"/>
                </w:tcPr>
                <w:p>
                  <w:pPr>
                    <w:jc w:val="center"/>
                    <w:rPr>
                      <w:color w:val="auto"/>
                      <w:szCs w:val="21"/>
                    </w:rPr>
                  </w:pPr>
                  <w:r>
                    <w:rPr>
                      <w:color w:val="auto"/>
                      <w:szCs w:val="21"/>
                    </w:rPr>
                    <w:t>最高环境温度</w:t>
                  </w:r>
                </w:p>
              </w:tc>
              <w:tc>
                <w:tcPr>
                  <w:tcW w:w="3390" w:type="dxa"/>
                  <w:vAlign w:val="center"/>
                </w:tcPr>
                <w:p>
                  <w:pPr>
                    <w:jc w:val="center"/>
                    <w:rPr>
                      <w:color w:val="auto"/>
                      <w:szCs w:val="21"/>
                    </w:rPr>
                  </w:pPr>
                  <w:r>
                    <w:rPr>
                      <w:color w:val="auto"/>
                      <w:szCs w:val="21"/>
                    </w:rPr>
                    <w:t>311.25K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5665" w:type="dxa"/>
                  <w:gridSpan w:val="2"/>
                  <w:vAlign w:val="center"/>
                </w:tcPr>
                <w:p>
                  <w:pPr>
                    <w:jc w:val="center"/>
                    <w:rPr>
                      <w:color w:val="auto"/>
                      <w:szCs w:val="21"/>
                    </w:rPr>
                  </w:pPr>
                  <w:r>
                    <w:rPr>
                      <w:color w:val="auto"/>
                      <w:szCs w:val="21"/>
                    </w:rPr>
                    <w:t>最低环境温度</w:t>
                  </w:r>
                </w:p>
              </w:tc>
              <w:tc>
                <w:tcPr>
                  <w:tcW w:w="3390" w:type="dxa"/>
                  <w:vAlign w:val="center"/>
                </w:tcPr>
                <w:p>
                  <w:pPr>
                    <w:jc w:val="center"/>
                    <w:rPr>
                      <w:color w:val="auto"/>
                      <w:szCs w:val="21"/>
                    </w:rPr>
                  </w:pPr>
                  <w:r>
                    <w:rPr>
                      <w:color w:val="auto"/>
                      <w:szCs w:val="21"/>
                    </w:rPr>
                    <w:t>273.55K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5665" w:type="dxa"/>
                  <w:gridSpan w:val="2"/>
                  <w:vAlign w:val="center"/>
                </w:tcPr>
                <w:p>
                  <w:pPr>
                    <w:jc w:val="center"/>
                    <w:rPr>
                      <w:color w:val="auto"/>
                      <w:szCs w:val="21"/>
                    </w:rPr>
                  </w:pPr>
                  <w:r>
                    <w:rPr>
                      <w:color w:val="auto"/>
                      <w:szCs w:val="21"/>
                    </w:rPr>
                    <w:t>土地利用类型</w:t>
                  </w:r>
                </w:p>
              </w:tc>
              <w:tc>
                <w:tcPr>
                  <w:tcW w:w="3390" w:type="dxa"/>
                  <w:vAlign w:val="center"/>
                </w:tcPr>
                <w:p>
                  <w:pPr>
                    <w:jc w:val="center"/>
                    <w:rPr>
                      <w:rFonts w:hint="eastAsia" w:eastAsia="宋体"/>
                      <w:color w:val="auto"/>
                      <w:szCs w:val="21"/>
                      <w:lang w:eastAsia="zh-CN"/>
                    </w:rPr>
                  </w:pPr>
                  <w:r>
                    <w:rPr>
                      <w:rFonts w:hint="eastAsia"/>
                      <w:color w:val="auto"/>
                      <w:szCs w:val="21"/>
                      <w:lang w:eastAsia="zh-CN"/>
                    </w:rPr>
                    <w:t>农田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5665" w:type="dxa"/>
                  <w:gridSpan w:val="2"/>
                  <w:vAlign w:val="center"/>
                </w:tcPr>
                <w:p>
                  <w:pPr>
                    <w:jc w:val="center"/>
                    <w:rPr>
                      <w:color w:val="auto"/>
                      <w:szCs w:val="21"/>
                    </w:rPr>
                  </w:pPr>
                  <w:r>
                    <w:rPr>
                      <w:color w:val="auto"/>
                      <w:szCs w:val="21"/>
                    </w:rPr>
                    <w:t>区域湿度条件</w:t>
                  </w:r>
                </w:p>
              </w:tc>
              <w:tc>
                <w:tcPr>
                  <w:tcW w:w="3390" w:type="dxa"/>
                  <w:vAlign w:val="center"/>
                </w:tcPr>
                <w:p>
                  <w:pPr>
                    <w:jc w:val="center"/>
                    <w:rPr>
                      <w:color w:val="auto"/>
                      <w:szCs w:val="21"/>
                    </w:rPr>
                  </w:pPr>
                  <w:r>
                    <w:rPr>
                      <w:color w:val="auto"/>
                      <w:szCs w:val="21"/>
                    </w:rPr>
                    <w:t>中等潮湿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2832" w:type="dxa"/>
                  <w:vMerge w:val="restart"/>
                  <w:vAlign w:val="center"/>
                </w:tcPr>
                <w:p>
                  <w:pPr>
                    <w:jc w:val="center"/>
                    <w:rPr>
                      <w:color w:val="auto"/>
                      <w:szCs w:val="21"/>
                    </w:rPr>
                  </w:pPr>
                  <w:r>
                    <w:rPr>
                      <w:color w:val="auto"/>
                      <w:szCs w:val="21"/>
                    </w:rPr>
                    <w:t>是否考虑地形</w:t>
                  </w:r>
                </w:p>
              </w:tc>
              <w:tc>
                <w:tcPr>
                  <w:tcW w:w="2833" w:type="dxa"/>
                  <w:vAlign w:val="center"/>
                </w:tcPr>
                <w:p>
                  <w:pPr>
                    <w:jc w:val="center"/>
                    <w:rPr>
                      <w:color w:val="auto"/>
                      <w:szCs w:val="21"/>
                    </w:rPr>
                  </w:pPr>
                  <w:r>
                    <w:rPr>
                      <w:color w:val="auto"/>
                      <w:szCs w:val="21"/>
                    </w:rPr>
                    <w:t>考虑地形</w:t>
                  </w:r>
                </w:p>
              </w:tc>
              <w:tc>
                <w:tcPr>
                  <w:tcW w:w="3390" w:type="dxa"/>
                  <w:vAlign w:val="center"/>
                </w:tcPr>
                <w:p>
                  <w:pPr>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2832" w:type="dxa"/>
                  <w:vMerge w:val="continue"/>
                  <w:vAlign w:val="center"/>
                </w:tcPr>
                <w:p>
                  <w:pPr>
                    <w:jc w:val="center"/>
                    <w:rPr>
                      <w:color w:val="auto"/>
                      <w:szCs w:val="21"/>
                    </w:rPr>
                  </w:pPr>
                </w:p>
              </w:tc>
              <w:tc>
                <w:tcPr>
                  <w:tcW w:w="2833" w:type="dxa"/>
                  <w:vAlign w:val="center"/>
                </w:tcPr>
                <w:p>
                  <w:pPr>
                    <w:jc w:val="center"/>
                    <w:rPr>
                      <w:color w:val="auto"/>
                      <w:szCs w:val="21"/>
                    </w:rPr>
                  </w:pPr>
                  <w:r>
                    <w:rPr>
                      <w:color w:val="auto"/>
                      <w:szCs w:val="21"/>
                    </w:rPr>
                    <w:t>地形数据分辨率（m）</w:t>
                  </w:r>
                </w:p>
              </w:tc>
              <w:tc>
                <w:tcPr>
                  <w:tcW w:w="3390" w:type="dxa"/>
                  <w:vAlign w:val="center"/>
                </w:tcPr>
                <w:p>
                  <w:pPr>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2832" w:type="dxa"/>
                  <w:vMerge w:val="restart"/>
                  <w:vAlign w:val="center"/>
                </w:tcPr>
                <w:p>
                  <w:pPr>
                    <w:jc w:val="center"/>
                    <w:rPr>
                      <w:color w:val="auto"/>
                      <w:szCs w:val="21"/>
                    </w:rPr>
                  </w:pPr>
                  <w:r>
                    <w:rPr>
                      <w:color w:val="auto"/>
                      <w:szCs w:val="21"/>
                    </w:rPr>
                    <w:t>是否考虑海岸线熏烟</w:t>
                  </w:r>
                </w:p>
              </w:tc>
              <w:tc>
                <w:tcPr>
                  <w:tcW w:w="2833" w:type="dxa"/>
                  <w:vAlign w:val="center"/>
                </w:tcPr>
                <w:p>
                  <w:pPr>
                    <w:jc w:val="center"/>
                    <w:rPr>
                      <w:color w:val="auto"/>
                      <w:szCs w:val="21"/>
                    </w:rPr>
                  </w:pPr>
                  <w:r>
                    <w:rPr>
                      <w:color w:val="auto"/>
                      <w:szCs w:val="21"/>
                    </w:rPr>
                    <w:t>考虑海岸线熏烟</w:t>
                  </w:r>
                </w:p>
              </w:tc>
              <w:tc>
                <w:tcPr>
                  <w:tcW w:w="3390" w:type="dxa"/>
                  <w:vAlign w:val="center"/>
                </w:tcPr>
                <w:p>
                  <w:pPr>
                    <w:jc w:val="center"/>
                    <w:rPr>
                      <w:color w:val="auto"/>
                      <w:szCs w:val="21"/>
                    </w:rPr>
                  </w:pPr>
                  <w:r>
                    <w:rPr>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2832" w:type="dxa"/>
                  <w:vMerge w:val="continue"/>
                  <w:vAlign w:val="center"/>
                </w:tcPr>
                <w:p>
                  <w:pPr>
                    <w:jc w:val="center"/>
                    <w:rPr>
                      <w:color w:val="auto"/>
                      <w:szCs w:val="21"/>
                    </w:rPr>
                  </w:pPr>
                </w:p>
              </w:tc>
              <w:tc>
                <w:tcPr>
                  <w:tcW w:w="2833" w:type="dxa"/>
                  <w:vAlign w:val="center"/>
                </w:tcPr>
                <w:p>
                  <w:pPr>
                    <w:jc w:val="center"/>
                    <w:rPr>
                      <w:color w:val="auto"/>
                      <w:szCs w:val="21"/>
                    </w:rPr>
                  </w:pPr>
                  <w:r>
                    <w:rPr>
                      <w:color w:val="auto"/>
                      <w:szCs w:val="21"/>
                    </w:rPr>
                    <w:t>海岸线距离（km）</w:t>
                  </w:r>
                </w:p>
              </w:tc>
              <w:tc>
                <w:tcPr>
                  <w:tcW w:w="3390" w:type="dxa"/>
                  <w:vAlign w:val="center"/>
                </w:tcPr>
                <w:p>
                  <w:pPr>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 w:hRule="atLeast"/>
                <w:jc w:val="center"/>
              </w:trPr>
              <w:tc>
                <w:tcPr>
                  <w:tcW w:w="2832" w:type="dxa"/>
                  <w:vMerge w:val="continue"/>
                  <w:vAlign w:val="center"/>
                </w:tcPr>
                <w:p>
                  <w:pPr>
                    <w:jc w:val="center"/>
                    <w:rPr>
                      <w:color w:val="auto"/>
                      <w:szCs w:val="21"/>
                    </w:rPr>
                  </w:pPr>
                </w:p>
              </w:tc>
              <w:tc>
                <w:tcPr>
                  <w:tcW w:w="2833" w:type="dxa"/>
                  <w:vAlign w:val="center"/>
                </w:tcPr>
                <w:p>
                  <w:pPr>
                    <w:jc w:val="center"/>
                    <w:rPr>
                      <w:color w:val="auto"/>
                      <w:szCs w:val="21"/>
                    </w:rPr>
                  </w:pPr>
                  <w:r>
                    <w:rPr>
                      <w:color w:val="auto"/>
                      <w:szCs w:val="21"/>
                    </w:rPr>
                    <w:t>海岸方向（°）</w:t>
                  </w:r>
                </w:p>
              </w:tc>
              <w:tc>
                <w:tcPr>
                  <w:tcW w:w="3390" w:type="dxa"/>
                  <w:vAlign w:val="center"/>
                </w:tcPr>
                <w:p>
                  <w:pPr>
                    <w:jc w:val="center"/>
                    <w:rPr>
                      <w:color w:val="auto"/>
                      <w:szCs w:val="21"/>
                    </w:rPr>
                  </w:pPr>
                  <w:r>
                    <w:rPr>
                      <w:color w:val="auto"/>
                      <w:szCs w:val="21"/>
                    </w:rPr>
                    <w:t>/</w:t>
                  </w:r>
                </w:p>
              </w:tc>
            </w:tr>
          </w:tbl>
          <w:p>
            <w:pPr>
              <w:spacing w:line="360" w:lineRule="auto"/>
              <w:ind w:firstLine="482" w:firstLineChars="200"/>
              <w:rPr>
                <w:b/>
                <w:color w:val="auto"/>
                <w:sz w:val="24"/>
              </w:rPr>
            </w:pPr>
            <w:r>
              <w:rPr>
                <w:b/>
                <w:color w:val="auto"/>
                <w:sz w:val="24"/>
              </w:rPr>
              <w:t>预测结果如下：</w:t>
            </w:r>
          </w:p>
          <w:p>
            <w:pPr>
              <w:pStyle w:val="2"/>
              <w:rPr>
                <w:rFonts w:hint="eastAsia" w:eastAsia="宋体"/>
                <w:b w:val="0"/>
                <w:bCs/>
                <w:color w:val="auto"/>
                <w:lang w:val="en-US" w:eastAsia="zh-CN"/>
              </w:rPr>
            </w:pPr>
            <w:r>
              <w:rPr>
                <w:rFonts w:hint="eastAsia"/>
                <w:b w:val="0"/>
                <w:bCs/>
                <w:color w:val="auto"/>
                <w:sz w:val="24"/>
                <w:lang w:eastAsia="zh-CN"/>
              </w:rPr>
              <w:t>（</w:t>
            </w:r>
            <w:r>
              <w:rPr>
                <w:rFonts w:hint="eastAsia"/>
                <w:b w:val="0"/>
                <w:bCs/>
                <w:color w:val="auto"/>
                <w:sz w:val="24"/>
                <w:lang w:val="en-US" w:eastAsia="zh-CN"/>
              </w:rPr>
              <w:t>1）</w:t>
            </w:r>
            <w:r>
              <w:rPr>
                <w:rFonts w:hint="eastAsia"/>
                <w:b w:val="0"/>
                <w:bCs/>
                <w:color w:val="auto"/>
                <w:sz w:val="24"/>
                <w:lang w:eastAsia="zh-CN"/>
              </w:rPr>
              <w:t>有组织废气预测结果见表</w:t>
            </w:r>
            <w:r>
              <w:rPr>
                <w:rFonts w:hint="eastAsia"/>
                <w:b w:val="0"/>
                <w:bCs/>
                <w:color w:val="auto"/>
                <w:sz w:val="24"/>
                <w:lang w:val="en-US" w:eastAsia="zh-CN"/>
              </w:rPr>
              <w:t>7-5：</w:t>
            </w:r>
          </w:p>
          <w:p>
            <w:pPr>
              <w:spacing w:line="360" w:lineRule="auto"/>
              <w:jc w:val="center"/>
              <w:rPr>
                <w:rFonts w:ascii="Times New Roman" w:hAnsi="Times New Roman" w:eastAsia="宋体" w:cs="Times New Roman"/>
                <w:b/>
                <w:color w:val="auto"/>
                <w:kern w:val="0"/>
                <w:sz w:val="21"/>
                <w:szCs w:val="21"/>
                <w:lang w:val="en-US" w:eastAsia="zh-CN" w:bidi="ar-SA"/>
              </w:rPr>
            </w:pPr>
            <w:r>
              <w:rPr>
                <w:rFonts w:ascii="Times New Roman" w:hAnsi="Times New Roman" w:eastAsia="宋体" w:cs="Times New Roman"/>
                <w:b/>
                <w:color w:val="auto"/>
                <w:kern w:val="0"/>
                <w:sz w:val="21"/>
                <w:szCs w:val="21"/>
                <w:lang w:val="en-US" w:eastAsia="zh-CN" w:bidi="ar-SA"/>
              </w:rPr>
              <w:t>表</w:t>
            </w:r>
            <w:r>
              <w:rPr>
                <w:rFonts w:hint="eastAsia" w:cs="Times New Roman"/>
                <w:b/>
                <w:color w:val="auto"/>
                <w:kern w:val="0"/>
                <w:sz w:val="21"/>
                <w:szCs w:val="21"/>
                <w:lang w:val="en-US" w:eastAsia="zh-CN" w:bidi="ar-SA"/>
              </w:rPr>
              <w:t>7-5</w:t>
            </w:r>
            <w:r>
              <w:rPr>
                <w:rFonts w:ascii="Times New Roman" w:hAnsi="Times New Roman" w:eastAsia="宋体" w:cs="Times New Roman"/>
                <w:b/>
                <w:color w:val="auto"/>
                <w:kern w:val="0"/>
                <w:sz w:val="21"/>
                <w:szCs w:val="21"/>
                <w:lang w:val="en-US" w:eastAsia="zh-CN" w:bidi="ar-SA"/>
              </w:rPr>
              <w:t xml:space="preserve"> </w:t>
            </w:r>
            <w:r>
              <w:rPr>
                <w:rFonts w:hint="eastAsia" w:cs="Times New Roman"/>
                <w:b/>
                <w:color w:val="auto"/>
                <w:kern w:val="0"/>
                <w:sz w:val="21"/>
                <w:szCs w:val="21"/>
                <w:lang w:val="en-US" w:eastAsia="zh-CN" w:bidi="ar-SA"/>
              </w:rPr>
              <w:t>点源</w:t>
            </w:r>
            <w:r>
              <w:rPr>
                <w:rFonts w:ascii="Times New Roman" w:hAnsi="Times New Roman" w:eastAsia="宋体" w:cs="Times New Roman"/>
                <w:b/>
                <w:color w:val="auto"/>
                <w:kern w:val="0"/>
                <w:sz w:val="21"/>
                <w:szCs w:val="21"/>
                <w:lang w:val="en-US" w:eastAsia="zh-CN" w:bidi="ar-SA"/>
              </w:rPr>
              <w:t>最大P</w:t>
            </w:r>
            <w:r>
              <w:rPr>
                <w:rFonts w:ascii="Times New Roman" w:hAnsi="Times New Roman" w:eastAsia="宋体" w:cs="Times New Roman"/>
                <w:b/>
                <w:color w:val="auto"/>
                <w:kern w:val="0"/>
                <w:sz w:val="21"/>
                <w:szCs w:val="21"/>
                <w:vertAlign w:val="subscript"/>
                <w:lang w:val="en-US" w:eastAsia="zh-CN" w:bidi="ar-SA"/>
              </w:rPr>
              <w:t>max</w:t>
            </w:r>
            <w:r>
              <w:rPr>
                <w:rFonts w:ascii="Times New Roman" w:hAnsi="Times New Roman" w:eastAsia="宋体" w:cs="Times New Roman"/>
                <w:b/>
                <w:color w:val="auto"/>
                <w:kern w:val="0"/>
                <w:sz w:val="21"/>
                <w:szCs w:val="21"/>
                <w:lang w:val="en-US" w:eastAsia="zh-CN" w:bidi="ar-SA"/>
              </w:rPr>
              <w:t>和D</w:t>
            </w:r>
            <w:r>
              <w:rPr>
                <w:rFonts w:ascii="Times New Roman" w:hAnsi="Times New Roman" w:eastAsia="宋体" w:cs="Times New Roman"/>
                <w:b/>
                <w:color w:val="auto"/>
                <w:kern w:val="0"/>
                <w:sz w:val="21"/>
                <w:szCs w:val="21"/>
                <w:vertAlign w:val="subscript"/>
                <w:lang w:val="en-US" w:eastAsia="zh-CN" w:bidi="ar-SA"/>
              </w:rPr>
              <w:t>10%</w:t>
            </w:r>
            <w:r>
              <w:rPr>
                <w:rFonts w:ascii="Times New Roman" w:hAnsi="Times New Roman" w:eastAsia="宋体" w:cs="Times New Roman"/>
                <w:b/>
                <w:color w:val="auto"/>
                <w:kern w:val="0"/>
                <w:sz w:val="21"/>
                <w:szCs w:val="21"/>
                <w:lang w:val="en-US" w:eastAsia="zh-CN" w:bidi="ar-SA"/>
              </w:rPr>
              <w:t>预测结果表</w:t>
            </w:r>
          </w:p>
          <w:tbl>
            <w:tblPr>
              <w:tblStyle w:val="3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4"/>
              <w:gridCol w:w="3091"/>
              <w:gridCol w:w="3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3104" w:type="dxa"/>
                  <w:vMerge w:val="restart"/>
                  <w:vAlign w:val="center"/>
                </w:tcPr>
                <w:p>
                  <w:pPr>
                    <w:jc w:val="center"/>
                    <w:rPr>
                      <w:b/>
                      <w:bCs/>
                      <w:color w:val="auto"/>
                    </w:rPr>
                  </w:pPr>
                  <w:r>
                    <w:rPr>
                      <w:b/>
                      <w:bCs/>
                      <w:color w:val="auto"/>
                    </w:rPr>
                    <w:t>下</w:t>
                  </w:r>
                  <w:r>
                    <w:rPr>
                      <w:rFonts w:hint="eastAsia"/>
                      <w:b/>
                      <w:bCs/>
                      <w:color w:val="auto"/>
                      <w:lang w:eastAsia="zh-CN"/>
                    </w:rPr>
                    <w:t>风</w:t>
                  </w:r>
                  <w:r>
                    <w:rPr>
                      <w:b/>
                      <w:bCs/>
                      <w:color w:val="auto"/>
                    </w:rPr>
                    <w:t>向距离(m)</w:t>
                  </w:r>
                </w:p>
              </w:tc>
              <w:tc>
                <w:tcPr>
                  <w:tcW w:w="6182" w:type="dxa"/>
                  <w:gridSpan w:val="2"/>
                  <w:vAlign w:val="center"/>
                </w:tcPr>
                <w:p>
                  <w:pPr>
                    <w:jc w:val="center"/>
                    <w:rPr>
                      <w:b/>
                      <w:bCs/>
                      <w:color w:val="auto"/>
                    </w:rPr>
                  </w:pPr>
                  <w:r>
                    <w:rPr>
                      <w:b/>
                      <w:bCs/>
                      <w:color w:val="auto"/>
                    </w:rPr>
                    <w:t>点源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3104" w:type="dxa"/>
                  <w:vMerge w:val="continue"/>
                  <w:vAlign w:val="center"/>
                </w:tcPr>
                <w:p>
                  <w:pPr>
                    <w:jc w:val="center"/>
                    <w:rPr>
                      <w:rFonts w:ascii="Times New Roman" w:hAnsi="Times New Roman" w:cs="Times New Roman"/>
                      <w:b/>
                      <w:bCs/>
                      <w:color w:val="auto"/>
                      <w:sz w:val="24"/>
                      <w:szCs w:val="24"/>
                    </w:rPr>
                  </w:pPr>
                  <w:bookmarkStart w:id="6" w:name="_Hlk527708748"/>
                </w:p>
              </w:tc>
              <w:tc>
                <w:tcPr>
                  <w:tcW w:w="3091" w:type="dxa"/>
                  <w:vAlign w:val="center"/>
                </w:tcPr>
                <w:p>
                  <w:pPr>
                    <w:jc w:val="center"/>
                    <w:rPr>
                      <w:b/>
                      <w:bCs/>
                      <w:color w:val="auto"/>
                    </w:rPr>
                  </w:pPr>
                  <w:r>
                    <w:rPr>
                      <w:b/>
                      <w:bCs/>
                      <w:color w:val="auto"/>
                    </w:rPr>
                    <w:t>TSP浓度（ug/m</w:t>
                  </w:r>
                  <w:r>
                    <w:rPr>
                      <w:b/>
                      <w:bCs/>
                      <w:color w:val="auto"/>
                      <w:vertAlign w:val="superscript"/>
                    </w:rPr>
                    <w:t>3</w:t>
                  </w:r>
                  <w:r>
                    <w:rPr>
                      <w:b/>
                      <w:bCs/>
                      <w:color w:val="auto"/>
                    </w:rPr>
                    <w:t>）</w:t>
                  </w:r>
                </w:p>
              </w:tc>
              <w:tc>
                <w:tcPr>
                  <w:tcW w:w="3091" w:type="dxa"/>
                  <w:vAlign w:val="center"/>
                </w:tcPr>
                <w:p>
                  <w:pPr>
                    <w:jc w:val="center"/>
                    <w:rPr>
                      <w:b/>
                      <w:bCs/>
                      <w:color w:val="auto"/>
                    </w:rPr>
                  </w:pPr>
                  <w:r>
                    <w:rPr>
                      <w:b/>
                      <w:bCs/>
                      <w:color w:val="auto"/>
                    </w:rPr>
                    <w:t>TSP占标率（%）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1.0</w:t>
                  </w:r>
                </w:p>
              </w:tc>
              <w:tc>
                <w:tcPr>
                  <w:tcW w:w="3091" w:type="dxa"/>
                  <w:vAlign w:val="center"/>
                </w:tcPr>
                <w:p>
                  <w:pPr>
                    <w:jc w:val="center"/>
                    <w:rPr>
                      <w:color w:val="auto"/>
                    </w:rPr>
                  </w:pPr>
                  <w:r>
                    <w:rPr>
                      <w:color w:val="auto"/>
                    </w:rPr>
                    <w:t>0.0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100.0</w:t>
                  </w:r>
                </w:p>
              </w:tc>
              <w:tc>
                <w:tcPr>
                  <w:tcW w:w="3091" w:type="dxa"/>
                  <w:vAlign w:val="center"/>
                </w:tcPr>
                <w:p>
                  <w:pPr>
                    <w:jc w:val="center"/>
                    <w:rPr>
                      <w:color w:val="auto"/>
                    </w:rPr>
                  </w:pPr>
                  <w:r>
                    <w:rPr>
                      <w:color w:val="auto"/>
                    </w:rPr>
                    <w:t>3.0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200.0</w:t>
                  </w:r>
                </w:p>
              </w:tc>
              <w:tc>
                <w:tcPr>
                  <w:tcW w:w="3091" w:type="dxa"/>
                  <w:vAlign w:val="center"/>
                </w:tcPr>
                <w:p>
                  <w:pPr>
                    <w:jc w:val="center"/>
                    <w:rPr>
                      <w:color w:val="auto"/>
                    </w:rPr>
                  </w:pPr>
                  <w:r>
                    <w:rPr>
                      <w:color w:val="auto"/>
                    </w:rPr>
                    <w:t>3.0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300.0</w:t>
                  </w:r>
                </w:p>
              </w:tc>
              <w:tc>
                <w:tcPr>
                  <w:tcW w:w="3091" w:type="dxa"/>
                  <w:vAlign w:val="center"/>
                </w:tcPr>
                <w:p>
                  <w:pPr>
                    <w:jc w:val="center"/>
                    <w:rPr>
                      <w:color w:val="auto"/>
                    </w:rPr>
                  </w:pPr>
                  <w:r>
                    <w:rPr>
                      <w:color w:val="auto"/>
                    </w:rPr>
                    <w:t>3.0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400.0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500.0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600.0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700.0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800.0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900.0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1000.0</w:t>
                  </w:r>
                </w:p>
              </w:tc>
              <w:tc>
                <w:tcPr>
                  <w:tcW w:w="3091" w:type="dxa"/>
                  <w:vAlign w:val="center"/>
                </w:tcPr>
                <w:p>
                  <w:pPr>
                    <w:jc w:val="center"/>
                    <w:rPr>
                      <w:color w:val="auto"/>
                    </w:rPr>
                  </w:pPr>
                  <w:r>
                    <w:rPr>
                      <w:color w:val="auto"/>
                    </w:rPr>
                    <w:t>1.0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1100.0</w:t>
                  </w:r>
                </w:p>
              </w:tc>
              <w:tc>
                <w:tcPr>
                  <w:tcW w:w="3091" w:type="dxa"/>
                  <w:vAlign w:val="center"/>
                </w:tcPr>
                <w:p>
                  <w:pPr>
                    <w:jc w:val="center"/>
                    <w:rPr>
                      <w:color w:val="auto"/>
                    </w:rPr>
                  </w:pPr>
                  <w:r>
                    <w:rPr>
                      <w:color w:val="auto"/>
                    </w:rPr>
                    <w:t>1.0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1160.0</w:t>
                  </w:r>
                </w:p>
              </w:tc>
              <w:tc>
                <w:tcPr>
                  <w:tcW w:w="3091" w:type="dxa"/>
                  <w:vAlign w:val="center"/>
                </w:tcPr>
                <w:p>
                  <w:pPr>
                    <w:jc w:val="center"/>
                    <w:rPr>
                      <w:color w:val="auto"/>
                    </w:rPr>
                  </w:pPr>
                  <w:r>
                    <w:rPr>
                      <w:color w:val="auto"/>
                    </w:rPr>
                    <w:t>9.0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1200.0</w:t>
                  </w:r>
                </w:p>
              </w:tc>
              <w:tc>
                <w:tcPr>
                  <w:tcW w:w="3091" w:type="dxa"/>
                  <w:vAlign w:val="center"/>
                </w:tcPr>
                <w:p>
                  <w:pPr>
                    <w:jc w:val="center"/>
                    <w:rPr>
                      <w:color w:val="auto"/>
                    </w:rPr>
                  </w:pPr>
                  <w:r>
                    <w:rPr>
                      <w:color w:val="auto"/>
                    </w:rPr>
                    <w:t>5.0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1300.0</w:t>
                  </w:r>
                </w:p>
              </w:tc>
              <w:tc>
                <w:tcPr>
                  <w:tcW w:w="3091" w:type="dxa"/>
                  <w:vAlign w:val="center"/>
                </w:tcPr>
                <w:p>
                  <w:pPr>
                    <w:jc w:val="center"/>
                    <w:rPr>
                      <w:color w:val="auto"/>
                    </w:rPr>
                  </w:pPr>
                  <w:r>
                    <w:rPr>
                      <w:color w:val="auto"/>
                    </w:rPr>
                    <w:t>8.0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1400.0</w:t>
                  </w:r>
                </w:p>
              </w:tc>
              <w:tc>
                <w:tcPr>
                  <w:tcW w:w="3091" w:type="dxa"/>
                  <w:vAlign w:val="center"/>
                </w:tcPr>
                <w:p>
                  <w:pPr>
                    <w:jc w:val="center"/>
                    <w:rPr>
                      <w:color w:val="auto"/>
                    </w:rPr>
                  </w:pPr>
                  <w:r>
                    <w:rPr>
                      <w:color w:val="auto"/>
                    </w:rPr>
                    <w:t>7.0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1500.0</w:t>
                  </w:r>
                </w:p>
              </w:tc>
              <w:tc>
                <w:tcPr>
                  <w:tcW w:w="3091" w:type="dxa"/>
                  <w:vAlign w:val="center"/>
                </w:tcPr>
                <w:p>
                  <w:pPr>
                    <w:jc w:val="center"/>
                    <w:rPr>
                      <w:color w:val="auto"/>
                    </w:rPr>
                  </w:pPr>
                  <w:r>
                    <w:rPr>
                      <w:color w:val="auto"/>
                    </w:rPr>
                    <w:t>5.0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1600.0</w:t>
                  </w:r>
                </w:p>
              </w:tc>
              <w:tc>
                <w:tcPr>
                  <w:tcW w:w="3091" w:type="dxa"/>
                  <w:vAlign w:val="center"/>
                </w:tcPr>
                <w:p>
                  <w:pPr>
                    <w:jc w:val="center"/>
                    <w:rPr>
                      <w:color w:val="auto"/>
                    </w:rPr>
                  </w:pPr>
                  <w:r>
                    <w:rPr>
                      <w:color w:val="auto"/>
                    </w:rPr>
                    <w:t>6.0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1700.0</w:t>
                  </w:r>
                </w:p>
              </w:tc>
              <w:tc>
                <w:tcPr>
                  <w:tcW w:w="3091" w:type="dxa"/>
                  <w:vAlign w:val="center"/>
                </w:tcPr>
                <w:p>
                  <w:pPr>
                    <w:jc w:val="center"/>
                    <w:rPr>
                      <w:color w:val="auto"/>
                    </w:rPr>
                  </w:pPr>
                  <w:r>
                    <w:rPr>
                      <w:color w:val="auto"/>
                    </w:rPr>
                    <w:t>6.0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1800.0</w:t>
                  </w:r>
                </w:p>
              </w:tc>
              <w:tc>
                <w:tcPr>
                  <w:tcW w:w="3091" w:type="dxa"/>
                  <w:vAlign w:val="center"/>
                </w:tcPr>
                <w:p>
                  <w:pPr>
                    <w:jc w:val="center"/>
                    <w:rPr>
                      <w:color w:val="auto"/>
                    </w:rPr>
                  </w:pPr>
                  <w:r>
                    <w:rPr>
                      <w:color w:val="auto"/>
                    </w:rPr>
                    <w:t>3.0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1900.0</w:t>
                  </w:r>
                </w:p>
              </w:tc>
              <w:tc>
                <w:tcPr>
                  <w:tcW w:w="3091" w:type="dxa"/>
                  <w:vAlign w:val="center"/>
                </w:tcPr>
                <w:p>
                  <w:pPr>
                    <w:jc w:val="center"/>
                    <w:rPr>
                      <w:color w:val="auto"/>
                    </w:rPr>
                  </w:pPr>
                  <w:r>
                    <w:rPr>
                      <w:color w:val="auto"/>
                    </w:rPr>
                    <w:t>4.0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2000.0</w:t>
                  </w:r>
                </w:p>
              </w:tc>
              <w:tc>
                <w:tcPr>
                  <w:tcW w:w="3091" w:type="dxa"/>
                  <w:vAlign w:val="center"/>
                </w:tcPr>
                <w:p>
                  <w:pPr>
                    <w:jc w:val="center"/>
                    <w:rPr>
                      <w:color w:val="auto"/>
                    </w:rPr>
                  </w:pPr>
                  <w:r>
                    <w:rPr>
                      <w:color w:val="auto"/>
                    </w:rPr>
                    <w:t>5.0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2100.0</w:t>
                  </w:r>
                </w:p>
              </w:tc>
              <w:tc>
                <w:tcPr>
                  <w:tcW w:w="3091" w:type="dxa"/>
                  <w:vAlign w:val="center"/>
                </w:tcPr>
                <w:p>
                  <w:pPr>
                    <w:jc w:val="center"/>
                    <w:rPr>
                      <w:color w:val="auto"/>
                    </w:rPr>
                  </w:pPr>
                  <w:r>
                    <w:rPr>
                      <w:color w:val="auto"/>
                    </w:rPr>
                    <w:t>3.0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2200.0</w:t>
                  </w:r>
                </w:p>
              </w:tc>
              <w:tc>
                <w:tcPr>
                  <w:tcW w:w="3091" w:type="dxa"/>
                  <w:vAlign w:val="center"/>
                </w:tcPr>
                <w:p>
                  <w:pPr>
                    <w:jc w:val="center"/>
                    <w:rPr>
                      <w:color w:val="auto"/>
                    </w:rPr>
                  </w:pPr>
                  <w:r>
                    <w:rPr>
                      <w:color w:val="auto"/>
                    </w:rPr>
                    <w:t>4.0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2300.0</w:t>
                  </w:r>
                </w:p>
              </w:tc>
              <w:tc>
                <w:tcPr>
                  <w:tcW w:w="3091" w:type="dxa"/>
                  <w:vAlign w:val="center"/>
                </w:tcPr>
                <w:p>
                  <w:pPr>
                    <w:jc w:val="center"/>
                    <w:rPr>
                      <w:color w:val="auto"/>
                    </w:rPr>
                  </w:pPr>
                  <w:r>
                    <w:rPr>
                      <w:color w:val="auto"/>
                    </w:rPr>
                    <w:t>2.0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2400.0</w:t>
                  </w:r>
                </w:p>
              </w:tc>
              <w:tc>
                <w:tcPr>
                  <w:tcW w:w="3091" w:type="dxa"/>
                  <w:vAlign w:val="center"/>
                </w:tcPr>
                <w:p>
                  <w:pPr>
                    <w:jc w:val="center"/>
                    <w:rPr>
                      <w:color w:val="auto"/>
                    </w:rPr>
                  </w:pPr>
                  <w:r>
                    <w:rPr>
                      <w:color w:val="auto"/>
                    </w:rPr>
                    <w:t>3.0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2500.0</w:t>
                  </w:r>
                </w:p>
              </w:tc>
              <w:tc>
                <w:tcPr>
                  <w:tcW w:w="3091" w:type="dxa"/>
                  <w:vAlign w:val="center"/>
                </w:tcPr>
                <w:p>
                  <w:pPr>
                    <w:jc w:val="center"/>
                    <w:rPr>
                      <w:color w:val="auto"/>
                    </w:rPr>
                  </w:pPr>
                  <w:r>
                    <w:rPr>
                      <w:color w:val="auto"/>
                    </w:rPr>
                    <w:t>4.0</w:t>
                  </w:r>
                </w:p>
              </w:tc>
              <w:tc>
                <w:tcPr>
                  <w:tcW w:w="3091" w:type="dxa"/>
                  <w:vAlign w:val="center"/>
                </w:tcPr>
                <w:p>
                  <w:pPr>
                    <w:jc w:val="center"/>
                    <w:rPr>
                      <w:color w:val="auto"/>
                    </w:rPr>
                  </w:pPr>
                  <w:r>
                    <w:rPr>
                      <w:color w:val="auto"/>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下风向最大浓度</w:t>
                  </w:r>
                </w:p>
              </w:tc>
              <w:tc>
                <w:tcPr>
                  <w:tcW w:w="3091" w:type="dxa"/>
                  <w:vAlign w:val="center"/>
                </w:tcPr>
                <w:p>
                  <w:pPr>
                    <w:jc w:val="center"/>
                    <w:rPr>
                      <w:color w:val="auto"/>
                    </w:rPr>
                  </w:pPr>
                  <w:r>
                    <w:rPr>
                      <w:color w:val="auto"/>
                    </w:rPr>
                    <w:t>9.0</w:t>
                  </w:r>
                </w:p>
              </w:tc>
              <w:tc>
                <w:tcPr>
                  <w:tcW w:w="3091"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下风向最大浓度出现距离</w:t>
                  </w:r>
                </w:p>
              </w:tc>
              <w:tc>
                <w:tcPr>
                  <w:tcW w:w="3091" w:type="dxa"/>
                  <w:vAlign w:val="center"/>
                </w:tcPr>
                <w:p>
                  <w:pPr>
                    <w:jc w:val="center"/>
                    <w:rPr>
                      <w:color w:val="auto"/>
                    </w:rPr>
                  </w:pPr>
                  <w:r>
                    <w:rPr>
                      <w:color w:val="auto"/>
                    </w:rPr>
                    <w:t>1160.0</w:t>
                  </w:r>
                </w:p>
              </w:tc>
              <w:tc>
                <w:tcPr>
                  <w:tcW w:w="3091" w:type="dxa"/>
                  <w:vAlign w:val="center"/>
                </w:tcPr>
                <w:p>
                  <w:pPr>
                    <w:jc w:val="center"/>
                    <w:rPr>
                      <w:color w:val="auto"/>
                    </w:rPr>
                  </w:pPr>
                  <w:r>
                    <w:rPr>
                      <w:color w:val="auto"/>
                    </w:rPr>
                    <w:t>1160.0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04" w:type="dxa"/>
                  <w:vAlign w:val="center"/>
                </w:tcPr>
                <w:p>
                  <w:pPr>
                    <w:jc w:val="center"/>
                    <w:rPr>
                      <w:color w:val="auto"/>
                    </w:rPr>
                  </w:pPr>
                  <w:r>
                    <w:rPr>
                      <w:color w:val="auto"/>
                    </w:rPr>
                    <w:t>D10%最远距离</w:t>
                  </w:r>
                </w:p>
              </w:tc>
              <w:tc>
                <w:tcPr>
                  <w:tcW w:w="3091" w:type="dxa"/>
                  <w:vAlign w:val="center"/>
                </w:tcPr>
                <w:p>
                  <w:pPr>
                    <w:jc w:val="center"/>
                    <w:rPr>
                      <w:color w:val="auto"/>
                    </w:rPr>
                  </w:pPr>
                  <w:r>
                    <w:rPr>
                      <w:color w:val="auto"/>
                    </w:rPr>
                    <w:t>/</w:t>
                  </w:r>
                </w:p>
              </w:tc>
              <w:tc>
                <w:tcPr>
                  <w:tcW w:w="3091" w:type="dxa"/>
                  <w:vAlign w:val="center"/>
                </w:tcPr>
                <w:p>
                  <w:pPr>
                    <w:jc w:val="center"/>
                    <w:rPr>
                      <w:color w:val="auto"/>
                    </w:rPr>
                  </w:pPr>
                  <w:r>
                    <w:rPr>
                      <w:color w:val="auto"/>
                    </w:rPr>
                    <w:t>/</w:t>
                  </w:r>
                </w:p>
              </w:tc>
            </w:tr>
          </w:tbl>
          <w:p>
            <w:pPr>
              <w:adjustRightInd w:val="0"/>
              <w:spacing w:line="360" w:lineRule="auto"/>
              <w:ind w:firstLine="520" w:firstLineChars="200"/>
              <w:rPr>
                <w:color w:val="auto"/>
                <w:spacing w:val="10"/>
                <w:sz w:val="24"/>
                <w:lang w:val="en-US" w:eastAsia="zh-CN"/>
              </w:rPr>
            </w:pPr>
            <w:r>
              <w:rPr>
                <w:rFonts w:hint="eastAsia"/>
                <w:color w:val="auto"/>
                <w:spacing w:val="10"/>
                <w:sz w:val="24"/>
              </w:rPr>
              <w:t>综上</w:t>
            </w:r>
            <w:r>
              <w:rPr>
                <w:color w:val="auto"/>
                <w:spacing w:val="10"/>
                <w:sz w:val="24"/>
              </w:rPr>
              <w:t>，项目废气中</w:t>
            </w:r>
            <w:r>
              <w:rPr>
                <w:rFonts w:hint="eastAsia"/>
                <w:color w:val="auto"/>
                <w:spacing w:val="10"/>
                <w:sz w:val="24"/>
              </w:rPr>
              <w:t>TSP</w:t>
            </w:r>
            <w:r>
              <w:rPr>
                <w:color w:val="auto"/>
                <w:spacing w:val="10"/>
                <w:sz w:val="24"/>
              </w:rPr>
              <w:t>有组织排放下风向最大落地浓度为</w:t>
            </w:r>
            <w:r>
              <w:rPr>
                <w:rFonts w:hint="eastAsia"/>
                <w:color w:val="auto"/>
                <w:spacing w:val="10"/>
                <w:sz w:val="24"/>
                <w:lang w:val="en-US" w:eastAsia="zh-CN"/>
              </w:rPr>
              <w:t>9.0</w:t>
            </w:r>
            <w:r>
              <w:rPr>
                <w:color w:val="auto"/>
                <w:spacing w:val="10"/>
                <w:sz w:val="24"/>
              </w:rPr>
              <w:t>μg/m</w:t>
            </w:r>
            <w:r>
              <w:rPr>
                <w:color w:val="auto"/>
                <w:spacing w:val="10"/>
                <w:sz w:val="24"/>
                <w:vertAlign w:val="superscript"/>
              </w:rPr>
              <w:t>3</w:t>
            </w:r>
            <w:r>
              <w:rPr>
                <w:color w:val="auto"/>
                <w:spacing w:val="10"/>
                <w:sz w:val="24"/>
              </w:rPr>
              <w:t>，最大占标率为1.</w:t>
            </w:r>
            <w:r>
              <w:rPr>
                <w:rFonts w:hint="eastAsia"/>
                <w:color w:val="auto"/>
                <w:spacing w:val="10"/>
                <w:sz w:val="24"/>
                <w:lang w:val="en-US" w:eastAsia="zh-CN"/>
              </w:rPr>
              <w:t>0</w:t>
            </w:r>
            <w:r>
              <w:rPr>
                <w:color w:val="auto"/>
                <w:spacing w:val="10"/>
                <w:sz w:val="24"/>
              </w:rPr>
              <w:t>%，最大落地距离为</w:t>
            </w:r>
            <w:r>
              <w:rPr>
                <w:rFonts w:hint="eastAsia"/>
                <w:color w:val="auto"/>
                <w:spacing w:val="10"/>
                <w:sz w:val="24"/>
                <w:lang w:val="en-US" w:eastAsia="zh-CN"/>
              </w:rPr>
              <w:t>1160</w:t>
            </w:r>
            <w:r>
              <w:rPr>
                <w:color w:val="auto"/>
                <w:spacing w:val="10"/>
                <w:sz w:val="24"/>
              </w:rPr>
              <w:t>m。</w:t>
            </w:r>
          </w:p>
          <w:p>
            <w:pPr>
              <w:adjustRightInd w:val="0"/>
              <w:spacing w:line="360" w:lineRule="auto"/>
              <w:ind w:firstLine="520" w:firstLineChars="200"/>
              <w:rPr>
                <w:color w:val="auto"/>
                <w:spacing w:val="10"/>
                <w:sz w:val="24"/>
              </w:rPr>
            </w:pPr>
            <w:r>
              <w:rPr>
                <w:color w:val="auto"/>
                <w:spacing w:val="10"/>
                <w:sz w:val="24"/>
              </w:rPr>
              <w:t>项目所在区域为环境质量达标区域，根据估算结果可知，项目属于二级评价。</w:t>
            </w:r>
          </w:p>
          <w:p>
            <w:pPr>
              <w:adjustRightInd w:val="0"/>
              <w:spacing w:line="360" w:lineRule="auto"/>
              <w:ind w:firstLine="520" w:firstLineChars="200"/>
              <w:rPr>
                <w:rFonts w:hint="eastAsia"/>
                <w:color w:val="auto"/>
                <w:spacing w:val="10"/>
                <w:sz w:val="24"/>
                <w:lang w:val="en-US" w:eastAsia="zh-CN"/>
              </w:rPr>
            </w:pPr>
            <w:r>
              <w:rPr>
                <w:rFonts w:hint="eastAsia"/>
                <w:color w:val="auto"/>
                <w:spacing w:val="10"/>
                <w:sz w:val="24"/>
                <w:lang w:eastAsia="zh-CN"/>
              </w:rPr>
              <w:t>（</w:t>
            </w:r>
            <w:r>
              <w:rPr>
                <w:rFonts w:hint="eastAsia"/>
                <w:color w:val="auto"/>
                <w:spacing w:val="10"/>
                <w:sz w:val="24"/>
                <w:lang w:val="en-US" w:eastAsia="zh-CN"/>
              </w:rPr>
              <w:t>2）</w:t>
            </w:r>
            <w:r>
              <w:rPr>
                <w:rFonts w:hint="eastAsia"/>
                <w:color w:val="auto"/>
                <w:spacing w:val="10"/>
                <w:sz w:val="24"/>
                <w:lang w:eastAsia="zh-CN"/>
              </w:rPr>
              <w:t>无组织废气预测结果见表</w:t>
            </w:r>
            <w:r>
              <w:rPr>
                <w:rFonts w:hint="eastAsia"/>
                <w:color w:val="auto"/>
                <w:spacing w:val="10"/>
                <w:sz w:val="24"/>
                <w:lang w:val="en-US" w:eastAsia="zh-CN"/>
              </w:rPr>
              <w:t>7-6：</w:t>
            </w:r>
          </w:p>
          <w:p>
            <w:pPr>
              <w:spacing w:line="360" w:lineRule="auto"/>
              <w:jc w:val="center"/>
              <w:rPr>
                <w:rFonts w:ascii="Times New Roman" w:hAnsi="Times New Roman" w:eastAsia="宋体" w:cs="Times New Roman"/>
                <w:b/>
                <w:color w:val="auto"/>
                <w:kern w:val="0"/>
                <w:sz w:val="21"/>
                <w:szCs w:val="21"/>
                <w:lang w:val="en-US" w:eastAsia="zh-CN" w:bidi="ar-SA"/>
              </w:rPr>
            </w:pPr>
            <w:r>
              <w:rPr>
                <w:rFonts w:ascii="Times New Roman" w:hAnsi="Times New Roman" w:eastAsia="宋体" w:cs="Times New Roman"/>
                <w:b/>
                <w:color w:val="auto"/>
                <w:kern w:val="0"/>
                <w:sz w:val="21"/>
                <w:szCs w:val="21"/>
                <w:lang w:val="en-US" w:eastAsia="zh-CN" w:bidi="ar-SA"/>
              </w:rPr>
              <w:t>表</w:t>
            </w:r>
            <w:r>
              <w:rPr>
                <w:rFonts w:hint="eastAsia" w:cs="Times New Roman"/>
                <w:b/>
                <w:color w:val="auto"/>
                <w:kern w:val="0"/>
                <w:sz w:val="21"/>
                <w:szCs w:val="21"/>
                <w:lang w:val="en-US" w:eastAsia="zh-CN" w:bidi="ar-SA"/>
              </w:rPr>
              <w:t>7-6</w:t>
            </w:r>
            <w:r>
              <w:rPr>
                <w:rFonts w:ascii="Times New Roman" w:hAnsi="Times New Roman" w:eastAsia="宋体" w:cs="Times New Roman"/>
                <w:b/>
                <w:color w:val="auto"/>
                <w:kern w:val="0"/>
                <w:sz w:val="21"/>
                <w:szCs w:val="21"/>
                <w:lang w:val="en-US" w:eastAsia="zh-CN" w:bidi="ar-SA"/>
              </w:rPr>
              <w:t xml:space="preserve"> </w:t>
            </w:r>
            <w:r>
              <w:rPr>
                <w:rFonts w:hint="eastAsia" w:cs="Times New Roman"/>
                <w:b/>
                <w:color w:val="auto"/>
                <w:kern w:val="0"/>
                <w:sz w:val="21"/>
                <w:szCs w:val="21"/>
                <w:lang w:val="en-US" w:eastAsia="zh-CN" w:bidi="ar-SA"/>
              </w:rPr>
              <w:t>矩形面源</w:t>
            </w:r>
            <w:r>
              <w:rPr>
                <w:rFonts w:ascii="Times New Roman" w:hAnsi="Times New Roman" w:eastAsia="宋体" w:cs="Times New Roman"/>
                <w:b/>
                <w:color w:val="auto"/>
                <w:kern w:val="0"/>
                <w:sz w:val="21"/>
                <w:szCs w:val="21"/>
                <w:lang w:val="en-US" w:eastAsia="zh-CN" w:bidi="ar-SA"/>
              </w:rPr>
              <w:t>最大P</w:t>
            </w:r>
            <w:r>
              <w:rPr>
                <w:rFonts w:ascii="Times New Roman" w:hAnsi="Times New Roman" w:eastAsia="宋体" w:cs="Times New Roman"/>
                <w:b/>
                <w:color w:val="auto"/>
                <w:kern w:val="0"/>
                <w:sz w:val="21"/>
                <w:szCs w:val="21"/>
                <w:vertAlign w:val="subscript"/>
                <w:lang w:val="en-US" w:eastAsia="zh-CN" w:bidi="ar-SA"/>
              </w:rPr>
              <w:t>max</w:t>
            </w:r>
            <w:r>
              <w:rPr>
                <w:rFonts w:ascii="Times New Roman" w:hAnsi="Times New Roman" w:eastAsia="宋体" w:cs="Times New Roman"/>
                <w:b/>
                <w:color w:val="auto"/>
                <w:kern w:val="0"/>
                <w:sz w:val="21"/>
                <w:szCs w:val="21"/>
                <w:lang w:val="en-US" w:eastAsia="zh-CN" w:bidi="ar-SA"/>
              </w:rPr>
              <w:t>和D</w:t>
            </w:r>
            <w:r>
              <w:rPr>
                <w:rFonts w:ascii="Times New Roman" w:hAnsi="Times New Roman" w:eastAsia="宋体" w:cs="Times New Roman"/>
                <w:b/>
                <w:color w:val="auto"/>
                <w:kern w:val="0"/>
                <w:sz w:val="21"/>
                <w:szCs w:val="21"/>
                <w:vertAlign w:val="subscript"/>
                <w:lang w:val="en-US" w:eastAsia="zh-CN" w:bidi="ar-SA"/>
              </w:rPr>
              <w:t>10%</w:t>
            </w:r>
            <w:r>
              <w:rPr>
                <w:rFonts w:ascii="Times New Roman" w:hAnsi="Times New Roman" w:eastAsia="宋体" w:cs="Times New Roman"/>
                <w:b/>
                <w:color w:val="auto"/>
                <w:kern w:val="0"/>
                <w:sz w:val="21"/>
                <w:szCs w:val="21"/>
                <w:lang w:val="en-US" w:eastAsia="zh-CN" w:bidi="ar-SA"/>
              </w:rPr>
              <w:t>预测结果表</w:t>
            </w:r>
          </w:p>
          <w:tbl>
            <w:tblPr>
              <w:tblStyle w:val="3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0"/>
              <w:gridCol w:w="3048"/>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3190" w:type="dxa"/>
                  <w:vMerge w:val="restart"/>
                  <w:vAlign w:val="center"/>
                </w:tcPr>
                <w:p>
                  <w:pPr>
                    <w:jc w:val="center"/>
                    <w:rPr>
                      <w:b/>
                      <w:bCs/>
                      <w:color w:val="auto"/>
                    </w:rPr>
                  </w:pPr>
                  <w:r>
                    <w:rPr>
                      <w:b/>
                      <w:bCs/>
                      <w:color w:val="auto"/>
                    </w:rPr>
                    <w:t>下</w:t>
                  </w:r>
                  <w:r>
                    <w:rPr>
                      <w:rFonts w:hint="eastAsia"/>
                      <w:b/>
                      <w:bCs/>
                      <w:color w:val="auto"/>
                      <w:lang w:eastAsia="zh-CN"/>
                    </w:rPr>
                    <w:t>风</w:t>
                  </w:r>
                  <w:r>
                    <w:rPr>
                      <w:b/>
                      <w:bCs/>
                      <w:color w:val="auto"/>
                    </w:rPr>
                    <w:t>向距离(m)</w:t>
                  </w:r>
                </w:p>
              </w:tc>
              <w:tc>
                <w:tcPr>
                  <w:tcW w:w="6096" w:type="dxa"/>
                  <w:gridSpan w:val="2"/>
                  <w:vAlign w:val="center"/>
                </w:tcPr>
                <w:p>
                  <w:pPr>
                    <w:jc w:val="center"/>
                    <w:rPr>
                      <w:b/>
                      <w:bCs/>
                      <w:color w:val="auto"/>
                    </w:rPr>
                  </w:pPr>
                  <w:r>
                    <w:rPr>
                      <w:b/>
                      <w:bCs/>
                      <w:color w:val="auto"/>
                    </w:rPr>
                    <w:t>矩形面源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3190" w:type="dxa"/>
                  <w:vMerge w:val="continue"/>
                  <w:vAlign w:val="center"/>
                </w:tcPr>
                <w:p>
                  <w:pPr>
                    <w:jc w:val="center"/>
                    <w:rPr>
                      <w:rFonts w:ascii="Times New Roman" w:hAnsi="Times New Roman" w:cs="Times New Roman"/>
                      <w:b/>
                      <w:bCs/>
                      <w:color w:val="auto"/>
                      <w:sz w:val="24"/>
                      <w:szCs w:val="24"/>
                    </w:rPr>
                  </w:pPr>
                </w:p>
              </w:tc>
              <w:tc>
                <w:tcPr>
                  <w:tcW w:w="3048" w:type="dxa"/>
                  <w:vAlign w:val="center"/>
                </w:tcPr>
                <w:p>
                  <w:pPr>
                    <w:jc w:val="center"/>
                    <w:rPr>
                      <w:b/>
                      <w:bCs/>
                      <w:color w:val="auto"/>
                    </w:rPr>
                  </w:pPr>
                  <w:r>
                    <w:rPr>
                      <w:b/>
                      <w:bCs/>
                      <w:color w:val="auto"/>
                    </w:rPr>
                    <w:t>TSP浓度（ug/m</w:t>
                  </w:r>
                  <w:r>
                    <w:rPr>
                      <w:b/>
                      <w:bCs/>
                      <w:color w:val="auto"/>
                      <w:vertAlign w:val="superscript"/>
                    </w:rPr>
                    <w:t>3</w:t>
                  </w:r>
                  <w:r>
                    <w:rPr>
                      <w:b/>
                      <w:bCs/>
                      <w:color w:val="auto"/>
                    </w:rPr>
                    <w:t>）</w:t>
                  </w:r>
                </w:p>
              </w:tc>
              <w:tc>
                <w:tcPr>
                  <w:tcW w:w="3048" w:type="dxa"/>
                  <w:vAlign w:val="center"/>
                </w:tcPr>
                <w:p>
                  <w:pPr>
                    <w:jc w:val="center"/>
                    <w:rPr>
                      <w:b/>
                      <w:bCs/>
                      <w:color w:val="auto"/>
                    </w:rPr>
                  </w:pPr>
                  <w:r>
                    <w:rPr>
                      <w:b/>
                      <w:bCs/>
                      <w:color w:val="auto"/>
                    </w:rPr>
                    <w:t>TSP占标率（%）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1.0</w:t>
                  </w:r>
                </w:p>
              </w:tc>
              <w:tc>
                <w:tcPr>
                  <w:tcW w:w="3048" w:type="dxa"/>
                  <w:vAlign w:val="center"/>
                </w:tcPr>
                <w:p>
                  <w:pPr>
                    <w:jc w:val="center"/>
                    <w:rPr>
                      <w:color w:val="auto"/>
                    </w:rPr>
                  </w:pPr>
                  <w:r>
                    <w:rPr>
                      <w:color w:val="auto"/>
                    </w:rPr>
                    <w:t>53.0</w:t>
                  </w:r>
                </w:p>
              </w:tc>
              <w:tc>
                <w:tcPr>
                  <w:tcW w:w="3048" w:type="dxa"/>
                  <w:vAlign w:val="center"/>
                </w:tcPr>
                <w:p>
                  <w:pPr>
                    <w:jc w:val="center"/>
                    <w:rPr>
                      <w:color w:val="auto"/>
                    </w:rPr>
                  </w:pPr>
                  <w:r>
                    <w:rPr>
                      <w:color w:val="auto"/>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100.0</w:t>
                  </w:r>
                </w:p>
              </w:tc>
              <w:tc>
                <w:tcPr>
                  <w:tcW w:w="3048" w:type="dxa"/>
                  <w:vAlign w:val="center"/>
                </w:tcPr>
                <w:p>
                  <w:pPr>
                    <w:jc w:val="center"/>
                    <w:rPr>
                      <w:color w:val="auto"/>
                    </w:rPr>
                  </w:pPr>
                  <w:r>
                    <w:rPr>
                      <w:color w:val="auto"/>
                    </w:rPr>
                    <w:t>65.0</w:t>
                  </w:r>
                </w:p>
              </w:tc>
              <w:tc>
                <w:tcPr>
                  <w:tcW w:w="3048" w:type="dxa"/>
                  <w:vAlign w:val="center"/>
                </w:tcPr>
                <w:p>
                  <w:pPr>
                    <w:jc w:val="center"/>
                    <w:rPr>
                      <w:color w:val="auto"/>
                    </w:rPr>
                  </w:pPr>
                  <w:r>
                    <w:rPr>
                      <w:color w:val="auto"/>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200.0</w:t>
                  </w:r>
                </w:p>
              </w:tc>
              <w:tc>
                <w:tcPr>
                  <w:tcW w:w="3048" w:type="dxa"/>
                  <w:vAlign w:val="center"/>
                </w:tcPr>
                <w:p>
                  <w:pPr>
                    <w:jc w:val="center"/>
                    <w:rPr>
                      <w:color w:val="auto"/>
                    </w:rPr>
                  </w:pPr>
                  <w:r>
                    <w:rPr>
                      <w:color w:val="auto"/>
                    </w:rPr>
                    <w:t>44.0</w:t>
                  </w:r>
                </w:p>
              </w:tc>
              <w:tc>
                <w:tcPr>
                  <w:tcW w:w="3048" w:type="dxa"/>
                  <w:vAlign w:val="center"/>
                </w:tcPr>
                <w:p>
                  <w:pPr>
                    <w:jc w:val="center"/>
                    <w:rPr>
                      <w:color w:val="auto"/>
                    </w:rPr>
                  </w:pPr>
                  <w:r>
                    <w:rPr>
                      <w:color w:val="auto"/>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300.0</w:t>
                  </w:r>
                </w:p>
              </w:tc>
              <w:tc>
                <w:tcPr>
                  <w:tcW w:w="3048" w:type="dxa"/>
                  <w:vAlign w:val="center"/>
                </w:tcPr>
                <w:p>
                  <w:pPr>
                    <w:jc w:val="center"/>
                    <w:rPr>
                      <w:color w:val="auto"/>
                    </w:rPr>
                  </w:pPr>
                  <w:r>
                    <w:rPr>
                      <w:color w:val="auto"/>
                    </w:rPr>
                    <w:t>34.0</w:t>
                  </w:r>
                </w:p>
              </w:tc>
              <w:tc>
                <w:tcPr>
                  <w:tcW w:w="3048" w:type="dxa"/>
                  <w:vAlign w:val="center"/>
                </w:tcPr>
                <w:p>
                  <w:pPr>
                    <w:jc w:val="center"/>
                    <w:rPr>
                      <w:color w:val="auto"/>
                    </w:rPr>
                  </w:pPr>
                  <w:r>
                    <w:rPr>
                      <w:color w:val="auto"/>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400.0</w:t>
                  </w:r>
                </w:p>
              </w:tc>
              <w:tc>
                <w:tcPr>
                  <w:tcW w:w="3048" w:type="dxa"/>
                  <w:vAlign w:val="center"/>
                </w:tcPr>
                <w:p>
                  <w:pPr>
                    <w:jc w:val="center"/>
                    <w:rPr>
                      <w:color w:val="auto"/>
                    </w:rPr>
                  </w:pPr>
                  <w:r>
                    <w:rPr>
                      <w:color w:val="auto"/>
                    </w:rPr>
                    <w:t>28.0</w:t>
                  </w:r>
                </w:p>
              </w:tc>
              <w:tc>
                <w:tcPr>
                  <w:tcW w:w="3048" w:type="dxa"/>
                  <w:vAlign w:val="center"/>
                </w:tcPr>
                <w:p>
                  <w:pPr>
                    <w:jc w:val="center"/>
                    <w:rPr>
                      <w:color w:val="auto"/>
                    </w:rPr>
                  </w:pPr>
                  <w:r>
                    <w:rPr>
                      <w:color w:val="auto"/>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500.0</w:t>
                  </w:r>
                </w:p>
              </w:tc>
              <w:tc>
                <w:tcPr>
                  <w:tcW w:w="3048" w:type="dxa"/>
                  <w:vAlign w:val="center"/>
                </w:tcPr>
                <w:p>
                  <w:pPr>
                    <w:jc w:val="center"/>
                    <w:rPr>
                      <w:color w:val="auto"/>
                    </w:rPr>
                  </w:pPr>
                  <w:r>
                    <w:rPr>
                      <w:color w:val="auto"/>
                    </w:rPr>
                    <w:t>24.0</w:t>
                  </w:r>
                </w:p>
              </w:tc>
              <w:tc>
                <w:tcPr>
                  <w:tcW w:w="3048" w:type="dxa"/>
                  <w:vAlign w:val="center"/>
                </w:tcPr>
                <w:p>
                  <w:pPr>
                    <w:jc w:val="center"/>
                    <w:rPr>
                      <w:color w:val="auto"/>
                    </w:rPr>
                  </w:pPr>
                  <w:r>
                    <w:rPr>
                      <w:color w:val="auto"/>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600.0</w:t>
                  </w:r>
                </w:p>
              </w:tc>
              <w:tc>
                <w:tcPr>
                  <w:tcW w:w="3048" w:type="dxa"/>
                  <w:vAlign w:val="center"/>
                </w:tcPr>
                <w:p>
                  <w:pPr>
                    <w:jc w:val="center"/>
                    <w:rPr>
                      <w:color w:val="auto"/>
                    </w:rPr>
                  </w:pPr>
                  <w:r>
                    <w:rPr>
                      <w:color w:val="auto"/>
                    </w:rPr>
                    <w:t>21.0</w:t>
                  </w:r>
                </w:p>
              </w:tc>
              <w:tc>
                <w:tcPr>
                  <w:tcW w:w="3048" w:type="dxa"/>
                  <w:vAlign w:val="center"/>
                </w:tcPr>
                <w:p>
                  <w:pPr>
                    <w:jc w:val="center"/>
                    <w:rPr>
                      <w:color w:val="auto"/>
                    </w:rPr>
                  </w:pPr>
                  <w:r>
                    <w:rPr>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700.0</w:t>
                  </w:r>
                </w:p>
              </w:tc>
              <w:tc>
                <w:tcPr>
                  <w:tcW w:w="3048" w:type="dxa"/>
                  <w:vAlign w:val="center"/>
                </w:tcPr>
                <w:p>
                  <w:pPr>
                    <w:jc w:val="center"/>
                    <w:rPr>
                      <w:color w:val="auto"/>
                    </w:rPr>
                  </w:pPr>
                  <w:r>
                    <w:rPr>
                      <w:color w:val="auto"/>
                    </w:rPr>
                    <w:t>19.0</w:t>
                  </w:r>
                </w:p>
              </w:tc>
              <w:tc>
                <w:tcPr>
                  <w:tcW w:w="3048" w:type="dxa"/>
                  <w:vAlign w:val="center"/>
                </w:tcPr>
                <w:p>
                  <w:pPr>
                    <w:jc w:val="center"/>
                    <w:rPr>
                      <w:color w:val="auto"/>
                    </w:rPr>
                  </w:pPr>
                  <w:r>
                    <w:rPr>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800.0</w:t>
                  </w:r>
                </w:p>
              </w:tc>
              <w:tc>
                <w:tcPr>
                  <w:tcW w:w="3048" w:type="dxa"/>
                  <w:vAlign w:val="center"/>
                </w:tcPr>
                <w:p>
                  <w:pPr>
                    <w:jc w:val="center"/>
                    <w:rPr>
                      <w:color w:val="auto"/>
                    </w:rPr>
                  </w:pPr>
                  <w:r>
                    <w:rPr>
                      <w:color w:val="auto"/>
                    </w:rPr>
                    <w:t>17.0</w:t>
                  </w:r>
                </w:p>
              </w:tc>
              <w:tc>
                <w:tcPr>
                  <w:tcW w:w="3048" w:type="dxa"/>
                  <w:vAlign w:val="center"/>
                </w:tcPr>
                <w:p>
                  <w:pPr>
                    <w:jc w:val="center"/>
                    <w:rPr>
                      <w:color w:val="auto"/>
                    </w:rPr>
                  </w:pPr>
                  <w:r>
                    <w:rPr>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900.0</w:t>
                  </w:r>
                </w:p>
              </w:tc>
              <w:tc>
                <w:tcPr>
                  <w:tcW w:w="3048" w:type="dxa"/>
                  <w:vAlign w:val="center"/>
                </w:tcPr>
                <w:p>
                  <w:pPr>
                    <w:jc w:val="center"/>
                    <w:rPr>
                      <w:color w:val="auto"/>
                    </w:rPr>
                  </w:pPr>
                  <w:r>
                    <w:rPr>
                      <w:color w:val="auto"/>
                    </w:rPr>
                    <w:t>15.0</w:t>
                  </w:r>
                </w:p>
              </w:tc>
              <w:tc>
                <w:tcPr>
                  <w:tcW w:w="3048" w:type="dxa"/>
                  <w:vAlign w:val="center"/>
                </w:tcPr>
                <w:p>
                  <w:pPr>
                    <w:jc w:val="center"/>
                    <w:rPr>
                      <w:color w:val="auto"/>
                    </w:rPr>
                  </w:pPr>
                  <w:r>
                    <w:rPr>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1000.0</w:t>
                  </w:r>
                </w:p>
              </w:tc>
              <w:tc>
                <w:tcPr>
                  <w:tcW w:w="3048" w:type="dxa"/>
                  <w:vAlign w:val="center"/>
                </w:tcPr>
                <w:p>
                  <w:pPr>
                    <w:jc w:val="center"/>
                    <w:rPr>
                      <w:color w:val="auto"/>
                    </w:rPr>
                  </w:pPr>
                  <w:r>
                    <w:rPr>
                      <w:color w:val="auto"/>
                    </w:rPr>
                    <w:t>14.0</w:t>
                  </w:r>
                </w:p>
              </w:tc>
              <w:tc>
                <w:tcPr>
                  <w:tcW w:w="3048" w:type="dxa"/>
                  <w:vAlign w:val="center"/>
                </w:tcPr>
                <w:p>
                  <w:pPr>
                    <w:jc w:val="center"/>
                    <w:rPr>
                      <w:color w:val="auto"/>
                    </w:rPr>
                  </w:pPr>
                  <w:r>
                    <w:rPr>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1100.0</w:t>
                  </w:r>
                </w:p>
              </w:tc>
              <w:tc>
                <w:tcPr>
                  <w:tcW w:w="3048" w:type="dxa"/>
                  <w:vAlign w:val="center"/>
                </w:tcPr>
                <w:p>
                  <w:pPr>
                    <w:jc w:val="center"/>
                    <w:rPr>
                      <w:color w:val="auto"/>
                    </w:rPr>
                  </w:pPr>
                  <w:r>
                    <w:rPr>
                      <w:color w:val="auto"/>
                    </w:rPr>
                    <w:t>13.0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1200.0</w:t>
                  </w:r>
                </w:p>
              </w:tc>
              <w:tc>
                <w:tcPr>
                  <w:tcW w:w="3048" w:type="dxa"/>
                  <w:vAlign w:val="center"/>
                </w:tcPr>
                <w:p>
                  <w:pPr>
                    <w:jc w:val="center"/>
                    <w:rPr>
                      <w:color w:val="auto"/>
                    </w:rPr>
                  </w:pPr>
                  <w:r>
                    <w:rPr>
                      <w:color w:val="auto"/>
                    </w:rPr>
                    <w:t>12.0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1300.0</w:t>
                  </w:r>
                </w:p>
              </w:tc>
              <w:tc>
                <w:tcPr>
                  <w:tcW w:w="3048" w:type="dxa"/>
                  <w:vAlign w:val="center"/>
                </w:tcPr>
                <w:p>
                  <w:pPr>
                    <w:jc w:val="center"/>
                    <w:rPr>
                      <w:color w:val="auto"/>
                    </w:rPr>
                  </w:pPr>
                  <w:r>
                    <w:rPr>
                      <w:color w:val="auto"/>
                    </w:rPr>
                    <w:t>12.0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1400.0</w:t>
                  </w:r>
                </w:p>
              </w:tc>
              <w:tc>
                <w:tcPr>
                  <w:tcW w:w="3048" w:type="dxa"/>
                  <w:vAlign w:val="center"/>
                </w:tcPr>
                <w:p>
                  <w:pPr>
                    <w:jc w:val="center"/>
                    <w:rPr>
                      <w:color w:val="auto"/>
                    </w:rPr>
                  </w:pPr>
                  <w:r>
                    <w:rPr>
                      <w:color w:val="auto"/>
                    </w:rPr>
                    <w:t>11.0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1500.0</w:t>
                  </w:r>
                </w:p>
              </w:tc>
              <w:tc>
                <w:tcPr>
                  <w:tcW w:w="3048" w:type="dxa"/>
                  <w:vAlign w:val="center"/>
                </w:tcPr>
                <w:p>
                  <w:pPr>
                    <w:jc w:val="center"/>
                    <w:rPr>
                      <w:color w:val="auto"/>
                    </w:rPr>
                  </w:pPr>
                  <w:r>
                    <w:rPr>
                      <w:color w:val="auto"/>
                    </w:rPr>
                    <w:t>10.0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1600.0</w:t>
                  </w:r>
                </w:p>
              </w:tc>
              <w:tc>
                <w:tcPr>
                  <w:tcW w:w="3048" w:type="dxa"/>
                  <w:vAlign w:val="center"/>
                </w:tcPr>
                <w:p>
                  <w:pPr>
                    <w:jc w:val="center"/>
                    <w:rPr>
                      <w:color w:val="auto"/>
                    </w:rPr>
                  </w:pPr>
                  <w:r>
                    <w:rPr>
                      <w:color w:val="auto"/>
                    </w:rPr>
                    <w:t>10.0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1700.0</w:t>
                  </w:r>
                </w:p>
              </w:tc>
              <w:tc>
                <w:tcPr>
                  <w:tcW w:w="3048" w:type="dxa"/>
                  <w:vAlign w:val="center"/>
                </w:tcPr>
                <w:p>
                  <w:pPr>
                    <w:jc w:val="center"/>
                    <w:rPr>
                      <w:color w:val="auto"/>
                    </w:rPr>
                  </w:pPr>
                  <w:r>
                    <w:rPr>
                      <w:color w:val="auto"/>
                    </w:rPr>
                    <w:t>9.0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1800.0</w:t>
                  </w:r>
                </w:p>
              </w:tc>
              <w:tc>
                <w:tcPr>
                  <w:tcW w:w="3048" w:type="dxa"/>
                  <w:vAlign w:val="center"/>
                </w:tcPr>
                <w:p>
                  <w:pPr>
                    <w:jc w:val="center"/>
                    <w:rPr>
                      <w:color w:val="auto"/>
                    </w:rPr>
                  </w:pPr>
                  <w:r>
                    <w:rPr>
                      <w:color w:val="auto"/>
                    </w:rPr>
                    <w:t>9.0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rFonts w:hint="eastAsia" w:eastAsia="宋体"/>
                      <w:color w:val="auto"/>
                      <w:lang w:val="en-US" w:eastAsia="zh-CN"/>
                    </w:rPr>
                  </w:pPr>
                  <w:r>
                    <w:rPr>
                      <w:color w:val="auto"/>
                    </w:rPr>
                    <w:t>1</w:t>
                  </w:r>
                  <w:r>
                    <w:rPr>
                      <w:rFonts w:hint="eastAsia"/>
                      <w:color w:val="auto"/>
                      <w:lang w:val="en-US" w:eastAsia="zh-CN"/>
                    </w:rPr>
                    <w:t>900.0</w:t>
                  </w:r>
                </w:p>
              </w:tc>
              <w:tc>
                <w:tcPr>
                  <w:tcW w:w="3048" w:type="dxa"/>
                  <w:vAlign w:val="center"/>
                </w:tcPr>
                <w:p>
                  <w:pPr>
                    <w:jc w:val="center"/>
                    <w:rPr>
                      <w:color w:val="auto"/>
                    </w:rPr>
                  </w:pPr>
                  <w:r>
                    <w:rPr>
                      <w:color w:val="auto"/>
                    </w:rPr>
                    <w:t>9.0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rFonts w:hint="eastAsia" w:eastAsia="宋体"/>
                      <w:color w:val="auto"/>
                      <w:lang w:val="en-US" w:eastAsia="zh-CN"/>
                    </w:rPr>
                  </w:pPr>
                  <w:r>
                    <w:rPr>
                      <w:rFonts w:hint="eastAsia"/>
                      <w:color w:val="auto"/>
                      <w:lang w:val="en-US" w:eastAsia="zh-CN"/>
                    </w:rPr>
                    <w:t>2000.0</w:t>
                  </w:r>
                </w:p>
              </w:tc>
              <w:tc>
                <w:tcPr>
                  <w:tcW w:w="3048" w:type="dxa"/>
                  <w:vAlign w:val="center"/>
                </w:tcPr>
                <w:p>
                  <w:pPr>
                    <w:jc w:val="center"/>
                    <w:rPr>
                      <w:color w:val="auto"/>
                    </w:rPr>
                  </w:pPr>
                  <w:r>
                    <w:rPr>
                      <w:color w:val="auto"/>
                    </w:rPr>
                    <w:t>8.0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2100.0</w:t>
                  </w:r>
                </w:p>
              </w:tc>
              <w:tc>
                <w:tcPr>
                  <w:tcW w:w="3048" w:type="dxa"/>
                  <w:vAlign w:val="center"/>
                </w:tcPr>
                <w:p>
                  <w:pPr>
                    <w:jc w:val="center"/>
                    <w:rPr>
                      <w:color w:val="auto"/>
                    </w:rPr>
                  </w:pPr>
                  <w:r>
                    <w:rPr>
                      <w:color w:val="auto"/>
                    </w:rPr>
                    <w:t>8.0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2200.0</w:t>
                  </w:r>
                </w:p>
              </w:tc>
              <w:tc>
                <w:tcPr>
                  <w:tcW w:w="3048" w:type="dxa"/>
                  <w:vAlign w:val="center"/>
                </w:tcPr>
                <w:p>
                  <w:pPr>
                    <w:jc w:val="center"/>
                    <w:rPr>
                      <w:color w:val="auto"/>
                    </w:rPr>
                  </w:pPr>
                  <w:r>
                    <w:rPr>
                      <w:color w:val="auto"/>
                    </w:rPr>
                    <w:t>8.0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2300.0</w:t>
                  </w:r>
                </w:p>
              </w:tc>
              <w:tc>
                <w:tcPr>
                  <w:tcW w:w="3048" w:type="dxa"/>
                  <w:vAlign w:val="center"/>
                </w:tcPr>
                <w:p>
                  <w:pPr>
                    <w:jc w:val="center"/>
                    <w:rPr>
                      <w:color w:val="auto"/>
                    </w:rPr>
                  </w:pPr>
                  <w:r>
                    <w:rPr>
                      <w:color w:val="auto"/>
                    </w:rPr>
                    <w:t>7.0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rFonts w:hint="eastAsia" w:eastAsia="宋体"/>
                      <w:color w:val="auto"/>
                      <w:lang w:val="en-US" w:eastAsia="zh-CN"/>
                    </w:rPr>
                  </w:pPr>
                  <w:r>
                    <w:rPr>
                      <w:color w:val="auto"/>
                    </w:rPr>
                    <w:t>2</w:t>
                  </w:r>
                  <w:r>
                    <w:rPr>
                      <w:rFonts w:hint="eastAsia"/>
                      <w:color w:val="auto"/>
                      <w:lang w:val="en-US" w:eastAsia="zh-CN"/>
                    </w:rPr>
                    <w:t>400.0</w:t>
                  </w:r>
                </w:p>
              </w:tc>
              <w:tc>
                <w:tcPr>
                  <w:tcW w:w="3048" w:type="dxa"/>
                  <w:vAlign w:val="center"/>
                </w:tcPr>
                <w:p>
                  <w:pPr>
                    <w:jc w:val="center"/>
                    <w:rPr>
                      <w:color w:val="auto"/>
                    </w:rPr>
                  </w:pPr>
                  <w:r>
                    <w:rPr>
                      <w:color w:val="auto"/>
                    </w:rPr>
                    <w:t>7.0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2500.0</w:t>
                  </w:r>
                </w:p>
              </w:tc>
              <w:tc>
                <w:tcPr>
                  <w:tcW w:w="3048" w:type="dxa"/>
                  <w:vAlign w:val="center"/>
                </w:tcPr>
                <w:p>
                  <w:pPr>
                    <w:jc w:val="center"/>
                    <w:rPr>
                      <w:color w:val="auto"/>
                    </w:rPr>
                  </w:pPr>
                  <w:r>
                    <w:rPr>
                      <w:color w:val="auto"/>
                    </w:rPr>
                    <w:t>7.0</w:t>
                  </w:r>
                </w:p>
              </w:tc>
              <w:tc>
                <w:tcPr>
                  <w:tcW w:w="3048" w:type="dxa"/>
                  <w:vAlign w:val="center"/>
                </w:tcPr>
                <w:p>
                  <w:pPr>
                    <w:jc w:val="center"/>
                    <w:rPr>
                      <w:color w:val="auto"/>
                    </w:rPr>
                  </w:pPr>
                  <w:r>
                    <w:rPr>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下风向最大浓度</w:t>
                  </w:r>
                </w:p>
              </w:tc>
              <w:tc>
                <w:tcPr>
                  <w:tcW w:w="3048" w:type="dxa"/>
                  <w:vAlign w:val="center"/>
                </w:tcPr>
                <w:p>
                  <w:pPr>
                    <w:jc w:val="center"/>
                    <w:rPr>
                      <w:color w:val="auto"/>
                    </w:rPr>
                  </w:pPr>
                  <w:r>
                    <w:rPr>
                      <w:color w:val="auto"/>
                    </w:rPr>
                    <w:t>103.0</w:t>
                  </w:r>
                </w:p>
              </w:tc>
              <w:tc>
                <w:tcPr>
                  <w:tcW w:w="3048" w:type="dxa"/>
                  <w:vAlign w:val="center"/>
                </w:tcPr>
                <w:p>
                  <w:pPr>
                    <w:jc w:val="center"/>
                    <w:rPr>
                      <w:color w:val="auto"/>
                    </w:rPr>
                  </w:pPr>
                  <w:r>
                    <w:rPr>
                      <w:color w:val="auto"/>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下风向最大浓度出现距离</w:t>
                  </w:r>
                </w:p>
              </w:tc>
              <w:tc>
                <w:tcPr>
                  <w:tcW w:w="3048" w:type="dxa"/>
                  <w:vAlign w:val="center"/>
                </w:tcPr>
                <w:p>
                  <w:pPr>
                    <w:jc w:val="center"/>
                    <w:rPr>
                      <w:color w:val="auto"/>
                    </w:rPr>
                  </w:pPr>
                  <w:r>
                    <w:rPr>
                      <w:color w:val="auto"/>
                    </w:rPr>
                    <w:t>25.0</w:t>
                  </w:r>
                </w:p>
              </w:tc>
              <w:tc>
                <w:tcPr>
                  <w:tcW w:w="3048" w:type="dxa"/>
                  <w:vAlign w:val="center"/>
                </w:tcPr>
                <w:p>
                  <w:pPr>
                    <w:jc w:val="center"/>
                    <w:rPr>
                      <w:color w:val="auto"/>
                    </w:rPr>
                  </w:pPr>
                  <w:r>
                    <w:rPr>
                      <w:color w:val="auto"/>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190" w:type="dxa"/>
                  <w:vAlign w:val="center"/>
                </w:tcPr>
                <w:p>
                  <w:pPr>
                    <w:jc w:val="center"/>
                    <w:rPr>
                      <w:color w:val="auto"/>
                    </w:rPr>
                  </w:pPr>
                  <w:r>
                    <w:rPr>
                      <w:color w:val="auto"/>
                    </w:rPr>
                    <w:t>D10%最远距离</w:t>
                  </w:r>
                </w:p>
              </w:tc>
              <w:tc>
                <w:tcPr>
                  <w:tcW w:w="3048" w:type="dxa"/>
                  <w:vAlign w:val="center"/>
                </w:tcPr>
                <w:p>
                  <w:pPr>
                    <w:jc w:val="center"/>
                    <w:rPr>
                      <w:color w:val="auto"/>
                    </w:rPr>
                  </w:pPr>
                  <w:r>
                    <w:rPr>
                      <w:color w:val="auto"/>
                    </w:rPr>
                    <w:t>50.0</w:t>
                  </w:r>
                </w:p>
              </w:tc>
              <w:tc>
                <w:tcPr>
                  <w:tcW w:w="3048" w:type="dxa"/>
                  <w:vAlign w:val="center"/>
                </w:tcPr>
                <w:p>
                  <w:pPr>
                    <w:jc w:val="center"/>
                    <w:rPr>
                      <w:color w:val="auto"/>
                    </w:rPr>
                  </w:pPr>
                  <w:r>
                    <w:rPr>
                      <w:color w:val="auto"/>
                    </w:rPr>
                    <w:t>50.0</w:t>
                  </w:r>
                </w:p>
              </w:tc>
            </w:tr>
          </w:tbl>
          <w:p>
            <w:pPr>
              <w:pStyle w:val="2"/>
              <w:ind w:left="0" w:leftChars="0" w:firstLine="0" w:firstLineChars="0"/>
              <w:rPr>
                <w:rFonts w:hint="eastAsia"/>
                <w:color w:val="auto"/>
                <w:spacing w:val="10"/>
                <w:sz w:val="24"/>
                <w:lang w:val="en-US" w:eastAsia="zh-CN"/>
              </w:rPr>
            </w:pPr>
          </w:p>
          <w:p>
            <w:pPr>
              <w:adjustRightInd w:val="0"/>
              <w:spacing w:line="360" w:lineRule="auto"/>
              <w:ind w:firstLine="520" w:firstLineChars="200"/>
              <w:rPr>
                <w:rFonts w:hint="eastAsia"/>
                <w:color w:val="auto"/>
                <w:spacing w:val="10"/>
                <w:sz w:val="24"/>
              </w:rPr>
            </w:pPr>
            <w:r>
              <w:rPr>
                <w:rFonts w:hint="eastAsia"/>
                <w:color w:val="auto"/>
                <w:spacing w:val="10"/>
                <w:sz w:val="24"/>
              </w:rPr>
              <w:t>项目废气中TSP</w:t>
            </w:r>
            <w:r>
              <w:rPr>
                <w:rFonts w:hint="eastAsia"/>
                <w:color w:val="auto"/>
                <w:spacing w:val="10"/>
                <w:sz w:val="24"/>
                <w:lang w:eastAsia="zh-CN"/>
              </w:rPr>
              <w:t>无</w:t>
            </w:r>
            <w:r>
              <w:rPr>
                <w:rFonts w:hint="eastAsia"/>
                <w:color w:val="auto"/>
                <w:spacing w:val="10"/>
                <w:sz w:val="24"/>
              </w:rPr>
              <w:t>组织排放下风向最大落地浓度为</w:t>
            </w:r>
            <w:r>
              <w:rPr>
                <w:rFonts w:hint="eastAsia"/>
                <w:color w:val="auto"/>
                <w:spacing w:val="10"/>
                <w:sz w:val="24"/>
                <w:lang w:val="en-US" w:eastAsia="zh-CN"/>
              </w:rPr>
              <w:t>103.0</w:t>
            </w:r>
            <w:r>
              <w:rPr>
                <w:rFonts w:hint="eastAsia"/>
                <w:color w:val="auto"/>
                <w:spacing w:val="10"/>
                <w:sz w:val="24"/>
              </w:rPr>
              <w:t>μg/m</w:t>
            </w:r>
            <w:r>
              <w:rPr>
                <w:rFonts w:hint="eastAsia"/>
                <w:color w:val="auto"/>
                <w:spacing w:val="10"/>
                <w:sz w:val="24"/>
                <w:vertAlign w:val="superscript"/>
              </w:rPr>
              <w:t>3</w:t>
            </w:r>
            <w:r>
              <w:rPr>
                <w:rFonts w:hint="eastAsia"/>
                <w:color w:val="auto"/>
                <w:spacing w:val="10"/>
                <w:sz w:val="24"/>
              </w:rPr>
              <w:t>，最大占标率为1</w:t>
            </w:r>
            <w:r>
              <w:rPr>
                <w:rFonts w:hint="eastAsia"/>
                <w:color w:val="auto"/>
                <w:spacing w:val="10"/>
                <w:sz w:val="24"/>
                <w:lang w:val="en-US" w:eastAsia="zh-CN"/>
              </w:rPr>
              <w:t>1</w:t>
            </w:r>
            <w:r>
              <w:rPr>
                <w:rFonts w:hint="eastAsia"/>
                <w:color w:val="auto"/>
                <w:spacing w:val="10"/>
                <w:sz w:val="24"/>
              </w:rPr>
              <w:t>.</w:t>
            </w:r>
            <w:r>
              <w:rPr>
                <w:rFonts w:hint="eastAsia"/>
                <w:color w:val="auto"/>
                <w:spacing w:val="10"/>
                <w:sz w:val="24"/>
                <w:lang w:val="en-US" w:eastAsia="zh-CN"/>
              </w:rPr>
              <w:t>0</w:t>
            </w:r>
            <w:r>
              <w:rPr>
                <w:rFonts w:hint="eastAsia"/>
                <w:color w:val="auto"/>
                <w:spacing w:val="10"/>
                <w:sz w:val="24"/>
              </w:rPr>
              <w:t>%，最大落地距离为</w:t>
            </w:r>
            <w:r>
              <w:rPr>
                <w:rFonts w:hint="eastAsia"/>
                <w:color w:val="auto"/>
                <w:spacing w:val="10"/>
                <w:sz w:val="24"/>
                <w:lang w:val="en-US" w:eastAsia="zh-CN"/>
              </w:rPr>
              <w:t>25</w:t>
            </w:r>
            <w:r>
              <w:rPr>
                <w:rFonts w:hint="eastAsia"/>
                <w:color w:val="auto"/>
                <w:spacing w:val="10"/>
                <w:sz w:val="24"/>
              </w:rPr>
              <w:t>m，TSP无组织排放符合《环境空气质量标准》（GB3095-2012）</w:t>
            </w:r>
            <w:r>
              <w:rPr>
                <w:rFonts w:hint="eastAsia"/>
                <w:color w:val="auto"/>
                <w:spacing w:val="10"/>
                <w:sz w:val="24"/>
                <w:lang w:eastAsia="zh-CN"/>
              </w:rPr>
              <w:t>及</w:t>
            </w:r>
            <w:r>
              <w:rPr>
                <w:rFonts w:hint="eastAsia"/>
                <w:color w:val="FF0000"/>
                <w:spacing w:val="10"/>
                <w:sz w:val="24"/>
                <w:lang w:val="en-US" w:eastAsia="zh-CN"/>
              </w:rPr>
              <w:t>2018年修改单</w:t>
            </w:r>
            <w:r>
              <w:rPr>
                <w:rFonts w:hint="eastAsia"/>
                <w:color w:val="auto"/>
                <w:spacing w:val="10"/>
                <w:sz w:val="24"/>
              </w:rPr>
              <w:t>中TSP的要求。因此，项目污染物排放对所在区域环境空气影响不大，故对敏感点环境空气影响不大。</w:t>
            </w:r>
          </w:p>
          <w:p>
            <w:pPr>
              <w:adjustRightInd w:val="0"/>
              <w:spacing w:line="360" w:lineRule="auto"/>
              <w:ind w:firstLine="520" w:firstLineChars="200"/>
              <w:rPr>
                <w:rFonts w:hint="eastAsia"/>
                <w:color w:val="FF0000"/>
                <w:spacing w:val="10"/>
                <w:sz w:val="24"/>
                <w:lang w:val="en-US" w:eastAsia="zh-CN"/>
              </w:rPr>
            </w:pPr>
            <w:r>
              <w:rPr>
                <w:rFonts w:hint="eastAsia"/>
                <w:color w:val="FF0000"/>
                <w:spacing w:val="10"/>
                <w:sz w:val="24"/>
                <w:lang w:eastAsia="zh-CN"/>
              </w:rPr>
              <w:t>（</w:t>
            </w:r>
            <w:r>
              <w:rPr>
                <w:rFonts w:hint="eastAsia"/>
                <w:color w:val="FF0000"/>
                <w:spacing w:val="10"/>
                <w:sz w:val="24"/>
                <w:lang w:val="en-US" w:eastAsia="zh-CN"/>
              </w:rPr>
              <w:t>3）对下风向敏感点的影响</w:t>
            </w:r>
          </w:p>
          <w:p>
            <w:pPr>
              <w:adjustRightInd w:val="0"/>
              <w:spacing w:line="360" w:lineRule="auto"/>
              <w:ind w:firstLine="520" w:firstLineChars="200"/>
              <w:rPr>
                <w:rFonts w:hint="eastAsia"/>
                <w:color w:val="FF0000"/>
                <w:spacing w:val="10"/>
                <w:sz w:val="24"/>
                <w:lang w:val="en-US" w:eastAsia="zh-CN"/>
              </w:rPr>
            </w:pPr>
            <w:r>
              <w:rPr>
                <w:rFonts w:hint="eastAsia"/>
                <w:color w:val="FF0000"/>
                <w:spacing w:val="10"/>
                <w:sz w:val="24"/>
                <w:lang w:val="en-US" w:eastAsia="zh-CN"/>
              </w:rPr>
              <w:t>1）有组织废气对下风向敏感点的影响</w:t>
            </w:r>
          </w:p>
          <w:p>
            <w:pPr>
              <w:pStyle w:val="2"/>
              <w:rPr>
                <w:rFonts w:hint="eastAsia"/>
                <w:color w:val="FF0000"/>
                <w:spacing w:val="10"/>
                <w:sz w:val="24"/>
                <w:lang w:val="en-US" w:eastAsia="zh-CN"/>
              </w:rPr>
            </w:pPr>
            <w:r>
              <w:rPr>
                <w:rFonts w:hint="eastAsia"/>
                <w:color w:val="FF0000"/>
                <w:spacing w:val="10"/>
                <w:sz w:val="24"/>
                <w:lang w:val="en-US" w:eastAsia="zh-CN"/>
              </w:rPr>
              <w:t>预测结果见表7-7。</w:t>
            </w:r>
          </w:p>
          <w:p>
            <w:pPr>
              <w:spacing w:line="360" w:lineRule="auto"/>
              <w:jc w:val="center"/>
              <w:rPr>
                <w:rFonts w:ascii="Times New Roman" w:hAnsi="Times New Roman" w:eastAsia="宋体" w:cs="Times New Roman"/>
                <w:b/>
                <w:color w:val="FF0000"/>
                <w:kern w:val="0"/>
                <w:sz w:val="21"/>
                <w:szCs w:val="21"/>
                <w:lang w:val="en-US" w:eastAsia="zh-CN" w:bidi="ar-SA"/>
              </w:rPr>
            </w:pPr>
            <w:r>
              <w:rPr>
                <w:rFonts w:ascii="Times New Roman" w:hAnsi="Times New Roman" w:eastAsia="宋体" w:cs="Times New Roman"/>
                <w:b/>
                <w:color w:val="FF0000"/>
                <w:kern w:val="0"/>
                <w:sz w:val="21"/>
                <w:szCs w:val="21"/>
                <w:lang w:val="en-US" w:eastAsia="zh-CN" w:bidi="ar-SA"/>
              </w:rPr>
              <w:t>表</w:t>
            </w:r>
            <w:r>
              <w:rPr>
                <w:rFonts w:hint="eastAsia" w:cs="Times New Roman"/>
                <w:b/>
                <w:color w:val="FF0000"/>
                <w:kern w:val="0"/>
                <w:sz w:val="21"/>
                <w:szCs w:val="21"/>
                <w:lang w:val="en-US" w:eastAsia="zh-CN" w:bidi="ar-SA"/>
              </w:rPr>
              <w:t>7-7</w:t>
            </w:r>
            <w:r>
              <w:rPr>
                <w:rFonts w:ascii="Times New Roman" w:hAnsi="Times New Roman" w:eastAsia="宋体" w:cs="Times New Roman"/>
                <w:b/>
                <w:color w:val="FF0000"/>
                <w:kern w:val="0"/>
                <w:sz w:val="21"/>
                <w:szCs w:val="21"/>
                <w:lang w:val="en-US" w:eastAsia="zh-CN" w:bidi="ar-SA"/>
              </w:rPr>
              <w:t xml:space="preserve"> </w:t>
            </w:r>
            <w:r>
              <w:rPr>
                <w:rFonts w:hint="eastAsia" w:cs="Times New Roman"/>
                <w:b/>
                <w:color w:val="FF0000"/>
                <w:kern w:val="0"/>
                <w:sz w:val="21"/>
                <w:szCs w:val="21"/>
                <w:lang w:val="en-US" w:eastAsia="zh-CN" w:bidi="ar-SA"/>
              </w:rPr>
              <w:t>有</w:t>
            </w:r>
            <w:r>
              <w:rPr>
                <w:rFonts w:hint="eastAsia" w:ascii="Times New Roman" w:hAnsi="Times New Roman" w:eastAsia="宋体" w:cs="Times New Roman"/>
                <w:b/>
                <w:color w:val="FF0000"/>
                <w:kern w:val="0"/>
                <w:sz w:val="21"/>
                <w:szCs w:val="21"/>
                <w:lang w:val="en-US" w:eastAsia="zh-CN" w:bidi="ar-SA"/>
              </w:rPr>
              <w:t>组织废气对下风向敏感点的影响</w:t>
            </w:r>
            <w:r>
              <w:rPr>
                <w:rFonts w:ascii="Times New Roman" w:hAnsi="Times New Roman" w:eastAsia="宋体" w:cs="Times New Roman"/>
                <w:b/>
                <w:color w:val="FF0000"/>
                <w:kern w:val="0"/>
                <w:sz w:val="21"/>
                <w:szCs w:val="21"/>
                <w:lang w:val="en-US" w:eastAsia="zh-CN" w:bidi="ar-SA"/>
              </w:rPr>
              <w:t>预测结果表</w:t>
            </w:r>
          </w:p>
          <w:tbl>
            <w:tblPr>
              <w:tblStyle w:val="32"/>
              <w:tblW w:w="81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1228"/>
              <w:gridCol w:w="1151"/>
              <w:gridCol w:w="1144"/>
              <w:gridCol w:w="1922"/>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1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 w:val="21"/>
                      <w:szCs w:val="21"/>
                    </w:rPr>
                  </w:pPr>
                  <w:r>
                    <w:rPr>
                      <w:rFonts w:hint="eastAsia"/>
                      <w:b/>
                      <w:bCs/>
                      <w:color w:val="FF0000"/>
                      <w:sz w:val="21"/>
                      <w:szCs w:val="21"/>
                      <w:lang w:eastAsia="zh-CN"/>
                    </w:rPr>
                    <w:t>下风向敏感</w:t>
                  </w:r>
                  <w:r>
                    <w:rPr>
                      <w:b/>
                      <w:bCs/>
                      <w:color w:val="FF0000"/>
                      <w:sz w:val="21"/>
                      <w:szCs w:val="21"/>
                    </w:rPr>
                    <w:t>点信息</w:t>
                  </w:r>
                </w:p>
              </w:tc>
              <w:tc>
                <w:tcPr>
                  <w:tcW w:w="1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bCs/>
                      <w:color w:val="FF0000"/>
                      <w:sz w:val="21"/>
                      <w:szCs w:val="21"/>
                      <w:lang w:eastAsia="zh-CN"/>
                    </w:rPr>
                  </w:pPr>
                  <w:r>
                    <w:rPr>
                      <w:rFonts w:hint="eastAsia"/>
                      <w:b/>
                      <w:bCs/>
                      <w:color w:val="FF0000"/>
                      <w:sz w:val="21"/>
                      <w:szCs w:val="21"/>
                      <w:lang w:eastAsia="zh-CN"/>
                    </w:rPr>
                    <w:t>点源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1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名称</w:t>
                  </w:r>
                </w:p>
              </w:tc>
              <w:tc>
                <w:tcPr>
                  <w:tcW w:w="12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纬度</w:t>
                  </w:r>
                </w:p>
              </w:tc>
              <w:tc>
                <w:tcPr>
                  <w:tcW w:w="11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经度</w:t>
                  </w: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海拔</w:t>
                  </w:r>
                </w:p>
              </w:tc>
              <w:tc>
                <w:tcPr>
                  <w:tcW w:w="19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下风向</w:t>
                  </w:r>
                  <w:r>
                    <w:rPr>
                      <w:rFonts w:hint="eastAsia" w:ascii="Times New Roman" w:hAnsi="Times New Roman" w:cs="Times New Roman"/>
                      <w:b/>
                      <w:bCs/>
                      <w:color w:val="FF0000"/>
                      <w:sz w:val="21"/>
                      <w:szCs w:val="21"/>
                      <w:lang w:eastAsia="zh-CN"/>
                    </w:rPr>
                    <w:t>与</w:t>
                  </w:r>
                  <w:r>
                    <w:rPr>
                      <w:rFonts w:hint="eastAsia" w:cs="Times New Roman"/>
                      <w:b/>
                      <w:bCs/>
                      <w:color w:val="FF0000"/>
                      <w:sz w:val="21"/>
                      <w:szCs w:val="21"/>
                      <w:lang w:eastAsia="zh-CN"/>
                    </w:rPr>
                    <w:t>点</w:t>
                  </w:r>
                  <w:r>
                    <w:rPr>
                      <w:rFonts w:hint="eastAsia" w:ascii="Times New Roman" w:hAnsi="Times New Roman" w:cs="Times New Roman"/>
                      <w:b/>
                      <w:bCs/>
                      <w:color w:val="FF0000"/>
                      <w:sz w:val="21"/>
                      <w:szCs w:val="21"/>
                      <w:lang w:eastAsia="zh-CN"/>
                    </w:rPr>
                    <w:t>源</w:t>
                  </w:r>
                  <w:r>
                    <w:rPr>
                      <w:rFonts w:hint="eastAsia" w:ascii="Times New Roman" w:hAnsi="Times New Roman" w:cs="Times New Roman"/>
                      <w:b/>
                      <w:bCs/>
                      <w:color w:val="FF0000"/>
                      <w:sz w:val="21"/>
                      <w:szCs w:val="21"/>
                    </w:rPr>
                    <w:t>距离</w:t>
                  </w:r>
                </w:p>
              </w:tc>
              <w:tc>
                <w:tcPr>
                  <w:tcW w:w="1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 w:val="21"/>
                      <w:szCs w:val="21"/>
                    </w:rPr>
                  </w:pPr>
                  <w:r>
                    <w:rPr>
                      <w:b/>
                      <w:bCs/>
                      <w:color w:val="FF0000"/>
                      <w:sz w:val="21"/>
                      <w:szCs w:val="21"/>
                    </w:rPr>
                    <w:t>TSP</w:t>
                  </w:r>
                  <w:r>
                    <w:rPr>
                      <w:b/>
                      <w:bCs/>
                      <w:color w:val="FF0000"/>
                    </w:rPr>
                    <w:t>（ug/m</w:t>
                  </w:r>
                  <w:r>
                    <w:rPr>
                      <w:b/>
                      <w:bCs/>
                      <w:color w:val="FF0000"/>
                      <w:vertAlign w:val="superscript"/>
                    </w:rPr>
                    <w:t>3</w:t>
                  </w:r>
                  <w:r>
                    <w:rPr>
                      <w:b/>
                      <w:bCs/>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1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 w:val="21"/>
                      <w:szCs w:val="21"/>
                      <w:lang w:eastAsia="zh-CN"/>
                    </w:rPr>
                  </w:pPr>
                  <w:r>
                    <w:rPr>
                      <w:rFonts w:hint="eastAsia"/>
                      <w:color w:val="FF0000"/>
                      <w:sz w:val="21"/>
                      <w:szCs w:val="21"/>
                      <w:lang w:eastAsia="zh-CN"/>
                    </w:rPr>
                    <w:t>新光村</w:t>
                  </w:r>
                </w:p>
              </w:tc>
              <w:tc>
                <w:tcPr>
                  <w:tcW w:w="1228" w:type="dxa"/>
                  <w:tcBorders>
                    <w:top w:val="single" w:color="auto" w:sz="4" w:space="0"/>
                    <w:left w:val="single" w:color="auto" w:sz="4" w:space="0"/>
                    <w:bottom w:val="single" w:color="auto" w:sz="4" w:space="0"/>
                    <w:right w:val="single" w:color="auto" w:sz="4" w:space="0"/>
                  </w:tcBorders>
                  <w:vAlign w:val="center"/>
                </w:tcPr>
                <w:p>
                  <w:pPr>
                    <w:jc w:val="center"/>
                    <w:rPr>
                      <w:color w:val="FF0000"/>
                      <w:sz w:val="21"/>
                      <w:szCs w:val="21"/>
                    </w:rPr>
                  </w:pPr>
                  <w:r>
                    <w:rPr>
                      <w:color w:val="FF0000"/>
                    </w:rPr>
                    <w:t>116.082284</w:t>
                  </w:r>
                </w:p>
              </w:tc>
              <w:tc>
                <w:tcPr>
                  <w:tcW w:w="1151" w:type="dxa"/>
                  <w:tcBorders>
                    <w:top w:val="single" w:color="auto" w:sz="4" w:space="0"/>
                    <w:left w:val="single" w:color="auto" w:sz="4" w:space="0"/>
                    <w:bottom w:val="single" w:color="auto" w:sz="4" w:space="0"/>
                    <w:right w:val="single" w:color="auto" w:sz="4" w:space="0"/>
                  </w:tcBorders>
                  <w:vAlign w:val="center"/>
                </w:tcPr>
                <w:p>
                  <w:pPr>
                    <w:jc w:val="center"/>
                    <w:rPr>
                      <w:color w:val="FF0000"/>
                      <w:sz w:val="21"/>
                      <w:szCs w:val="21"/>
                    </w:rPr>
                  </w:pPr>
                  <w:r>
                    <w:rPr>
                      <w:color w:val="FF0000"/>
                    </w:rPr>
                    <w:t>23.356969</w:t>
                  </w:r>
                </w:p>
              </w:tc>
              <w:tc>
                <w:tcPr>
                  <w:tcW w:w="1144" w:type="dxa"/>
                  <w:tcBorders>
                    <w:top w:val="single" w:color="auto" w:sz="4" w:space="0"/>
                    <w:left w:val="single" w:color="auto" w:sz="4" w:space="0"/>
                    <w:bottom w:val="single" w:color="auto" w:sz="4" w:space="0"/>
                    <w:right w:val="single" w:color="auto" w:sz="4" w:space="0"/>
                  </w:tcBorders>
                  <w:vAlign w:val="center"/>
                </w:tcPr>
                <w:p>
                  <w:pPr>
                    <w:jc w:val="center"/>
                    <w:rPr>
                      <w:color w:val="FF0000"/>
                      <w:sz w:val="21"/>
                      <w:szCs w:val="21"/>
                    </w:rPr>
                  </w:pPr>
                  <w:r>
                    <w:rPr>
                      <w:color w:val="FF0000"/>
                    </w:rPr>
                    <w:t>17.0</w:t>
                  </w:r>
                </w:p>
              </w:tc>
              <w:tc>
                <w:tcPr>
                  <w:tcW w:w="1922" w:type="dxa"/>
                  <w:tcBorders>
                    <w:top w:val="single" w:color="auto" w:sz="4" w:space="0"/>
                    <w:left w:val="single" w:color="auto" w:sz="4" w:space="0"/>
                    <w:bottom w:val="single" w:color="auto" w:sz="4" w:space="0"/>
                    <w:right w:val="single" w:color="auto" w:sz="4" w:space="0"/>
                  </w:tcBorders>
                  <w:vAlign w:val="center"/>
                </w:tcPr>
                <w:p>
                  <w:pPr>
                    <w:jc w:val="center"/>
                    <w:rPr>
                      <w:color w:val="FF0000"/>
                      <w:sz w:val="21"/>
                      <w:szCs w:val="21"/>
                    </w:rPr>
                  </w:pPr>
                  <w:r>
                    <w:rPr>
                      <w:color w:val="FF0000"/>
                    </w:rPr>
                    <w:t>60.98</w:t>
                  </w:r>
                </w:p>
              </w:tc>
              <w:tc>
                <w:tcPr>
                  <w:tcW w:w="1566" w:type="dxa"/>
                  <w:tcBorders>
                    <w:top w:val="single" w:color="auto" w:sz="4" w:space="0"/>
                    <w:left w:val="single" w:color="auto" w:sz="4" w:space="0"/>
                    <w:bottom w:val="single" w:color="auto" w:sz="4" w:space="0"/>
                    <w:right w:val="single" w:color="auto" w:sz="4" w:space="0"/>
                  </w:tcBorders>
                  <w:vAlign w:val="center"/>
                </w:tcPr>
                <w:p>
                  <w:pPr>
                    <w:jc w:val="center"/>
                    <w:rPr>
                      <w:color w:val="FF0000"/>
                      <w:sz w:val="21"/>
                      <w:szCs w:val="21"/>
                    </w:rPr>
                  </w:pPr>
                  <w:r>
                    <w:rPr>
                      <w:color w:val="FF000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1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仁美村</w:t>
                  </w:r>
                </w:p>
              </w:tc>
              <w:tc>
                <w:tcPr>
                  <w:tcW w:w="1228" w:type="dxa"/>
                  <w:vAlign w:val="center"/>
                </w:tcPr>
                <w:p>
                  <w:pPr>
                    <w:jc w:val="center"/>
                    <w:rPr>
                      <w:color w:val="FF0000"/>
                      <w:sz w:val="21"/>
                      <w:szCs w:val="21"/>
                    </w:rPr>
                  </w:pPr>
                  <w:r>
                    <w:rPr>
                      <w:color w:val="FF0000"/>
                    </w:rPr>
                    <w:t>116.080321</w:t>
                  </w:r>
                </w:p>
              </w:tc>
              <w:tc>
                <w:tcPr>
                  <w:tcW w:w="1151" w:type="dxa"/>
                  <w:vAlign w:val="center"/>
                </w:tcPr>
                <w:p>
                  <w:pPr>
                    <w:jc w:val="center"/>
                    <w:rPr>
                      <w:color w:val="FF0000"/>
                      <w:sz w:val="21"/>
                      <w:szCs w:val="21"/>
                    </w:rPr>
                  </w:pPr>
                  <w:r>
                    <w:rPr>
                      <w:color w:val="FF0000"/>
                    </w:rPr>
                    <w:t>23.356353</w:t>
                  </w:r>
                </w:p>
              </w:tc>
              <w:tc>
                <w:tcPr>
                  <w:tcW w:w="1144" w:type="dxa"/>
                  <w:vAlign w:val="center"/>
                </w:tcPr>
                <w:p>
                  <w:pPr>
                    <w:jc w:val="center"/>
                    <w:rPr>
                      <w:color w:val="FF0000"/>
                      <w:sz w:val="21"/>
                      <w:szCs w:val="21"/>
                    </w:rPr>
                  </w:pPr>
                  <w:r>
                    <w:rPr>
                      <w:color w:val="FF0000"/>
                    </w:rPr>
                    <w:t>19.0</w:t>
                  </w:r>
                </w:p>
              </w:tc>
              <w:tc>
                <w:tcPr>
                  <w:tcW w:w="1922" w:type="dxa"/>
                  <w:vAlign w:val="center"/>
                </w:tcPr>
                <w:p>
                  <w:pPr>
                    <w:jc w:val="center"/>
                    <w:rPr>
                      <w:color w:val="FF0000"/>
                      <w:sz w:val="21"/>
                      <w:szCs w:val="21"/>
                    </w:rPr>
                  </w:pPr>
                  <w:r>
                    <w:rPr>
                      <w:color w:val="FF0000"/>
                    </w:rPr>
                    <w:t>251.11</w:t>
                  </w:r>
                </w:p>
              </w:tc>
              <w:tc>
                <w:tcPr>
                  <w:tcW w:w="1566" w:type="dxa"/>
                  <w:vAlign w:val="center"/>
                </w:tcPr>
                <w:p>
                  <w:pPr>
                    <w:jc w:val="center"/>
                    <w:rPr>
                      <w:color w:val="FF0000"/>
                      <w:sz w:val="21"/>
                      <w:szCs w:val="21"/>
                    </w:rPr>
                  </w:pPr>
                  <w:r>
                    <w:rPr>
                      <w:color w:val="FF0000"/>
                    </w:rPr>
                    <w:t>2.0</w:t>
                  </w:r>
                </w:p>
              </w:tc>
            </w:tr>
          </w:tbl>
          <w:p>
            <w:pPr>
              <w:adjustRightInd w:val="0"/>
              <w:spacing w:line="360" w:lineRule="auto"/>
              <w:ind w:firstLine="520" w:firstLineChars="200"/>
              <w:rPr>
                <w:rFonts w:hint="eastAsia" w:eastAsia="宋体"/>
                <w:color w:val="FF0000"/>
                <w:spacing w:val="10"/>
                <w:sz w:val="24"/>
                <w:lang w:val="en-US" w:eastAsia="zh-CN"/>
              </w:rPr>
            </w:pPr>
            <w:r>
              <w:rPr>
                <w:rFonts w:hint="eastAsia"/>
                <w:color w:val="FF0000"/>
                <w:spacing w:val="10"/>
                <w:sz w:val="24"/>
                <w:lang w:val="en-US" w:eastAsia="zh-CN"/>
              </w:rPr>
              <w:t>项目废气中TSP有组织排放对下风向敏感点新光村的贡献值为0，对仁美村的贡献值为2</w:t>
            </w:r>
            <w:r>
              <w:rPr>
                <w:rFonts w:hint="eastAsia"/>
                <w:b w:val="0"/>
                <w:bCs w:val="0"/>
                <w:color w:val="FF0000"/>
                <w:spacing w:val="10"/>
                <w:sz w:val="24"/>
                <w:lang w:val="en-US" w:eastAsia="zh-CN"/>
              </w:rPr>
              <w:t>.0</w:t>
            </w:r>
            <w:r>
              <w:rPr>
                <w:b w:val="0"/>
                <w:bCs w:val="0"/>
                <w:color w:val="FF0000"/>
              </w:rPr>
              <w:t>ug/m</w:t>
            </w:r>
            <w:r>
              <w:rPr>
                <w:b w:val="0"/>
                <w:bCs w:val="0"/>
                <w:color w:val="FF0000"/>
                <w:vertAlign w:val="superscript"/>
              </w:rPr>
              <w:t>3</w:t>
            </w:r>
            <w:r>
              <w:rPr>
                <w:rFonts w:hint="eastAsia"/>
                <w:b w:val="0"/>
                <w:bCs w:val="0"/>
                <w:color w:val="FF0000"/>
                <w:lang w:eastAsia="zh-CN"/>
              </w:rPr>
              <w:t>，</w:t>
            </w:r>
            <w:r>
              <w:rPr>
                <w:rFonts w:hint="eastAsia"/>
                <w:color w:val="FF0000"/>
                <w:spacing w:val="10"/>
                <w:sz w:val="24"/>
                <w:lang w:eastAsia="zh-CN"/>
              </w:rPr>
              <w:t>能满足</w:t>
            </w:r>
            <w:r>
              <w:rPr>
                <w:rFonts w:hint="eastAsia"/>
                <w:color w:val="FF0000"/>
                <w:spacing w:val="10"/>
                <w:sz w:val="24"/>
              </w:rPr>
              <w:t>《环境空气质量标准》（GB3095-2012）</w:t>
            </w:r>
            <w:r>
              <w:rPr>
                <w:rFonts w:hint="eastAsia"/>
                <w:color w:val="FF0000"/>
                <w:spacing w:val="10"/>
                <w:sz w:val="24"/>
                <w:lang w:eastAsia="zh-CN"/>
              </w:rPr>
              <w:t>及</w:t>
            </w:r>
            <w:r>
              <w:rPr>
                <w:rFonts w:hint="eastAsia"/>
                <w:color w:val="FF0000"/>
                <w:spacing w:val="10"/>
                <w:sz w:val="24"/>
                <w:lang w:val="en-US" w:eastAsia="zh-CN"/>
              </w:rPr>
              <w:t>2018年修改单</w:t>
            </w:r>
            <w:r>
              <w:rPr>
                <w:rFonts w:hint="eastAsia"/>
                <w:color w:val="FF0000"/>
                <w:spacing w:val="10"/>
                <w:sz w:val="24"/>
              </w:rPr>
              <w:t>中TSP的要求</w:t>
            </w:r>
            <w:r>
              <w:rPr>
                <w:rFonts w:hint="eastAsia"/>
                <w:color w:val="FF0000"/>
                <w:spacing w:val="10"/>
                <w:sz w:val="24"/>
                <w:lang w:eastAsia="zh-CN"/>
              </w:rPr>
              <w:t>。对下风向敏感点不会造成明显的影响。</w:t>
            </w:r>
          </w:p>
          <w:p>
            <w:pPr>
              <w:adjustRightInd w:val="0"/>
              <w:spacing w:line="360" w:lineRule="auto"/>
              <w:ind w:firstLine="520" w:firstLineChars="200"/>
              <w:rPr>
                <w:rFonts w:hint="eastAsia"/>
                <w:color w:val="FF0000"/>
                <w:spacing w:val="10"/>
                <w:sz w:val="24"/>
                <w:lang w:val="en-US" w:eastAsia="zh-CN"/>
              </w:rPr>
            </w:pPr>
            <w:r>
              <w:rPr>
                <w:rFonts w:hint="eastAsia"/>
                <w:color w:val="FF0000"/>
                <w:spacing w:val="10"/>
                <w:sz w:val="24"/>
                <w:lang w:val="en-US" w:eastAsia="zh-CN"/>
              </w:rPr>
              <w:t>2）无组织废气对下风向敏感点的影响</w:t>
            </w:r>
          </w:p>
          <w:p>
            <w:pPr>
              <w:adjustRightInd w:val="0"/>
              <w:spacing w:line="360" w:lineRule="auto"/>
              <w:ind w:firstLine="520" w:firstLineChars="200"/>
              <w:rPr>
                <w:rFonts w:hint="eastAsia"/>
                <w:color w:val="FF0000"/>
                <w:spacing w:val="10"/>
                <w:sz w:val="24"/>
                <w:lang w:val="en-US" w:eastAsia="zh-CN"/>
              </w:rPr>
            </w:pPr>
            <w:r>
              <w:rPr>
                <w:rFonts w:hint="eastAsia"/>
                <w:color w:val="FF0000"/>
                <w:spacing w:val="10"/>
                <w:sz w:val="24"/>
                <w:lang w:val="en-US" w:eastAsia="zh-CN"/>
              </w:rPr>
              <w:t>预测结果见表7-8。</w:t>
            </w:r>
          </w:p>
          <w:p>
            <w:pPr>
              <w:spacing w:line="360" w:lineRule="auto"/>
              <w:jc w:val="center"/>
              <w:rPr>
                <w:rFonts w:ascii="Times New Roman" w:hAnsi="Times New Roman" w:eastAsia="宋体" w:cs="Times New Roman"/>
                <w:b/>
                <w:color w:val="FF0000"/>
                <w:kern w:val="0"/>
                <w:sz w:val="21"/>
                <w:szCs w:val="21"/>
                <w:lang w:val="en-US" w:eastAsia="zh-CN" w:bidi="ar-SA"/>
              </w:rPr>
            </w:pPr>
            <w:r>
              <w:rPr>
                <w:rFonts w:ascii="Times New Roman" w:hAnsi="Times New Roman" w:eastAsia="宋体" w:cs="Times New Roman"/>
                <w:b/>
                <w:color w:val="FF0000"/>
                <w:kern w:val="0"/>
                <w:sz w:val="21"/>
                <w:szCs w:val="21"/>
                <w:lang w:val="en-US" w:eastAsia="zh-CN" w:bidi="ar-SA"/>
              </w:rPr>
              <w:t>表</w:t>
            </w:r>
            <w:r>
              <w:rPr>
                <w:rFonts w:hint="eastAsia" w:cs="Times New Roman"/>
                <w:b/>
                <w:color w:val="FF0000"/>
                <w:kern w:val="0"/>
                <w:sz w:val="21"/>
                <w:szCs w:val="21"/>
                <w:lang w:val="en-US" w:eastAsia="zh-CN" w:bidi="ar-SA"/>
              </w:rPr>
              <w:t>7-8</w:t>
            </w:r>
            <w:r>
              <w:rPr>
                <w:rFonts w:ascii="Times New Roman" w:hAnsi="Times New Roman" w:eastAsia="宋体" w:cs="Times New Roman"/>
                <w:b/>
                <w:color w:val="FF0000"/>
                <w:kern w:val="0"/>
                <w:sz w:val="21"/>
                <w:szCs w:val="21"/>
                <w:lang w:val="en-US" w:eastAsia="zh-CN" w:bidi="ar-SA"/>
              </w:rPr>
              <w:t xml:space="preserve"> </w:t>
            </w:r>
            <w:r>
              <w:rPr>
                <w:rFonts w:hint="eastAsia" w:ascii="Times New Roman" w:hAnsi="Times New Roman" w:eastAsia="宋体" w:cs="Times New Roman"/>
                <w:b/>
                <w:color w:val="FF0000"/>
                <w:kern w:val="0"/>
                <w:sz w:val="21"/>
                <w:szCs w:val="21"/>
                <w:lang w:val="en-US" w:eastAsia="zh-CN" w:bidi="ar-SA"/>
              </w:rPr>
              <w:t>无组织废气对下风向敏感点的影响</w:t>
            </w:r>
            <w:r>
              <w:rPr>
                <w:rFonts w:ascii="Times New Roman" w:hAnsi="Times New Roman" w:eastAsia="宋体" w:cs="Times New Roman"/>
                <w:b/>
                <w:color w:val="FF0000"/>
                <w:kern w:val="0"/>
                <w:sz w:val="21"/>
                <w:szCs w:val="21"/>
                <w:lang w:val="en-US" w:eastAsia="zh-CN" w:bidi="ar-SA"/>
              </w:rPr>
              <w:t>预测结果表</w:t>
            </w:r>
          </w:p>
          <w:tbl>
            <w:tblPr>
              <w:tblStyle w:val="32"/>
              <w:tblW w:w="81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258"/>
              <w:gridCol w:w="1151"/>
              <w:gridCol w:w="1144"/>
              <w:gridCol w:w="1922"/>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1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 w:val="21"/>
                      <w:szCs w:val="21"/>
                    </w:rPr>
                  </w:pPr>
                  <w:r>
                    <w:rPr>
                      <w:rFonts w:hint="eastAsia"/>
                      <w:b/>
                      <w:bCs/>
                      <w:color w:val="FF0000"/>
                      <w:sz w:val="21"/>
                      <w:szCs w:val="21"/>
                      <w:lang w:eastAsia="zh-CN"/>
                    </w:rPr>
                    <w:t>下风向敏感</w:t>
                  </w:r>
                  <w:r>
                    <w:rPr>
                      <w:b/>
                      <w:bCs/>
                      <w:color w:val="FF0000"/>
                      <w:sz w:val="21"/>
                      <w:szCs w:val="21"/>
                    </w:rPr>
                    <w:t>点信息</w:t>
                  </w:r>
                </w:p>
              </w:tc>
              <w:tc>
                <w:tcPr>
                  <w:tcW w:w="1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 w:val="21"/>
                      <w:szCs w:val="21"/>
                    </w:rPr>
                  </w:pPr>
                  <w:r>
                    <w:rPr>
                      <w:b/>
                      <w:bCs/>
                      <w:color w:val="FF0000"/>
                      <w:sz w:val="21"/>
                      <w:szCs w:val="21"/>
                    </w:rPr>
                    <w:t>矩形面源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1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名称</w:t>
                  </w:r>
                </w:p>
              </w:tc>
              <w:tc>
                <w:tcPr>
                  <w:tcW w:w="1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纬度</w:t>
                  </w:r>
                </w:p>
              </w:tc>
              <w:tc>
                <w:tcPr>
                  <w:tcW w:w="11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经度</w:t>
                  </w: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海拔</w:t>
                  </w:r>
                </w:p>
              </w:tc>
              <w:tc>
                <w:tcPr>
                  <w:tcW w:w="19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下风向</w:t>
                  </w:r>
                  <w:r>
                    <w:rPr>
                      <w:rFonts w:hint="eastAsia" w:ascii="Times New Roman" w:hAnsi="Times New Roman" w:cs="Times New Roman"/>
                      <w:b/>
                      <w:bCs/>
                      <w:color w:val="FF0000"/>
                      <w:sz w:val="21"/>
                      <w:szCs w:val="21"/>
                      <w:lang w:eastAsia="zh-CN"/>
                    </w:rPr>
                    <w:t>与面源</w:t>
                  </w:r>
                  <w:r>
                    <w:rPr>
                      <w:rFonts w:hint="eastAsia" w:ascii="Times New Roman" w:hAnsi="Times New Roman" w:cs="Times New Roman"/>
                      <w:b/>
                      <w:bCs/>
                      <w:color w:val="FF0000"/>
                      <w:sz w:val="21"/>
                      <w:szCs w:val="21"/>
                    </w:rPr>
                    <w:t>距离</w:t>
                  </w:r>
                </w:p>
              </w:tc>
              <w:tc>
                <w:tcPr>
                  <w:tcW w:w="1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 w:val="21"/>
                      <w:szCs w:val="21"/>
                    </w:rPr>
                  </w:pPr>
                  <w:r>
                    <w:rPr>
                      <w:b/>
                      <w:bCs/>
                      <w:color w:val="FF0000"/>
                      <w:sz w:val="21"/>
                      <w:szCs w:val="21"/>
                    </w:rPr>
                    <w:t>TSP</w:t>
                  </w:r>
                  <w:r>
                    <w:rPr>
                      <w:b/>
                      <w:bCs/>
                      <w:color w:val="FF0000"/>
                    </w:rPr>
                    <w:t>（ug/m</w:t>
                  </w:r>
                  <w:r>
                    <w:rPr>
                      <w:b/>
                      <w:bCs/>
                      <w:color w:val="FF0000"/>
                      <w:vertAlign w:val="superscript"/>
                    </w:rPr>
                    <w:t>3</w:t>
                  </w:r>
                  <w:r>
                    <w:rPr>
                      <w:b/>
                      <w:bCs/>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1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 w:val="21"/>
                      <w:szCs w:val="21"/>
                      <w:lang w:eastAsia="zh-CN"/>
                    </w:rPr>
                  </w:pPr>
                  <w:r>
                    <w:rPr>
                      <w:rFonts w:hint="eastAsia"/>
                      <w:color w:val="FF0000"/>
                      <w:sz w:val="21"/>
                      <w:szCs w:val="21"/>
                      <w:lang w:eastAsia="zh-CN"/>
                    </w:rPr>
                    <w:t>新光村</w:t>
                  </w:r>
                </w:p>
              </w:tc>
              <w:tc>
                <w:tcPr>
                  <w:tcW w:w="1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116.082284</w:t>
                  </w:r>
                </w:p>
              </w:tc>
              <w:tc>
                <w:tcPr>
                  <w:tcW w:w="11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23.356969</w:t>
                  </w: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17.0</w:t>
                  </w:r>
                </w:p>
              </w:tc>
              <w:tc>
                <w:tcPr>
                  <w:tcW w:w="19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48.68</w:t>
                  </w:r>
                </w:p>
              </w:tc>
              <w:tc>
                <w:tcPr>
                  <w:tcW w:w="1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1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仁美村</w:t>
                  </w:r>
                </w:p>
              </w:tc>
              <w:tc>
                <w:tcPr>
                  <w:tcW w:w="125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116.080321</w:t>
                  </w:r>
                </w:p>
              </w:tc>
              <w:tc>
                <w:tcPr>
                  <w:tcW w:w="115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23.356353</w:t>
                  </w:r>
                </w:p>
              </w:tc>
              <w:tc>
                <w:tcPr>
                  <w:tcW w:w="11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19.0</w:t>
                  </w:r>
                </w:p>
              </w:tc>
              <w:tc>
                <w:tcPr>
                  <w:tcW w:w="19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253.55</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 w:val="21"/>
                      <w:szCs w:val="21"/>
                    </w:rPr>
                  </w:pPr>
                  <w:r>
                    <w:rPr>
                      <w:color w:val="FF0000"/>
                      <w:sz w:val="21"/>
                      <w:szCs w:val="21"/>
                    </w:rPr>
                    <w:t>12.0</w:t>
                  </w:r>
                </w:p>
              </w:tc>
            </w:tr>
          </w:tbl>
          <w:p>
            <w:pPr>
              <w:adjustRightInd w:val="0"/>
              <w:spacing w:line="360" w:lineRule="auto"/>
              <w:ind w:firstLine="520" w:firstLineChars="200"/>
              <w:rPr>
                <w:rFonts w:hint="eastAsia" w:eastAsia="宋体"/>
                <w:color w:val="FF0000"/>
                <w:spacing w:val="10"/>
                <w:sz w:val="24"/>
                <w:lang w:val="en-US" w:eastAsia="zh-CN"/>
              </w:rPr>
            </w:pPr>
            <w:r>
              <w:rPr>
                <w:rFonts w:hint="eastAsia"/>
                <w:color w:val="FF0000"/>
                <w:spacing w:val="10"/>
                <w:sz w:val="24"/>
                <w:lang w:val="en-US" w:eastAsia="zh-CN"/>
              </w:rPr>
              <w:t>项目废气中TSP无组织排放对下风向敏感点新光村的贡献值为26.0</w:t>
            </w:r>
            <w:r>
              <w:rPr>
                <w:b w:val="0"/>
                <w:bCs w:val="0"/>
                <w:color w:val="FF0000"/>
              </w:rPr>
              <w:t>ug/m</w:t>
            </w:r>
            <w:r>
              <w:rPr>
                <w:b w:val="0"/>
                <w:bCs w:val="0"/>
                <w:color w:val="FF0000"/>
                <w:vertAlign w:val="superscript"/>
              </w:rPr>
              <w:t>3</w:t>
            </w:r>
            <w:r>
              <w:rPr>
                <w:rFonts w:hint="eastAsia"/>
                <w:color w:val="FF0000"/>
                <w:spacing w:val="10"/>
                <w:sz w:val="24"/>
                <w:lang w:val="en-US" w:eastAsia="zh-CN"/>
              </w:rPr>
              <w:t>，对仁美村的贡献值为12</w:t>
            </w:r>
            <w:r>
              <w:rPr>
                <w:rFonts w:hint="eastAsia"/>
                <w:b w:val="0"/>
                <w:bCs w:val="0"/>
                <w:color w:val="FF0000"/>
                <w:spacing w:val="10"/>
                <w:sz w:val="24"/>
                <w:lang w:val="en-US" w:eastAsia="zh-CN"/>
              </w:rPr>
              <w:t>.0</w:t>
            </w:r>
            <w:r>
              <w:rPr>
                <w:b w:val="0"/>
                <w:bCs w:val="0"/>
                <w:color w:val="FF0000"/>
              </w:rPr>
              <w:t>ug/m</w:t>
            </w:r>
            <w:r>
              <w:rPr>
                <w:b w:val="0"/>
                <w:bCs w:val="0"/>
                <w:color w:val="FF0000"/>
                <w:vertAlign w:val="superscript"/>
              </w:rPr>
              <w:t>3</w:t>
            </w:r>
            <w:r>
              <w:rPr>
                <w:rFonts w:hint="eastAsia"/>
                <w:b w:val="0"/>
                <w:bCs w:val="0"/>
                <w:color w:val="FF0000"/>
                <w:lang w:eastAsia="zh-CN"/>
              </w:rPr>
              <w:t>，</w:t>
            </w:r>
            <w:r>
              <w:rPr>
                <w:rFonts w:hint="eastAsia"/>
                <w:color w:val="FF0000"/>
                <w:spacing w:val="10"/>
                <w:sz w:val="24"/>
                <w:lang w:eastAsia="zh-CN"/>
              </w:rPr>
              <w:t>能满足</w:t>
            </w:r>
            <w:r>
              <w:rPr>
                <w:rFonts w:hint="eastAsia"/>
                <w:color w:val="FF0000"/>
                <w:spacing w:val="10"/>
                <w:sz w:val="24"/>
              </w:rPr>
              <w:t>《环境空气质量标准》（GB3095-2012）</w:t>
            </w:r>
            <w:r>
              <w:rPr>
                <w:rFonts w:hint="eastAsia"/>
                <w:color w:val="FF0000"/>
                <w:spacing w:val="10"/>
                <w:sz w:val="24"/>
                <w:lang w:eastAsia="zh-CN"/>
              </w:rPr>
              <w:t>及</w:t>
            </w:r>
            <w:r>
              <w:rPr>
                <w:rFonts w:hint="eastAsia"/>
                <w:color w:val="FF0000"/>
                <w:spacing w:val="10"/>
                <w:sz w:val="24"/>
                <w:lang w:val="en-US" w:eastAsia="zh-CN"/>
              </w:rPr>
              <w:t>2018年修改单</w:t>
            </w:r>
            <w:r>
              <w:rPr>
                <w:rFonts w:hint="eastAsia"/>
                <w:color w:val="FF0000"/>
                <w:spacing w:val="10"/>
                <w:sz w:val="24"/>
              </w:rPr>
              <w:t>中TSP的要求</w:t>
            </w:r>
            <w:r>
              <w:rPr>
                <w:rFonts w:hint="eastAsia"/>
                <w:color w:val="FF0000"/>
                <w:spacing w:val="10"/>
                <w:sz w:val="24"/>
                <w:lang w:eastAsia="zh-CN"/>
              </w:rPr>
              <w:t>。对下风向敏感点不会造成明显的影响。</w:t>
            </w:r>
          </w:p>
          <w:p>
            <w:pPr>
              <w:adjustRightInd w:val="0"/>
              <w:spacing w:line="360" w:lineRule="auto"/>
              <w:ind w:firstLine="482" w:firstLineChars="200"/>
              <w:rPr>
                <w:b/>
                <w:bCs/>
                <w:color w:val="auto"/>
                <w:sz w:val="24"/>
              </w:rPr>
            </w:pPr>
            <w:bookmarkStart w:id="7" w:name="_Toc477702084"/>
            <w:r>
              <w:rPr>
                <w:b/>
                <w:bCs/>
                <w:color w:val="auto"/>
                <w:sz w:val="24"/>
              </w:rPr>
              <w:t>二、</w:t>
            </w:r>
            <w:bookmarkEnd w:id="7"/>
            <w:r>
              <w:rPr>
                <w:b/>
                <w:bCs/>
                <w:color w:val="auto"/>
                <w:sz w:val="24"/>
              </w:rPr>
              <w:t>水环境影响分析</w:t>
            </w:r>
          </w:p>
          <w:p>
            <w:pPr>
              <w:adjustRightInd w:val="0"/>
              <w:spacing w:line="360" w:lineRule="auto"/>
              <w:ind w:firstLine="520" w:firstLineChars="200"/>
              <w:rPr>
                <w:color w:val="auto"/>
                <w:spacing w:val="10"/>
                <w:sz w:val="24"/>
              </w:rPr>
            </w:pPr>
            <w:r>
              <w:rPr>
                <w:color w:val="auto"/>
                <w:spacing w:val="10"/>
                <w:sz w:val="24"/>
              </w:rPr>
              <w:t>项目生产过程</w:t>
            </w:r>
            <w:r>
              <w:rPr>
                <w:rFonts w:hint="eastAsia"/>
                <w:color w:val="auto"/>
                <w:spacing w:val="10"/>
                <w:sz w:val="24"/>
                <w:lang w:eastAsia="zh-CN"/>
              </w:rPr>
              <w:t>不需生产用水，因此没有生产废水产生。</w:t>
            </w:r>
            <w:r>
              <w:rPr>
                <w:color w:val="auto"/>
                <w:spacing w:val="10"/>
                <w:sz w:val="24"/>
              </w:rPr>
              <w:t>员工生活污水</w:t>
            </w:r>
            <w:r>
              <w:rPr>
                <w:rFonts w:hint="eastAsia"/>
                <w:color w:val="auto"/>
                <w:spacing w:val="10"/>
                <w:sz w:val="24"/>
              </w:rPr>
              <w:t>经处理后回用于厂区绿化</w:t>
            </w:r>
            <w:r>
              <w:rPr>
                <w:color w:val="auto"/>
                <w:spacing w:val="10"/>
                <w:sz w:val="24"/>
              </w:rPr>
              <w:t>。</w:t>
            </w:r>
          </w:p>
          <w:p>
            <w:pPr>
              <w:adjustRightInd w:val="0"/>
              <w:spacing w:line="360" w:lineRule="auto"/>
              <w:ind w:firstLine="480" w:firstLineChars="200"/>
              <w:rPr>
                <w:color w:val="auto"/>
                <w:sz w:val="24"/>
              </w:rPr>
            </w:pPr>
            <w:r>
              <w:rPr>
                <w:color w:val="auto"/>
                <w:sz w:val="24"/>
              </w:rPr>
              <w:t>项目员工生活污水中的主要污染物为COD</w:t>
            </w:r>
            <w:r>
              <w:rPr>
                <w:color w:val="auto"/>
                <w:sz w:val="24"/>
                <w:vertAlign w:val="subscript"/>
              </w:rPr>
              <w:t>cr</w:t>
            </w:r>
            <w:r>
              <w:rPr>
                <w:color w:val="auto"/>
                <w:sz w:val="24"/>
              </w:rPr>
              <w:t>、BOD</w:t>
            </w:r>
            <w:r>
              <w:rPr>
                <w:color w:val="auto"/>
                <w:sz w:val="24"/>
                <w:vertAlign w:val="subscript"/>
              </w:rPr>
              <w:t>5</w:t>
            </w:r>
            <w:r>
              <w:rPr>
                <w:color w:val="auto"/>
                <w:sz w:val="24"/>
              </w:rPr>
              <w:t>、SS、NH</w:t>
            </w:r>
            <w:r>
              <w:rPr>
                <w:color w:val="auto"/>
                <w:sz w:val="24"/>
                <w:vertAlign w:val="subscript"/>
              </w:rPr>
              <w:t>3</w:t>
            </w:r>
            <w:r>
              <w:rPr>
                <w:color w:val="auto"/>
                <w:sz w:val="24"/>
              </w:rPr>
              <w:t>-N等。</w:t>
            </w:r>
            <w:r>
              <w:rPr>
                <w:bCs/>
                <w:color w:val="auto"/>
                <w:sz w:val="24"/>
              </w:rPr>
              <w:t>项目</w:t>
            </w:r>
            <w:r>
              <w:rPr>
                <w:color w:val="auto"/>
                <w:sz w:val="24"/>
              </w:rPr>
              <w:t>生活污水排放量约为</w:t>
            </w:r>
            <w:r>
              <w:rPr>
                <w:rFonts w:hint="eastAsia"/>
                <w:color w:val="auto"/>
                <w:sz w:val="24"/>
                <w:lang w:val="en-US" w:eastAsia="zh-CN"/>
              </w:rPr>
              <w:t>486</w:t>
            </w:r>
            <w:r>
              <w:rPr>
                <w:color w:val="auto"/>
                <w:sz w:val="24"/>
              </w:rPr>
              <w:t>t/a，经</w:t>
            </w:r>
            <w:r>
              <w:rPr>
                <w:rFonts w:hint="eastAsia"/>
                <w:color w:val="auto"/>
                <w:sz w:val="24"/>
                <w:lang w:eastAsia="zh-CN"/>
              </w:rPr>
              <w:t>生化池</w:t>
            </w:r>
            <w:r>
              <w:rPr>
                <w:rFonts w:hint="eastAsia"/>
                <w:color w:val="auto"/>
                <w:sz w:val="24"/>
              </w:rPr>
              <w:t>处理</w:t>
            </w:r>
            <w:r>
              <w:rPr>
                <w:color w:val="auto"/>
                <w:sz w:val="24"/>
              </w:rPr>
              <w:t>达到《城市污水再生利用 城市杂用水水质》（GB/T18920-2002）中城市绿化水质标准后</w:t>
            </w:r>
            <w:r>
              <w:rPr>
                <w:rFonts w:hint="eastAsia"/>
                <w:color w:val="auto"/>
                <w:sz w:val="24"/>
              </w:rPr>
              <w:t>用于厂内绿化</w:t>
            </w:r>
            <w:r>
              <w:rPr>
                <w:color w:val="auto"/>
                <w:sz w:val="24"/>
              </w:rPr>
              <w:t>。</w:t>
            </w:r>
          </w:p>
          <w:p>
            <w:pPr>
              <w:adjustRightInd w:val="0"/>
              <w:spacing w:line="360" w:lineRule="auto"/>
              <w:ind w:firstLine="480" w:firstLineChars="200"/>
              <w:rPr>
                <w:color w:val="auto"/>
                <w:sz w:val="24"/>
              </w:rPr>
            </w:pPr>
            <w:r>
              <w:rPr>
                <w:rFonts w:hint="eastAsia"/>
                <w:color w:val="auto"/>
                <w:sz w:val="24"/>
              </w:rPr>
              <w:t>生活污水回用于厂区绿化灌溉可行性分析：</w:t>
            </w:r>
          </w:p>
          <w:p>
            <w:pPr>
              <w:adjustRightInd w:val="0"/>
              <w:spacing w:line="360" w:lineRule="auto"/>
              <w:ind w:firstLine="480" w:firstLineChars="200"/>
              <w:rPr>
                <w:color w:val="auto"/>
                <w:sz w:val="24"/>
              </w:rPr>
            </w:pPr>
            <w:r>
              <w:rPr>
                <w:color w:val="auto"/>
                <w:sz w:val="24"/>
              </w:rPr>
              <w:t xml:space="preserve"> 1）水量分析</w:t>
            </w:r>
          </w:p>
          <w:p>
            <w:pPr>
              <w:adjustRightInd w:val="0"/>
              <w:spacing w:line="360" w:lineRule="auto"/>
              <w:ind w:firstLine="480" w:firstLineChars="200"/>
              <w:rPr>
                <w:color w:val="auto"/>
                <w:sz w:val="24"/>
              </w:rPr>
            </w:pPr>
            <w:r>
              <w:rPr>
                <w:color w:val="auto"/>
                <w:sz w:val="24"/>
              </w:rPr>
              <w:t>项目生活污水的日产生量为</w:t>
            </w:r>
            <w:r>
              <w:rPr>
                <w:rFonts w:hint="eastAsia"/>
                <w:color w:val="auto"/>
                <w:sz w:val="24"/>
                <w:lang w:val="en-US" w:eastAsia="zh-CN"/>
              </w:rPr>
              <w:t>1.62</w:t>
            </w:r>
            <w:r>
              <w:rPr>
                <w:color w:val="auto"/>
                <w:sz w:val="24"/>
              </w:rPr>
              <w:t>t/d</w:t>
            </w:r>
            <w:r>
              <w:rPr>
                <w:rFonts w:hint="eastAsia"/>
                <w:color w:val="auto"/>
                <w:sz w:val="24"/>
              </w:rPr>
              <w:t>。</w:t>
            </w:r>
            <w:r>
              <w:rPr>
                <w:color w:val="auto"/>
                <w:sz w:val="24"/>
              </w:rPr>
              <w:t>根据经验值，1m</w:t>
            </w:r>
            <w:r>
              <w:rPr>
                <w:color w:val="auto"/>
                <w:sz w:val="24"/>
                <w:vertAlign w:val="superscript"/>
              </w:rPr>
              <w:t>2</w:t>
            </w:r>
            <w:r>
              <w:rPr>
                <w:color w:val="auto"/>
                <w:sz w:val="24"/>
              </w:rPr>
              <w:t>的</w:t>
            </w:r>
            <w:r>
              <w:rPr>
                <w:rFonts w:hint="eastAsia"/>
                <w:color w:val="auto"/>
                <w:sz w:val="24"/>
              </w:rPr>
              <w:t>绿化</w:t>
            </w:r>
            <w:r>
              <w:rPr>
                <w:color w:val="auto"/>
                <w:sz w:val="24"/>
              </w:rPr>
              <w:t>灌溉需要4L/d水量，计算可得：若项目产生生活污水能被完全消纳，需要有</w:t>
            </w:r>
            <w:r>
              <w:rPr>
                <w:rFonts w:hint="eastAsia"/>
                <w:color w:val="auto"/>
                <w:sz w:val="24"/>
                <w:lang w:val="en-US" w:eastAsia="zh-CN"/>
              </w:rPr>
              <w:t>405</w:t>
            </w:r>
            <w:r>
              <w:rPr>
                <w:color w:val="auto"/>
                <w:sz w:val="24"/>
              </w:rPr>
              <w:t>m</w:t>
            </w:r>
            <w:r>
              <w:rPr>
                <w:color w:val="auto"/>
                <w:sz w:val="24"/>
                <w:vertAlign w:val="superscript"/>
              </w:rPr>
              <w:t>2</w:t>
            </w:r>
            <w:r>
              <w:rPr>
                <w:color w:val="auto"/>
                <w:sz w:val="24"/>
              </w:rPr>
              <w:t>的林业灌溉面积。</w:t>
            </w:r>
            <w:r>
              <w:rPr>
                <w:rFonts w:hint="eastAsia"/>
                <w:color w:val="auto"/>
                <w:sz w:val="24"/>
              </w:rPr>
              <w:t>本项目</w:t>
            </w:r>
            <w:r>
              <w:rPr>
                <w:rFonts w:hint="eastAsia"/>
                <w:color w:val="00B050"/>
                <w:sz w:val="24"/>
              </w:rPr>
              <w:t>绿化面积</w:t>
            </w:r>
            <w:r>
              <w:rPr>
                <w:rFonts w:hint="eastAsia"/>
                <w:color w:val="00B050"/>
                <w:sz w:val="24"/>
                <w:lang w:val="en-US" w:eastAsia="zh-CN"/>
              </w:rPr>
              <w:t>500</w:t>
            </w:r>
            <w:r>
              <w:rPr>
                <w:color w:val="00B050"/>
                <w:sz w:val="24"/>
              </w:rPr>
              <w:t>m</w:t>
            </w:r>
            <w:r>
              <w:rPr>
                <w:color w:val="00B050"/>
                <w:sz w:val="24"/>
                <w:vertAlign w:val="superscript"/>
              </w:rPr>
              <w:t>2</w:t>
            </w:r>
            <w:r>
              <w:rPr>
                <w:rFonts w:hint="eastAsia"/>
                <w:color w:val="auto"/>
                <w:sz w:val="24"/>
              </w:rPr>
              <w:t>，</w:t>
            </w:r>
            <w:r>
              <w:rPr>
                <w:color w:val="auto"/>
                <w:sz w:val="24"/>
              </w:rPr>
              <w:t>从水量上分析，生活污水经处理后用于</w:t>
            </w:r>
            <w:r>
              <w:rPr>
                <w:rFonts w:hint="eastAsia"/>
                <w:color w:val="auto"/>
                <w:sz w:val="24"/>
              </w:rPr>
              <w:t>厂内绿化</w:t>
            </w:r>
            <w:r>
              <w:rPr>
                <w:color w:val="auto"/>
                <w:sz w:val="24"/>
              </w:rPr>
              <w:t>是可行的。</w:t>
            </w:r>
          </w:p>
          <w:p>
            <w:pPr>
              <w:adjustRightInd w:val="0"/>
              <w:spacing w:line="360" w:lineRule="auto"/>
              <w:ind w:firstLine="480" w:firstLineChars="200"/>
              <w:rPr>
                <w:color w:val="auto"/>
                <w:sz w:val="24"/>
              </w:rPr>
            </w:pPr>
            <w:r>
              <w:rPr>
                <w:color w:val="auto"/>
                <w:sz w:val="24"/>
              </w:rPr>
              <w:t>2）水质相符性</w:t>
            </w:r>
          </w:p>
          <w:p>
            <w:pPr>
              <w:spacing w:line="360" w:lineRule="auto"/>
              <w:ind w:firstLine="480" w:firstLineChars="200"/>
              <w:rPr>
                <w:bCs/>
                <w:color w:val="auto"/>
                <w:sz w:val="24"/>
              </w:rPr>
            </w:pPr>
            <w:r>
              <w:rPr>
                <w:rFonts w:hint="eastAsia"/>
                <w:bCs/>
                <w:color w:val="auto"/>
                <w:sz w:val="24"/>
              </w:rPr>
              <w:t>生活污水经</w:t>
            </w:r>
            <w:r>
              <w:rPr>
                <w:rFonts w:hint="eastAsia"/>
                <w:bCs/>
                <w:color w:val="auto"/>
                <w:sz w:val="24"/>
                <w:lang w:eastAsia="zh-CN"/>
              </w:rPr>
              <w:t>生化池</w:t>
            </w:r>
            <w:r>
              <w:rPr>
                <w:rFonts w:hint="eastAsia"/>
                <w:bCs/>
                <w:color w:val="auto"/>
                <w:sz w:val="24"/>
              </w:rPr>
              <w:t>处理达到</w:t>
            </w:r>
            <w:r>
              <w:rPr>
                <w:color w:val="auto"/>
                <w:sz w:val="24"/>
              </w:rPr>
              <w:t>《城市污水再生利用 城市杂用水水质》（GB/T18920-2002）中城市绿化水质标准</w:t>
            </w:r>
            <w:r>
              <w:rPr>
                <w:rFonts w:hint="eastAsia"/>
                <w:bCs/>
                <w:color w:val="auto"/>
                <w:sz w:val="24"/>
              </w:rPr>
              <w:t>后用于厂区绿化灌溉</w:t>
            </w:r>
            <w:r>
              <w:rPr>
                <w:bCs/>
                <w:color w:val="auto"/>
                <w:sz w:val="24"/>
              </w:rPr>
              <w:t>。</w:t>
            </w:r>
          </w:p>
          <w:p>
            <w:pPr>
              <w:pStyle w:val="103"/>
              <w:rPr>
                <w:rFonts w:eastAsia="宋体"/>
                <w:b/>
                <w:color w:val="auto"/>
                <w:sz w:val="21"/>
                <w:szCs w:val="21"/>
              </w:rPr>
            </w:pPr>
            <w:r>
              <w:rPr>
                <w:rFonts w:eastAsia="宋体"/>
                <w:b/>
                <w:color w:val="auto"/>
                <w:sz w:val="21"/>
                <w:szCs w:val="21"/>
              </w:rPr>
              <w:t>表7-</w:t>
            </w:r>
            <w:r>
              <w:rPr>
                <w:rFonts w:hint="eastAsia" w:eastAsia="宋体"/>
                <w:b/>
                <w:color w:val="auto"/>
                <w:sz w:val="21"/>
                <w:szCs w:val="21"/>
                <w:lang w:val="en-US" w:eastAsia="zh-CN"/>
              </w:rPr>
              <w:t>9</w:t>
            </w:r>
            <w:r>
              <w:rPr>
                <w:rFonts w:eastAsia="宋体"/>
                <w:b/>
                <w:color w:val="auto"/>
                <w:sz w:val="21"/>
                <w:szCs w:val="21"/>
              </w:rPr>
              <w:t>项目生活污水主要污染物产生及</w:t>
            </w:r>
            <w:r>
              <w:rPr>
                <w:rFonts w:hint="eastAsia" w:eastAsia="宋体"/>
                <w:b/>
                <w:color w:val="auto"/>
                <w:sz w:val="21"/>
                <w:szCs w:val="21"/>
              </w:rPr>
              <w:t>出水</w:t>
            </w:r>
            <w:r>
              <w:rPr>
                <w:rFonts w:eastAsia="宋体"/>
                <w:b/>
                <w:color w:val="auto"/>
                <w:sz w:val="21"/>
                <w:szCs w:val="21"/>
              </w:rPr>
              <w:t>情况一览表</w:t>
            </w:r>
          </w:p>
          <w:tbl>
            <w:tblPr>
              <w:tblStyle w:val="31"/>
              <w:tblW w:w="84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890"/>
              <w:gridCol w:w="1146"/>
              <w:gridCol w:w="1136"/>
              <w:gridCol w:w="1099"/>
              <w:gridCol w:w="1113"/>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47" w:type="dxa"/>
                  <w:gridSpan w:val="2"/>
                  <w:vMerge w:val="restart"/>
                  <w:vAlign w:val="center"/>
                </w:tcPr>
                <w:p>
                  <w:pPr>
                    <w:adjustRightInd w:val="0"/>
                    <w:snapToGrid w:val="0"/>
                    <w:jc w:val="center"/>
                    <w:rPr>
                      <w:b/>
                      <w:bCs/>
                      <w:color w:val="auto"/>
                      <w:szCs w:val="21"/>
                    </w:rPr>
                  </w:pPr>
                  <w:r>
                    <w:rPr>
                      <w:b/>
                      <w:bCs/>
                      <w:color w:val="auto"/>
                      <w:szCs w:val="21"/>
                    </w:rPr>
                    <w:t>污染物名称</w:t>
                  </w:r>
                </w:p>
              </w:tc>
              <w:tc>
                <w:tcPr>
                  <w:tcW w:w="1146" w:type="dxa"/>
                  <w:vMerge w:val="restart"/>
                  <w:vAlign w:val="center"/>
                </w:tcPr>
                <w:p>
                  <w:pPr>
                    <w:adjustRightInd w:val="0"/>
                    <w:snapToGrid w:val="0"/>
                    <w:jc w:val="center"/>
                    <w:rPr>
                      <w:b/>
                      <w:color w:val="auto"/>
                      <w:szCs w:val="21"/>
                    </w:rPr>
                  </w:pPr>
                  <w:r>
                    <w:rPr>
                      <w:b/>
                      <w:color w:val="auto"/>
                      <w:szCs w:val="21"/>
                    </w:rPr>
                    <w:t>产生浓度</w:t>
                  </w:r>
                </w:p>
                <w:p>
                  <w:pPr>
                    <w:adjustRightInd w:val="0"/>
                    <w:snapToGrid w:val="0"/>
                    <w:jc w:val="center"/>
                    <w:rPr>
                      <w:b/>
                      <w:color w:val="auto"/>
                      <w:szCs w:val="21"/>
                    </w:rPr>
                  </w:pPr>
                  <w:r>
                    <w:rPr>
                      <w:b/>
                      <w:color w:val="auto"/>
                      <w:szCs w:val="21"/>
                    </w:rPr>
                    <w:t>(mg/L)</w:t>
                  </w:r>
                </w:p>
              </w:tc>
              <w:tc>
                <w:tcPr>
                  <w:tcW w:w="2235" w:type="dxa"/>
                  <w:gridSpan w:val="2"/>
                  <w:vAlign w:val="center"/>
                </w:tcPr>
                <w:p>
                  <w:pPr>
                    <w:adjustRightInd w:val="0"/>
                    <w:snapToGrid w:val="0"/>
                    <w:jc w:val="center"/>
                    <w:rPr>
                      <w:b/>
                      <w:color w:val="auto"/>
                      <w:szCs w:val="21"/>
                    </w:rPr>
                  </w:pPr>
                  <w:r>
                    <w:rPr>
                      <w:b/>
                      <w:color w:val="auto"/>
                      <w:szCs w:val="21"/>
                    </w:rPr>
                    <w:t>产生量</w:t>
                  </w:r>
                </w:p>
              </w:tc>
              <w:tc>
                <w:tcPr>
                  <w:tcW w:w="1113" w:type="dxa"/>
                  <w:vMerge w:val="restart"/>
                  <w:vAlign w:val="center"/>
                </w:tcPr>
                <w:p>
                  <w:pPr>
                    <w:adjustRightInd w:val="0"/>
                    <w:snapToGrid w:val="0"/>
                    <w:jc w:val="center"/>
                    <w:rPr>
                      <w:b/>
                      <w:color w:val="auto"/>
                      <w:szCs w:val="21"/>
                    </w:rPr>
                  </w:pPr>
                  <w:r>
                    <w:rPr>
                      <w:rFonts w:hint="eastAsia"/>
                      <w:b/>
                      <w:color w:val="auto"/>
                      <w:szCs w:val="21"/>
                    </w:rPr>
                    <w:t>治理设施出水</w:t>
                  </w:r>
                  <w:r>
                    <w:rPr>
                      <w:b/>
                      <w:color w:val="auto"/>
                      <w:szCs w:val="21"/>
                    </w:rPr>
                    <w:t>浓度</w:t>
                  </w:r>
                </w:p>
                <w:p>
                  <w:pPr>
                    <w:adjustRightInd w:val="0"/>
                    <w:snapToGrid w:val="0"/>
                    <w:jc w:val="center"/>
                    <w:rPr>
                      <w:b/>
                      <w:color w:val="auto"/>
                      <w:szCs w:val="21"/>
                    </w:rPr>
                  </w:pPr>
                  <w:r>
                    <w:rPr>
                      <w:b/>
                      <w:color w:val="auto"/>
                      <w:szCs w:val="21"/>
                    </w:rPr>
                    <w:t>(mg/L)</w:t>
                  </w:r>
                </w:p>
              </w:tc>
              <w:tc>
                <w:tcPr>
                  <w:tcW w:w="1800" w:type="dxa"/>
                  <w:gridSpan w:val="2"/>
                  <w:vAlign w:val="center"/>
                </w:tcPr>
                <w:p>
                  <w:pPr>
                    <w:adjustRightInd w:val="0"/>
                    <w:snapToGrid w:val="0"/>
                    <w:jc w:val="center"/>
                    <w:rPr>
                      <w:b/>
                      <w:color w:val="auto"/>
                      <w:szCs w:val="21"/>
                    </w:rPr>
                  </w:pPr>
                  <w:r>
                    <w:rPr>
                      <w:rFonts w:hint="eastAsia"/>
                      <w:b/>
                      <w:color w:val="auto"/>
                      <w:szCs w:val="21"/>
                    </w:rPr>
                    <w:t>出水</w:t>
                  </w:r>
                  <w:r>
                    <w:rPr>
                      <w:b/>
                      <w:color w:val="auto"/>
                      <w:szCs w:val="21"/>
                    </w:rPr>
                    <w:t>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 w:hRule="atLeast"/>
                <w:jc w:val="center"/>
              </w:trPr>
              <w:tc>
                <w:tcPr>
                  <w:tcW w:w="2147" w:type="dxa"/>
                  <w:gridSpan w:val="2"/>
                  <w:vMerge w:val="continue"/>
                  <w:vAlign w:val="center"/>
                </w:tcPr>
                <w:p>
                  <w:pPr>
                    <w:adjustRightInd w:val="0"/>
                    <w:snapToGrid w:val="0"/>
                    <w:jc w:val="center"/>
                    <w:rPr>
                      <w:b/>
                      <w:bCs/>
                      <w:color w:val="auto"/>
                      <w:szCs w:val="21"/>
                    </w:rPr>
                  </w:pPr>
                </w:p>
              </w:tc>
              <w:tc>
                <w:tcPr>
                  <w:tcW w:w="1146" w:type="dxa"/>
                  <w:vMerge w:val="continue"/>
                  <w:vAlign w:val="center"/>
                </w:tcPr>
                <w:p>
                  <w:pPr>
                    <w:adjustRightInd w:val="0"/>
                    <w:snapToGrid w:val="0"/>
                    <w:jc w:val="center"/>
                    <w:rPr>
                      <w:b/>
                      <w:color w:val="auto"/>
                      <w:szCs w:val="21"/>
                    </w:rPr>
                  </w:pPr>
                </w:p>
              </w:tc>
              <w:tc>
                <w:tcPr>
                  <w:tcW w:w="1136" w:type="dxa"/>
                  <w:vAlign w:val="center"/>
                </w:tcPr>
                <w:p>
                  <w:pPr>
                    <w:adjustRightInd w:val="0"/>
                    <w:snapToGrid w:val="0"/>
                    <w:jc w:val="center"/>
                    <w:rPr>
                      <w:b/>
                      <w:color w:val="auto"/>
                      <w:szCs w:val="21"/>
                    </w:rPr>
                  </w:pPr>
                  <w:r>
                    <w:rPr>
                      <w:b/>
                      <w:color w:val="auto"/>
                      <w:szCs w:val="21"/>
                    </w:rPr>
                    <w:t>kg/d</w:t>
                  </w:r>
                </w:p>
              </w:tc>
              <w:tc>
                <w:tcPr>
                  <w:tcW w:w="1099" w:type="dxa"/>
                  <w:vAlign w:val="center"/>
                </w:tcPr>
                <w:p>
                  <w:pPr>
                    <w:adjustRightInd w:val="0"/>
                    <w:snapToGrid w:val="0"/>
                    <w:jc w:val="center"/>
                    <w:rPr>
                      <w:b/>
                      <w:color w:val="auto"/>
                      <w:szCs w:val="21"/>
                    </w:rPr>
                  </w:pPr>
                  <w:r>
                    <w:rPr>
                      <w:b/>
                      <w:color w:val="auto"/>
                      <w:szCs w:val="21"/>
                    </w:rPr>
                    <w:t>t/a</w:t>
                  </w:r>
                </w:p>
              </w:tc>
              <w:tc>
                <w:tcPr>
                  <w:tcW w:w="1113" w:type="dxa"/>
                  <w:vMerge w:val="continue"/>
                  <w:vAlign w:val="center"/>
                </w:tcPr>
                <w:p>
                  <w:pPr>
                    <w:adjustRightInd w:val="0"/>
                    <w:snapToGrid w:val="0"/>
                    <w:jc w:val="center"/>
                    <w:rPr>
                      <w:b/>
                      <w:color w:val="auto"/>
                      <w:szCs w:val="21"/>
                    </w:rPr>
                  </w:pPr>
                </w:p>
              </w:tc>
              <w:tc>
                <w:tcPr>
                  <w:tcW w:w="900" w:type="dxa"/>
                  <w:vAlign w:val="center"/>
                </w:tcPr>
                <w:p>
                  <w:pPr>
                    <w:adjustRightInd w:val="0"/>
                    <w:snapToGrid w:val="0"/>
                    <w:jc w:val="center"/>
                    <w:rPr>
                      <w:b/>
                      <w:color w:val="auto"/>
                      <w:szCs w:val="21"/>
                    </w:rPr>
                  </w:pPr>
                  <w:r>
                    <w:rPr>
                      <w:b/>
                      <w:color w:val="auto"/>
                      <w:szCs w:val="21"/>
                    </w:rPr>
                    <w:t>kg/d</w:t>
                  </w:r>
                </w:p>
              </w:tc>
              <w:tc>
                <w:tcPr>
                  <w:tcW w:w="900" w:type="dxa"/>
                  <w:vAlign w:val="center"/>
                </w:tcPr>
                <w:p>
                  <w:pPr>
                    <w:adjustRightInd w:val="0"/>
                    <w:snapToGrid w:val="0"/>
                    <w:jc w:val="center"/>
                    <w:rPr>
                      <w:b/>
                      <w:color w:val="auto"/>
                      <w:szCs w:val="21"/>
                    </w:rPr>
                  </w:pPr>
                  <w:r>
                    <w:rPr>
                      <w:b/>
                      <w:color w:val="auto"/>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restart"/>
                  <w:vAlign w:val="center"/>
                </w:tcPr>
                <w:p>
                  <w:pPr>
                    <w:adjustRightInd w:val="0"/>
                    <w:snapToGrid w:val="0"/>
                    <w:jc w:val="center"/>
                    <w:rPr>
                      <w:color w:val="auto"/>
                      <w:szCs w:val="21"/>
                    </w:rPr>
                  </w:pPr>
                  <w:r>
                    <w:rPr>
                      <w:color w:val="auto"/>
                      <w:szCs w:val="21"/>
                    </w:rPr>
                    <w:t>生活污水</w:t>
                  </w:r>
                  <w:r>
                    <w:rPr>
                      <w:rFonts w:hint="eastAsia"/>
                      <w:color w:val="auto"/>
                      <w:szCs w:val="21"/>
                      <w:lang w:val="en-US" w:eastAsia="zh-CN"/>
                    </w:rPr>
                    <w:t>1.62</w:t>
                  </w:r>
                  <w:r>
                    <w:rPr>
                      <w:color w:val="auto"/>
                      <w:szCs w:val="21"/>
                    </w:rPr>
                    <w:t>m</w:t>
                  </w:r>
                  <w:r>
                    <w:rPr>
                      <w:color w:val="auto"/>
                      <w:szCs w:val="21"/>
                      <w:vertAlign w:val="superscript"/>
                    </w:rPr>
                    <w:t>3</w:t>
                  </w:r>
                  <w:r>
                    <w:rPr>
                      <w:color w:val="auto"/>
                      <w:szCs w:val="21"/>
                    </w:rPr>
                    <w:t>/d、</w:t>
                  </w:r>
                  <w:r>
                    <w:rPr>
                      <w:rFonts w:hint="eastAsia"/>
                      <w:color w:val="auto"/>
                      <w:szCs w:val="21"/>
                      <w:lang w:val="en-US" w:eastAsia="zh-CN"/>
                    </w:rPr>
                    <w:t>486</w:t>
                  </w:r>
                  <w:r>
                    <w:rPr>
                      <w:color w:val="auto"/>
                      <w:szCs w:val="21"/>
                    </w:rPr>
                    <w:t>m</w:t>
                  </w:r>
                  <w:r>
                    <w:rPr>
                      <w:color w:val="auto"/>
                      <w:szCs w:val="21"/>
                      <w:vertAlign w:val="superscript"/>
                    </w:rPr>
                    <w:t>3</w:t>
                  </w:r>
                  <w:r>
                    <w:rPr>
                      <w:color w:val="auto"/>
                      <w:szCs w:val="21"/>
                    </w:rPr>
                    <w:t>/a</w:t>
                  </w:r>
                </w:p>
              </w:tc>
              <w:tc>
                <w:tcPr>
                  <w:tcW w:w="890" w:type="dxa"/>
                  <w:vAlign w:val="center"/>
                </w:tcPr>
                <w:p>
                  <w:pPr>
                    <w:adjustRightInd w:val="0"/>
                    <w:snapToGrid w:val="0"/>
                    <w:jc w:val="center"/>
                    <w:rPr>
                      <w:bCs/>
                      <w:color w:val="auto"/>
                      <w:szCs w:val="21"/>
                    </w:rPr>
                  </w:pPr>
                  <w:r>
                    <w:rPr>
                      <w:bCs/>
                      <w:color w:val="auto"/>
                      <w:szCs w:val="21"/>
                    </w:rPr>
                    <w:t>COD</w:t>
                  </w:r>
                  <w:r>
                    <w:rPr>
                      <w:bCs/>
                      <w:color w:val="auto"/>
                      <w:szCs w:val="21"/>
                      <w:vertAlign w:val="subscript"/>
                    </w:rPr>
                    <w:t>Cr</w:t>
                  </w:r>
                </w:p>
              </w:tc>
              <w:tc>
                <w:tcPr>
                  <w:tcW w:w="1146" w:type="dxa"/>
                  <w:vAlign w:val="center"/>
                </w:tcPr>
                <w:p>
                  <w:pPr>
                    <w:adjustRightInd w:val="0"/>
                    <w:snapToGrid w:val="0"/>
                    <w:jc w:val="center"/>
                    <w:rPr>
                      <w:color w:val="auto"/>
                      <w:szCs w:val="21"/>
                    </w:rPr>
                  </w:pPr>
                  <w:r>
                    <w:rPr>
                      <w:color w:val="auto"/>
                      <w:szCs w:val="21"/>
                    </w:rPr>
                    <w:t>250</w:t>
                  </w:r>
                </w:p>
              </w:tc>
              <w:tc>
                <w:tcPr>
                  <w:tcW w:w="1136" w:type="dxa"/>
                  <w:vAlign w:val="center"/>
                </w:tcPr>
                <w:p>
                  <w:pPr>
                    <w:widowControl/>
                    <w:adjustRightInd w:val="0"/>
                    <w:snapToGrid w:val="0"/>
                    <w:jc w:val="center"/>
                    <w:rPr>
                      <w:rFonts w:hint="eastAsia" w:eastAsia="宋体"/>
                      <w:color w:val="auto"/>
                      <w:sz w:val="22"/>
                      <w:lang w:val="en-US" w:eastAsia="zh-CN"/>
                    </w:rPr>
                  </w:pPr>
                  <w:r>
                    <w:rPr>
                      <w:rFonts w:hint="eastAsia"/>
                      <w:color w:val="auto"/>
                      <w:sz w:val="22"/>
                      <w:lang w:val="en-US" w:eastAsia="zh-CN"/>
                    </w:rPr>
                    <w:t>0.41</w:t>
                  </w:r>
                </w:p>
              </w:tc>
              <w:tc>
                <w:tcPr>
                  <w:tcW w:w="1099" w:type="dxa"/>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1.22</w:t>
                  </w:r>
                </w:p>
              </w:tc>
              <w:tc>
                <w:tcPr>
                  <w:tcW w:w="1113" w:type="dxa"/>
                  <w:vAlign w:val="center"/>
                </w:tcPr>
                <w:p>
                  <w:pPr>
                    <w:adjustRightInd w:val="0"/>
                    <w:snapToGrid w:val="0"/>
                    <w:jc w:val="center"/>
                    <w:rPr>
                      <w:color w:val="auto"/>
                      <w:szCs w:val="21"/>
                    </w:rPr>
                  </w:pPr>
                  <w:r>
                    <w:rPr>
                      <w:rFonts w:hint="eastAsia"/>
                      <w:color w:val="auto"/>
                      <w:szCs w:val="21"/>
                    </w:rPr>
                    <w:t>150</w:t>
                  </w:r>
                </w:p>
              </w:tc>
              <w:tc>
                <w:tcPr>
                  <w:tcW w:w="900" w:type="dxa"/>
                  <w:vAlign w:val="center"/>
                </w:tcPr>
                <w:p>
                  <w:pPr>
                    <w:widowControl/>
                    <w:adjustRightInd w:val="0"/>
                    <w:snapToGrid w:val="0"/>
                    <w:jc w:val="center"/>
                    <w:rPr>
                      <w:rFonts w:hint="eastAsia" w:eastAsia="宋体"/>
                      <w:color w:val="auto"/>
                      <w:sz w:val="22"/>
                      <w:lang w:val="en-US" w:eastAsia="zh-CN"/>
                    </w:rPr>
                  </w:pPr>
                  <w:r>
                    <w:rPr>
                      <w:rFonts w:hint="eastAsia"/>
                      <w:color w:val="auto"/>
                      <w:sz w:val="22"/>
                      <w:lang w:val="en-US" w:eastAsia="zh-CN"/>
                    </w:rPr>
                    <w:t>0.24</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continue"/>
                  <w:vAlign w:val="center"/>
                </w:tcPr>
                <w:p>
                  <w:pPr>
                    <w:adjustRightInd w:val="0"/>
                    <w:snapToGrid w:val="0"/>
                    <w:jc w:val="center"/>
                    <w:rPr>
                      <w:bCs/>
                      <w:color w:val="auto"/>
                      <w:szCs w:val="21"/>
                    </w:rPr>
                  </w:pPr>
                </w:p>
              </w:tc>
              <w:tc>
                <w:tcPr>
                  <w:tcW w:w="890" w:type="dxa"/>
                  <w:vAlign w:val="center"/>
                </w:tcPr>
                <w:p>
                  <w:pPr>
                    <w:adjustRightInd w:val="0"/>
                    <w:snapToGrid w:val="0"/>
                    <w:jc w:val="center"/>
                    <w:rPr>
                      <w:bCs/>
                      <w:color w:val="auto"/>
                      <w:szCs w:val="21"/>
                    </w:rPr>
                  </w:pPr>
                  <w:r>
                    <w:rPr>
                      <w:bCs/>
                      <w:color w:val="auto"/>
                      <w:szCs w:val="21"/>
                    </w:rPr>
                    <w:t>BOD</w:t>
                  </w:r>
                  <w:r>
                    <w:rPr>
                      <w:bCs/>
                      <w:color w:val="auto"/>
                      <w:szCs w:val="21"/>
                      <w:vertAlign w:val="subscript"/>
                    </w:rPr>
                    <w:t>5</w:t>
                  </w:r>
                </w:p>
              </w:tc>
              <w:tc>
                <w:tcPr>
                  <w:tcW w:w="1146" w:type="dxa"/>
                  <w:vAlign w:val="center"/>
                </w:tcPr>
                <w:p>
                  <w:pPr>
                    <w:adjustRightInd w:val="0"/>
                    <w:snapToGrid w:val="0"/>
                    <w:jc w:val="center"/>
                    <w:rPr>
                      <w:color w:val="auto"/>
                      <w:szCs w:val="21"/>
                    </w:rPr>
                  </w:pPr>
                  <w:r>
                    <w:rPr>
                      <w:color w:val="auto"/>
                      <w:szCs w:val="21"/>
                    </w:rPr>
                    <w:t>200</w:t>
                  </w:r>
                </w:p>
              </w:tc>
              <w:tc>
                <w:tcPr>
                  <w:tcW w:w="1136"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0.32</w:t>
                  </w:r>
                </w:p>
              </w:tc>
              <w:tc>
                <w:tcPr>
                  <w:tcW w:w="1099" w:type="dxa"/>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0.097</w:t>
                  </w:r>
                </w:p>
              </w:tc>
              <w:tc>
                <w:tcPr>
                  <w:tcW w:w="1113" w:type="dxa"/>
                  <w:vAlign w:val="center"/>
                </w:tcPr>
                <w:p>
                  <w:pPr>
                    <w:adjustRightInd w:val="0"/>
                    <w:snapToGrid w:val="0"/>
                    <w:jc w:val="center"/>
                    <w:rPr>
                      <w:color w:val="auto"/>
                      <w:szCs w:val="21"/>
                    </w:rPr>
                  </w:pPr>
                  <w:r>
                    <w:rPr>
                      <w:rFonts w:hint="eastAsia"/>
                      <w:color w:val="auto"/>
                      <w:szCs w:val="21"/>
                    </w:rPr>
                    <w:t>20</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0.03</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continue"/>
                  <w:vAlign w:val="center"/>
                </w:tcPr>
                <w:p>
                  <w:pPr>
                    <w:adjustRightInd w:val="0"/>
                    <w:snapToGrid w:val="0"/>
                    <w:jc w:val="center"/>
                    <w:rPr>
                      <w:bCs/>
                      <w:color w:val="auto"/>
                      <w:szCs w:val="21"/>
                    </w:rPr>
                  </w:pPr>
                </w:p>
              </w:tc>
              <w:tc>
                <w:tcPr>
                  <w:tcW w:w="890" w:type="dxa"/>
                  <w:vAlign w:val="center"/>
                </w:tcPr>
                <w:p>
                  <w:pPr>
                    <w:adjustRightInd w:val="0"/>
                    <w:snapToGrid w:val="0"/>
                    <w:jc w:val="center"/>
                    <w:rPr>
                      <w:bCs/>
                      <w:color w:val="auto"/>
                      <w:szCs w:val="21"/>
                    </w:rPr>
                  </w:pPr>
                  <w:r>
                    <w:rPr>
                      <w:bCs/>
                      <w:color w:val="auto"/>
                      <w:szCs w:val="21"/>
                    </w:rPr>
                    <w:t>SS</w:t>
                  </w:r>
                </w:p>
              </w:tc>
              <w:tc>
                <w:tcPr>
                  <w:tcW w:w="1146" w:type="dxa"/>
                  <w:vAlign w:val="center"/>
                </w:tcPr>
                <w:p>
                  <w:pPr>
                    <w:adjustRightInd w:val="0"/>
                    <w:snapToGrid w:val="0"/>
                    <w:jc w:val="center"/>
                    <w:rPr>
                      <w:color w:val="auto"/>
                      <w:szCs w:val="21"/>
                    </w:rPr>
                  </w:pPr>
                  <w:r>
                    <w:rPr>
                      <w:rFonts w:hint="eastAsia"/>
                      <w:color w:val="auto"/>
                      <w:szCs w:val="21"/>
                    </w:rPr>
                    <w:t>2</w:t>
                  </w:r>
                  <w:r>
                    <w:rPr>
                      <w:color w:val="auto"/>
                      <w:szCs w:val="21"/>
                    </w:rPr>
                    <w:t>0</w:t>
                  </w:r>
                  <w:r>
                    <w:rPr>
                      <w:rFonts w:hint="eastAsia"/>
                      <w:color w:val="auto"/>
                      <w:szCs w:val="21"/>
                    </w:rPr>
                    <w:t>0</w:t>
                  </w:r>
                </w:p>
              </w:tc>
              <w:tc>
                <w:tcPr>
                  <w:tcW w:w="1136" w:type="dxa"/>
                  <w:vAlign w:val="center"/>
                </w:tcPr>
                <w:p>
                  <w:pPr>
                    <w:adjustRightInd w:val="0"/>
                    <w:snapToGrid w:val="0"/>
                    <w:jc w:val="center"/>
                    <w:rPr>
                      <w:color w:val="auto"/>
                      <w:sz w:val="22"/>
                    </w:rPr>
                  </w:pPr>
                  <w:r>
                    <w:rPr>
                      <w:rFonts w:hint="eastAsia"/>
                      <w:color w:val="auto"/>
                      <w:sz w:val="22"/>
                      <w:lang w:val="en-US" w:eastAsia="zh-CN"/>
                    </w:rPr>
                    <w:t>0.32</w:t>
                  </w:r>
                </w:p>
              </w:tc>
              <w:tc>
                <w:tcPr>
                  <w:tcW w:w="1099" w:type="dxa"/>
                  <w:vAlign w:val="center"/>
                </w:tcPr>
                <w:p>
                  <w:pPr>
                    <w:adjustRightInd w:val="0"/>
                    <w:snapToGrid w:val="0"/>
                    <w:jc w:val="center"/>
                    <w:rPr>
                      <w:color w:val="auto"/>
                      <w:szCs w:val="21"/>
                    </w:rPr>
                  </w:pPr>
                  <w:r>
                    <w:rPr>
                      <w:rFonts w:hint="eastAsia"/>
                      <w:color w:val="auto"/>
                      <w:szCs w:val="21"/>
                      <w:lang w:val="en-US" w:eastAsia="zh-CN"/>
                    </w:rPr>
                    <w:t>0.097</w:t>
                  </w:r>
                </w:p>
              </w:tc>
              <w:tc>
                <w:tcPr>
                  <w:tcW w:w="1113" w:type="dxa"/>
                  <w:vAlign w:val="center"/>
                </w:tcPr>
                <w:p>
                  <w:pPr>
                    <w:adjustRightInd w:val="0"/>
                    <w:snapToGrid w:val="0"/>
                    <w:jc w:val="center"/>
                    <w:rPr>
                      <w:color w:val="auto"/>
                      <w:szCs w:val="21"/>
                    </w:rPr>
                  </w:pPr>
                  <w:r>
                    <w:rPr>
                      <w:rFonts w:hint="eastAsia"/>
                      <w:color w:val="auto"/>
                      <w:szCs w:val="21"/>
                    </w:rPr>
                    <w:t>80</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0.13</w:t>
                  </w:r>
                </w:p>
              </w:tc>
              <w:tc>
                <w:tcPr>
                  <w:tcW w:w="900"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257" w:type="dxa"/>
                  <w:vMerge w:val="continue"/>
                  <w:vAlign w:val="center"/>
                </w:tcPr>
                <w:p>
                  <w:pPr>
                    <w:adjustRightInd w:val="0"/>
                    <w:snapToGrid w:val="0"/>
                    <w:jc w:val="center"/>
                    <w:rPr>
                      <w:bCs/>
                      <w:color w:val="auto"/>
                      <w:szCs w:val="21"/>
                    </w:rPr>
                  </w:pPr>
                </w:p>
              </w:tc>
              <w:tc>
                <w:tcPr>
                  <w:tcW w:w="890" w:type="dxa"/>
                  <w:vAlign w:val="center"/>
                </w:tcPr>
                <w:p>
                  <w:pPr>
                    <w:adjustRightInd w:val="0"/>
                    <w:snapToGrid w:val="0"/>
                    <w:jc w:val="center"/>
                    <w:rPr>
                      <w:bCs/>
                      <w:color w:val="auto"/>
                      <w:szCs w:val="21"/>
                    </w:rPr>
                  </w:pPr>
                  <w:r>
                    <w:rPr>
                      <w:bCs/>
                      <w:color w:val="auto"/>
                      <w:szCs w:val="21"/>
                    </w:rPr>
                    <w:t>NH</w:t>
                  </w:r>
                  <w:r>
                    <w:rPr>
                      <w:bCs/>
                      <w:color w:val="auto"/>
                      <w:szCs w:val="21"/>
                      <w:vertAlign w:val="subscript"/>
                    </w:rPr>
                    <w:t>3</w:t>
                  </w:r>
                  <w:r>
                    <w:rPr>
                      <w:bCs/>
                      <w:color w:val="auto"/>
                      <w:szCs w:val="21"/>
                    </w:rPr>
                    <w:t>-N</w:t>
                  </w:r>
                </w:p>
              </w:tc>
              <w:tc>
                <w:tcPr>
                  <w:tcW w:w="1146" w:type="dxa"/>
                  <w:vAlign w:val="center"/>
                </w:tcPr>
                <w:p>
                  <w:pPr>
                    <w:adjustRightInd w:val="0"/>
                    <w:snapToGrid w:val="0"/>
                    <w:jc w:val="center"/>
                    <w:rPr>
                      <w:color w:val="auto"/>
                      <w:szCs w:val="21"/>
                    </w:rPr>
                  </w:pPr>
                  <w:r>
                    <w:rPr>
                      <w:rFonts w:hint="eastAsia"/>
                      <w:color w:val="auto"/>
                      <w:szCs w:val="21"/>
                    </w:rPr>
                    <w:t>40</w:t>
                  </w:r>
                </w:p>
              </w:tc>
              <w:tc>
                <w:tcPr>
                  <w:tcW w:w="1136" w:type="dxa"/>
                  <w:vAlign w:val="center"/>
                </w:tcPr>
                <w:p>
                  <w:pPr>
                    <w:adjustRightInd w:val="0"/>
                    <w:snapToGrid w:val="0"/>
                    <w:jc w:val="center"/>
                    <w:rPr>
                      <w:rFonts w:hint="eastAsia" w:eastAsia="宋体"/>
                      <w:color w:val="auto"/>
                      <w:sz w:val="22"/>
                      <w:lang w:val="en-US" w:eastAsia="zh-CN"/>
                    </w:rPr>
                  </w:pPr>
                  <w:r>
                    <w:rPr>
                      <w:rFonts w:hint="eastAsia"/>
                      <w:color w:val="auto"/>
                      <w:sz w:val="22"/>
                      <w:lang w:val="en-US" w:eastAsia="zh-CN"/>
                    </w:rPr>
                    <w:t>0.06</w:t>
                  </w:r>
                </w:p>
              </w:tc>
              <w:tc>
                <w:tcPr>
                  <w:tcW w:w="1099" w:type="dxa"/>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0.02</w:t>
                  </w:r>
                </w:p>
              </w:tc>
              <w:tc>
                <w:tcPr>
                  <w:tcW w:w="1113" w:type="dxa"/>
                  <w:vAlign w:val="center"/>
                </w:tcPr>
                <w:p>
                  <w:pPr>
                    <w:adjustRightInd w:val="0"/>
                    <w:snapToGrid w:val="0"/>
                    <w:jc w:val="center"/>
                    <w:rPr>
                      <w:color w:val="auto"/>
                      <w:szCs w:val="21"/>
                    </w:rPr>
                  </w:pPr>
                  <w:r>
                    <w:rPr>
                      <w:rFonts w:hint="eastAsia"/>
                      <w:color w:val="auto"/>
                      <w:szCs w:val="21"/>
                    </w:rPr>
                    <w:t>20</w:t>
                  </w:r>
                </w:p>
              </w:tc>
              <w:tc>
                <w:tcPr>
                  <w:tcW w:w="900" w:type="dxa"/>
                  <w:vAlign w:val="center"/>
                </w:tcPr>
                <w:p>
                  <w:pPr>
                    <w:adjustRightInd w:val="0"/>
                    <w:snapToGrid w:val="0"/>
                    <w:jc w:val="center"/>
                    <w:rPr>
                      <w:color w:val="auto"/>
                      <w:sz w:val="22"/>
                    </w:rPr>
                  </w:pPr>
                  <w:r>
                    <w:rPr>
                      <w:rFonts w:hint="eastAsia"/>
                      <w:color w:val="auto"/>
                      <w:sz w:val="22"/>
                      <w:lang w:val="en-US" w:eastAsia="zh-CN"/>
                    </w:rPr>
                    <w:t>0.03</w:t>
                  </w:r>
                </w:p>
              </w:tc>
              <w:tc>
                <w:tcPr>
                  <w:tcW w:w="900" w:type="dxa"/>
                  <w:vAlign w:val="center"/>
                </w:tcPr>
                <w:p>
                  <w:pPr>
                    <w:adjustRightInd w:val="0"/>
                    <w:snapToGrid w:val="0"/>
                    <w:jc w:val="center"/>
                    <w:rPr>
                      <w:color w:val="auto"/>
                      <w:sz w:val="22"/>
                    </w:rPr>
                  </w:pPr>
                  <w:r>
                    <w:rPr>
                      <w:rFonts w:hint="eastAsia"/>
                      <w:color w:val="auto"/>
                      <w:sz w:val="22"/>
                      <w:lang w:val="en-US" w:eastAsia="zh-CN"/>
                    </w:rPr>
                    <w:t>0.01</w:t>
                  </w:r>
                </w:p>
              </w:tc>
            </w:tr>
          </w:tbl>
          <w:p>
            <w:pPr>
              <w:adjustRightInd w:val="0"/>
              <w:spacing w:line="360" w:lineRule="auto"/>
              <w:ind w:firstLine="480" w:firstLineChars="200"/>
              <w:rPr>
                <w:color w:val="auto"/>
                <w:sz w:val="24"/>
              </w:rPr>
            </w:pPr>
            <w:r>
              <w:rPr>
                <w:rFonts w:hint="eastAsia"/>
                <w:color w:val="auto"/>
                <w:sz w:val="24"/>
              </w:rPr>
              <w:t>因此，生活污水回用于厂区绿化灌溉是可行的。</w:t>
            </w:r>
          </w:p>
          <w:p>
            <w:pPr>
              <w:adjustRightInd w:val="0"/>
              <w:spacing w:line="360" w:lineRule="auto"/>
              <w:ind w:firstLine="482" w:firstLineChars="200"/>
              <w:rPr>
                <w:b/>
                <w:bCs/>
                <w:color w:val="auto"/>
                <w:sz w:val="24"/>
              </w:rPr>
            </w:pPr>
            <w:bookmarkStart w:id="8" w:name="_Toc364331276"/>
            <w:bookmarkStart w:id="9" w:name="_Toc364763647"/>
            <w:r>
              <w:rPr>
                <w:b/>
                <w:bCs/>
                <w:color w:val="auto"/>
                <w:sz w:val="24"/>
              </w:rPr>
              <w:t>三、噪声影响分析</w:t>
            </w:r>
            <w:bookmarkEnd w:id="8"/>
            <w:bookmarkEnd w:id="9"/>
          </w:p>
          <w:p>
            <w:pPr>
              <w:pStyle w:val="84"/>
              <w:spacing w:line="360" w:lineRule="auto"/>
              <w:ind w:left="0" w:right="0" w:firstLine="480" w:firstLineChars="200"/>
              <w:jc w:val="both"/>
              <w:rPr>
                <w:color w:val="auto"/>
                <w:szCs w:val="24"/>
              </w:rPr>
            </w:pPr>
            <w:r>
              <w:rPr>
                <w:color w:val="auto"/>
                <w:szCs w:val="24"/>
              </w:rPr>
              <w:t>项目主要噪声是生产设备产生的</w:t>
            </w:r>
            <w:r>
              <w:rPr>
                <w:rFonts w:hint="eastAsia"/>
                <w:color w:val="auto"/>
                <w:szCs w:val="24"/>
              </w:rPr>
              <w:t>噪声</w:t>
            </w:r>
            <w:r>
              <w:rPr>
                <w:color w:val="auto"/>
                <w:szCs w:val="24"/>
              </w:rPr>
              <w:t>。声源强度在70～</w:t>
            </w:r>
            <w:r>
              <w:rPr>
                <w:rFonts w:hint="eastAsia"/>
                <w:color w:val="auto"/>
                <w:szCs w:val="24"/>
                <w:lang w:val="en-US" w:eastAsia="zh-CN"/>
              </w:rPr>
              <w:t>85dB（A）</w:t>
            </w:r>
            <w:r>
              <w:rPr>
                <w:color w:val="auto"/>
                <w:szCs w:val="24"/>
              </w:rPr>
              <w:t>之间。</w:t>
            </w:r>
          </w:p>
          <w:p>
            <w:pPr>
              <w:adjustRightInd w:val="0"/>
              <w:spacing w:line="360" w:lineRule="auto"/>
              <w:ind w:firstLine="480" w:firstLineChars="200"/>
              <w:rPr>
                <w:color w:val="auto"/>
                <w:sz w:val="24"/>
              </w:rPr>
            </w:pPr>
            <w:r>
              <w:rPr>
                <w:bCs/>
                <w:color w:val="auto"/>
                <w:sz w:val="24"/>
              </w:rPr>
              <w:t>为确保项目厂界噪声达到《工业企业厂界环境噪声排放标准》（GB12348－2008）2类标准的要求，</w:t>
            </w:r>
            <w:r>
              <w:rPr>
                <w:color w:val="auto"/>
                <w:sz w:val="24"/>
              </w:rPr>
              <w:t>项目拟采取下列治理措施：</w:t>
            </w:r>
          </w:p>
          <w:p>
            <w:pPr>
              <w:adjustRightInd w:val="0"/>
              <w:spacing w:line="360" w:lineRule="auto"/>
              <w:ind w:firstLine="480" w:firstLineChars="200"/>
              <w:rPr>
                <w:color w:val="auto"/>
                <w:sz w:val="24"/>
              </w:rPr>
            </w:pPr>
            <w:r>
              <w:rPr>
                <w:color w:val="auto"/>
                <w:sz w:val="24"/>
              </w:rPr>
              <w:t>1、在设备选型方面，在满足工艺生产的前提下，选用精度高、装配质量好、噪声低的设备；对于某些设备运行时由振动产生的噪声，应对设备基础进行减振，能降低噪声级10-15分贝。</w:t>
            </w:r>
          </w:p>
          <w:p>
            <w:pPr>
              <w:adjustRightInd w:val="0"/>
              <w:spacing w:line="360" w:lineRule="auto"/>
              <w:ind w:firstLine="480" w:firstLineChars="200"/>
              <w:rPr>
                <w:bCs/>
                <w:color w:val="auto"/>
                <w:sz w:val="24"/>
              </w:rPr>
            </w:pPr>
            <w:r>
              <w:rPr>
                <w:color w:val="auto"/>
                <w:sz w:val="24"/>
              </w:rPr>
              <w:t>2、建立设备定期维护、保养的管理制度，以防止设备故障形成的非生产噪声，同时确保环保措施发挥最有效的功能；加强职工环保意识教育，提倡文明生产，防止人为噪声。</w:t>
            </w:r>
          </w:p>
          <w:p>
            <w:pPr>
              <w:adjustRightInd w:val="0"/>
              <w:spacing w:line="360" w:lineRule="auto"/>
              <w:ind w:firstLine="480" w:firstLineChars="200"/>
              <w:rPr>
                <w:bCs/>
                <w:color w:val="auto"/>
                <w:sz w:val="24"/>
              </w:rPr>
            </w:pPr>
            <w:r>
              <w:rPr>
                <w:bCs/>
                <w:color w:val="auto"/>
                <w:sz w:val="24"/>
              </w:rPr>
              <w:t>项目产生的噪声再经自然衰减后，项目厂界噪声可达到《工业企业厂界环境噪声排放标准》(GB12348—2008)2类标准要求，对周围环境影响不大。</w:t>
            </w:r>
          </w:p>
          <w:p>
            <w:pPr>
              <w:adjustRightInd w:val="0"/>
              <w:spacing w:line="360" w:lineRule="auto"/>
              <w:ind w:firstLine="482" w:firstLineChars="200"/>
              <w:rPr>
                <w:b/>
                <w:bCs/>
                <w:color w:val="auto"/>
                <w:sz w:val="24"/>
              </w:rPr>
            </w:pPr>
            <w:r>
              <w:rPr>
                <w:b/>
                <w:bCs/>
                <w:color w:val="auto"/>
                <w:sz w:val="24"/>
              </w:rPr>
              <w:t>四、固体废物影响分析</w:t>
            </w:r>
          </w:p>
          <w:p>
            <w:pPr>
              <w:spacing w:line="360" w:lineRule="auto"/>
              <w:ind w:firstLine="480" w:firstLineChars="200"/>
              <w:rPr>
                <w:color w:val="auto"/>
                <w:sz w:val="24"/>
              </w:rPr>
            </w:pPr>
            <w:r>
              <w:rPr>
                <w:color w:val="auto"/>
                <w:sz w:val="24"/>
              </w:rPr>
              <w:t>项目产生的固体废物主要是</w:t>
            </w:r>
            <w:r>
              <w:rPr>
                <w:rFonts w:hint="eastAsia"/>
                <w:color w:val="auto"/>
                <w:sz w:val="24"/>
                <w:lang w:eastAsia="zh-CN"/>
              </w:rPr>
              <w:t>边角料、多筒式除尘机收集的粉尘和</w:t>
            </w:r>
            <w:r>
              <w:rPr>
                <w:color w:val="auto"/>
                <w:sz w:val="24"/>
              </w:rPr>
              <w:t xml:space="preserve">生活垃圾。 </w:t>
            </w:r>
          </w:p>
          <w:p>
            <w:pPr>
              <w:spacing w:line="360" w:lineRule="auto"/>
              <w:ind w:firstLine="480" w:firstLineChars="200"/>
              <w:rPr>
                <w:color w:val="auto"/>
                <w:sz w:val="24"/>
              </w:rPr>
            </w:pPr>
            <w:r>
              <w:rPr>
                <w:color w:val="auto"/>
                <w:sz w:val="24"/>
                <w:szCs w:val="20"/>
              </w:rPr>
              <w:t>边角料</w:t>
            </w:r>
            <w:r>
              <w:rPr>
                <w:rFonts w:hint="eastAsia"/>
                <w:bCs/>
                <w:color w:val="FF0000"/>
                <w:sz w:val="24"/>
                <w:szCs w:val="20"/>
                <w:lang w:val="en-US" w:eastAsia="zh-CN"/>
              </w:rPr>
              <w:t>经回收后作为原料继续利用</w:t>
            </w:r>
            <w:r>
              <w:rPr>
                <w:rFonts w:hint="eastAsia"/>
                <w:color w:val="auto"/>
                <w:sz w:val="24"/>
                <w:szCs w:val="20"/>
                <w:lang w:eastAsia="zh-CN"/>
              </w:rPr>
              <w:t>，</w:t>
            </w:r>
            <w:r>
              <w:rPr>
                <w:rFonts w:hint="eastAsia"/>
                <w:color w:val="auto"/>
                <w:sz w:val="24"/>
                <w:lang w:eastAsia="zh-CN"/>
              </w:rPr>
              <w:t>多筒式除尘机收集的粉尘</w:t>
            </w:r>
            <w:r>
              <w:rPr>
                <w:rFonts w:hint="eastAsia"/>
                <w:color w:val="auto"/>
                <w:sz w:val="24"/>
                <w:lang w:val="en-US" w:eastAsia="zh-CN"/>
              </w:rPr>
              <w:t>集中收集交由环卫部门处理</w:t>
            </w:r>
            <w:r>
              <w:rPr>
                <w:color w:val="auto"/>
                <w:sz w:val="24"/>
                <w:szCs w:val="20"/>
              </w:rPr>
              <w:t>。</w:t>
            </w:r>
            <w:r>
              <w:rPr>
                <w:color w:val="auto"/>
                <w:sz w:val="24"/>
              </w:rPr>
              <w:t>生活垃圾由环卫部门运走。</w:t>
            </w:r>
          </w:p>
          <w:p>
            <w:pPr>
              <w:spacing w:line="360" w:lineRule="auto"/>
              <w:ind w:firstLine="480" w:firstLineChars="200"/>
              <w:rPr>
                <w:rFonts w:hint="default"/>
                <w:color w:val="auto"/>
                <w:sz w:val="24"/>
                <w:lang w:eastAsia="zh-CN"/>
              </w:rPr>
            </w:pPr>
            <w:r>
              <w:rPr>
                <w:rFonts w:hint="default"/>
                <w:color w:val="auto"/>
                <w:sz w:val="24"/>
                <w:lang w:eastAsia="zh-CN"/>
              </w:rPr>
              <w:t>一般固体废物将存储于固废暂存库房内，库房进行水泥固化防渗并封闭，为便于固体废物的收集、运输及处置，在固体废物暂存库房内应划分不同的收集区域，不同类型的废物分别存储在各自的区域，使固体废物得到妥善的管理和处置，最大程度地降低对环境的影响。</w:t>
            </w:r>
          </w:p>
          <w:p>
            <w:pPr>
              <w:spacing w:line="360" w:lineRule="auto"/>
              <w:ind w:firstLine="480" w:firstLineChars="200"/>
              <w:rPr>
                <w:bCs/>
                <w:color w:val="auto"/>
                <w:sz w:val="24"/>
              </w:rPr>
            </w:pPr>
            <w:r>
              <w:rPr>
                <w:color w:val="auto"/>
                <w:sz w:val="24"/>
              </w:rPr>
              <w:t>综上，项目各项固体废物处置合理、去向明确，对周边环境影响不大。</w:t>
            </w:r>
          </w:p>
          <w:p>
            <w:pPr>
              <w:adjustRightInd w:val="0"/>
              <w:spacing w:line="360" w:lineRule="auto"/>
              <w:ind w:firstLine="482" w:firstLineChars="200"/>
              <w:rPr>
                <w:rFonts w:hint="eastAsia"/>
                <w:b/>
                <w:color w:val="7030A0"/>
                <w:sz w:val="24"/>
              </w:rPr>
            </w:pPr>
            <w:r>
              <w:rPr>
                <w:rFonts w:hint="eastAsia"/>
                <w:b/>
                <w:color w:val="7030A0"/>
                <w:sz w:val="24"/>
              </w:rPr>
              <w:t>五、土壤环境影响分析</w:t>
            </w:r>
          </w:p>
          <w:p>
            <w:pPr>
              <w:spacing w:line="360" w:lineRule="auto"/>
              <w:ind w:firstLine="480" w:firstLineChars="200"/>
              <w:rPr>
                <w:rFonts w:hint="eastAsia"/>
                <w:color w:val="7030A0"/>
                <w:sz w:val="24"/>
              </w:rPr>
            </w:pPr>
            <w:r>
              <w:rPr>
                <w:rFonts w:hint="eastAsia"/>
                <w:color w:val="7030A0"/>
                <w:sz w:val="24"/>
              </w:rPr>
              <w:t>根据《环境影响评价技术导则 土壤环境（试行）》【HJ964-2018】附录A“土壤环境影响评价项目类别”，本项目属于IV类</w:t>
            </w:r>
            <w:r>
              <w:rPr>
                <w:rFonts w:hint="eastAsia"/>
                <w:color w:val="7030A0"/>
                <w:sz w:val="24"/>
                <w:lang w:eastAsia="zh-CN"/>
              </w:rPr>
              <w:t>项目</w:t>
            </w:r>
            <w:r>
              <w:rPr>
                <w:rFonts w:hint="eastAsia"/>
                <w:color w:val="7030A0"/>
                <w:sz w:val="24"/>
              </w:rPr>
              <w:t>，根据导则中表4“污染影响型评价工作等级划分表”，本项目可不开展土壤环境影响评价工作。</w:t>
            </w:r>
          </w:p>
          <w:p>
            <w:pPr>
              <w:adjustRightInd w:val="0"/>
              <w:spacing w:line="360" w:lineRule="auto"/>
              <w:ind w:firstLine="482" w:firstLineChars="200"/>
              <w:rPr>
                <w:rFonts w:hint="eastAsia"/>
                <w:b/>
                <w:color w:val="7030A0"/>
                <w:sz w:val="24"/>
              </w:rPr>
            </w:pPr>
            <w:r>
              <w:rPr>
                <w:rFonts w:hint="eastAsia"/>
                <w:b/>
                <w:color w:val="7030A0"/>
                <w:sz w:val="24"/>
              </w:rPr>
              <w:t>六、地下水环境影响分析</w:t>
            </w:r>
          </w:p>
          <w:p>
            <w:pPr>
              <w:spacing w:line="360" w:lineRule="auto"/>
              <w:ind w:firstLine="480" w:firstLineChars="200"/>
              <w:rPr>
                <w:rFonts w:hint="eastAsia"/>
                <w:color w:val="7030A0"/>
                <w:sz w:val="24"/>
              </w:rPr>
            </w:pPr>
            <w:r>
              <w:rPr>
                <w:rFonts w:hint="eastAsia"/>
                <w:color w:val="7030A0"/>
                <w:sz w:val="24"/>
              </w:rPr>
              <w:t>根据《环境影响评价技术导则 地下水环境》【HJ610-2016】附录A“地下水环境影响评价行业分类表”，本项目属于IV类地下水环境影响评价项目类别，可不开展地下水环境影响评价工作。</w:t>
            </w:r>
          </w:p>
          <w:p>
            <w:pPr>
              <w:adjustRightInd w:val="0"/>
              <w:spacing w:line="360" w:lineRule="auto"/>
              <w:ind w:firstLine="482" w:firstLineChars="200"/>
              <w:rPr>
                <w:b/>
                <w:color w:val="FF0000"/>
                <w:sz w:val="24"/>
              </w:rPr>
            </w:pPr>
            <w:r>
              <w:rPr>
                <w:rFonts w:hint="eastAsia"/>
                <w:b/>
                <w:color w:val="FF0000"/>
                <w:sz w:val="24"/>
                <w:lang w:eastAsia="zh-CN"/>
              </w:rPr>
              <w:t>七</w:t>
            </w:r>
            <w:r>
              <w:rPr>
                <w:b/>
                <w:color w:val="FF0000"/>
                <w:sz w:val="24"/>
              </w:rPr>
              <w:t>、环境风险影响分析</w:t>
            </w:r>
          </w:p>
          <w:p>
            <w:pPr>
              <w:adjustRightInd w:val="0"/>
              <w:spacing w:line="360" w:lineRule="auto"/>
              <w:ind w:firstLine="480" w:firstLineChars="200"/>
              <w:rPr>
                <w:rFonts w:hint="eastAsia" w:eastAsia="宋体"/>
                <w:color w:val="FF0000"/>
                <w:sz w:val="24"/>
                <w:highlight w:val="none"/>
                <w:lang w:eastAsia="zh-CN"/>
              </w:rPr>
            </w:pPr>
            <w:r>
              <w:rPr>
                <w:rFonts w:hint="eastAsia"/>
                <w:color w:val="FF0000"/>
                <w:sz w:val="24"/>
                <w:highlight w:val="none"/>
              </w:rPr>
              <w:t>本项目主要利用</w:t>
            </w:r>
            <w:r>
              <w:rPr>
                <w:rFonts w:hint="eastAsia"/>
                <w:color w:val="FF0000"/>
                <w:sz w:val="24"/>
                <w:highlight w:val="none"/>
                <w:lang w:eastAsia="zh-CN"/>
              </w:rPr>
              <w:t>碎布</w:t>
            </w:r>
            <w:r>
              <w:rPr>
                <w:rFonts w:hint="eastAsia"/>
                <w:color w:val="FF0000"/>
                <w:sz w:val="24"/>
                <w:highlight w:val="none"/>
              </w:rPr>
              <w:t>加工生产</w:t>
            </w:r>
            <w:r>
              <w:rPr>
                <w:rFonts w:hint="eastAsia"/>
                <w:color w:val="FF0000"/>
                <w:sz w:val="24"/>
                <w:highlight w:val="none"/>
                <w:lang w:eastAsia="zh-CN"/>
              </w:rPr>
              <w:t>再生棉</w:t>
            </w:r>
            <w:r>
              <w:rPr>
                <w:rFonts w:hint="eastAsia"/>
                <w:color w:val="FF0000"/>
                <w:sz w:val="24"/>
                <w:highlight w:val="none"/>
              </w:rPr>
              <w:t>，按《建设项目环境风险评价技术导则》（HJ/T 169－20</w:t>
            </w:r>
            <w:r>
              <w:rPr>
                <w:rFonts w:hint="eastAsia"/>
                <w:color w:val="FF0000"/>
                <w:sz w:val="24"/>
                <w:highlight w:val="none"/>
                <w:lang w:val="en-US" w:eastAsia="zh-CN"/>
              </w:rPr>
              <w:t>18</w:t>
            </w:r>
            <w:r>
              <w:rPr>
                <w:rFonts w:hint="eastAsia"/>
                <w:color w:val="FF0000"/>
                <w:sz w:val="24"/>
                <w:highlight w:val="none"/>
              </w:rPr>
              <w:t>）</w:t>
            </w:r>
            <w:r>
              <w:rPr>
                <w:rFonts w:hint="eastAsia"/>
                <w:color w:val="FF0000"/>
                <w:sz w:val="24"/>
                <w:highlight w:val="none"/>
                <w:lang w:eastAsia="zh-CN"/>
              </w:rPr>
              <w:t>对本项目环境风险影响进行分析。</w:t>
            </w:r>
          </w:p>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val="en-US" w:eastAsia="zh-CN"/>
              </w:rPr>
              <w:t>1、环境风险潜势划分</w:t>
            </w:r>
          </w:p>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eastAsia="zh-CN"/>
              </w:rPr>
              <w:t>本项目</w:t>
            </w:r>
            <w:r>
              <w:rPr>
                <w:rFonts w:hint="default" w:ascii="Times New Roman" w:hAnsi="Times New Roman" w:cs="Times New Roman"/>
                <w:color w:val="FF0000"/>
                <w:kern w:val="0"/>
                <w:sz w:val="24"/>
              </w:rPr>
              <w:t>生产过程使用的原辅材料</w:t>
            </w:r>
            <w:r>
              <w:rPr>
                <w:rFonts w:hint="eastAsia" w:ascii="Times New Roman" w:hAnsi="Times New Roman" w:cs="Times New Roman"/>
                <w:color w:val="FF0000"/>
                <w:kern w:val="0"/>
                <w:sz w:val="24"/>
                <w:lang w:eastAsia="zh-CN"/>
              </w:rPr>
              <w:t>主要</w:t>
            </w:r>
            <w:r>
              <w:rPr>
                <w:rFonts w:hint="eastAsia" w:cs="Times New Roman"/>
                <w:color w:val="FF0000"/>
                <w:kern w:val="0"/>
                <w:sz w:val="24"/>
                <w:lang w:eastAsia="zh-CN"/>
              </w:rPr>
              <w:t>为</w:t>
            </w:r>
            <w:r>
              <w:rPr>
                <w:rFonts w:hint="eastAsia"/>
                <w:color w:val="FF0000"/>
                <w:sz w:val="24"/>
                <w:lang w:eastAsia="zh-CN"/>
              </w:rPr>
              <w:t>碎布</w:t>
            </w:r>
            <w:r>
              <w:rPr>
                <w:rFonts w:hint="eastAsia"/>
                <w:color w:val="FF0000"/>
                <w:sz w:val="24"/>
                <w:highlight w:val="none"/>
                <w:lang w:eastAsia="zh-CN"/>
              </w:rPr>
              <w:t>，不属于</w:t>
            </w:r>
            <w:r>
              <w:rPr>
                <w:rFonts w:hint="eastAsia"/>
                <w:color w:val="FF0000"/>
                <w:sz w:val="24"/>
                <w:highlight w:val="none"/>
              </w:rPr>
              <w:t>《建设项目环境风险评价技术导则》（HJ/T 169－20</w:t>
            </w:r>
            <w:r>
              <w:rPr>
                <w:rFonts w:hint="eastAsia"/>
                <w:color w:val="FF0000"/>
                <w:sz w:val="24"/>
                <w:highlight w:val="none"/>
                <w:lang w:val="en-US" w:eastAsia="zh-CN"/>
              </w:rPr>
              <w:t>18</w:t>
            </w:r>
            <w:r>
              <w:rPr>
                <w:rFonts w:hint="eastAsia"/>
                <w:color w:val="FF0000"/>
                <w:sz w:val="24"/>
                <w:highlight w:val="none"/>
              </w:rPr>
              <w:t>）</w:t>
            </w:r>
            <w:r>
              <w:rPr>
                <w:rFonts w:hint="eastAsia"/>
                <w:color w:val="FF0000"/>
                <w:sz w:val="24"/>
                <w:highlight w:val="none"/>
                <w:lang w:eastAsia="zh-CN"/>
              </w:rPr>
              <w:t>附录</w:t>
            </w:r>
            <w:r>
              <w:rPr>
                <w:rFonts w:hint="eastAsia"/>
                <w:color w:val="FF0000"/>
                <w:sz w:val="24"/>
                <w:highlight w:val="none"/>
                <w:lang w:val="en-US" w:eastAsia="zh-CN"/>
              </w:rPr>
              <w:t>B所列的突发环境事件风险物质</w:t>
            </w:r>
            <w:r>
              <w:rPr>
                <w:rFonts w:hint="default" w:ascii="Times New Roman" w:hAnsi="Times New Roman" w:cs="Times New Roman"/>
                <w:color w:val="FF0000"/>
                <w:kern w:val="0"/>
                <w:sz w:val="24"/>
              </w:rPr>
              <w:t>，</w:t>
            </w:r>
            <w:r>
              <w:rPr>
                <w:rFonts w:hint="eastAsia"/>
                <w:color w:val="FF0000"/>
                <w:sz w:val="24"/>
                <w:highlight w:val="none"/>
                <w:lang w:val="en-US" w:eastAsia="zh-CN"/>
              </w:rPr>
              <w:t>因此危险物质数量与临界值比值Q小于1，根据</w:t>
            </w:r>
            <w:r>
              <w:rPr>
                <w:rFonts w:hint="eastAsia"/>
                <w:color w:val="FF0000"/>
                <w:sz w:val="24"/>
                <w:highlight w:val="none"/>
              </w:rPr>
              <w:t>《建设项目环境风险评价技术导则》（HJ/T 169－20</w:t>
            </w:r>
            <w:r>
              <w:rPr>
                <w:rFonts w:hint="eastAsia"/>
                <w:color w:val="FF0000"/>
                <w:sz w:val="24"/>
                <w:highlight w:val="none"/>
                <w:lang w:val="en-US" w:eastAsia="zh-CN"/>
              </w:rPr>
              <w:t>18</w:t>
            </w:r>
            <w:r>
              <w:rPr>
                <w:rFonts w:hint="eastAsia"/>
                <w:color w:val="FF0000"/>
                <w:sz w:val="24"/>
                <w:highlight w:val="none"/>
              </w:rPr>
              <w:t>）</w:t>
            </w:r>
            <w:r>
              <w:rPr>
                <w:rFonts w:hint="eastAsia"/>
                <w:color w:val="FF0000"/>
                <w:sz w:val="24"/>
                <w:highlight w:val="none"/>
                <w:lang w:eastAsia="zh-CN"/>
              </w:rPr>
              <w:t>附录</w:t>
            </w:r>
            <w:r>
              <w:rPr>
                <w:rFonts w:hint="eastAsia"/>
                <w:color w:val="FF0000"/>
                <w:sz w:val="24"/>
                <w:highlight w:val="none"/>
                <w:lang w:val="en-US" w:eastAsia="zh-CN"/>
              </w:rPr>
              <w:t>C，可知本项目环境风险潜势为I。</w:t>
            </w:r>
          </w:p>
          <w:p>
            <w:pPr>
              <w:adjustRightInd w:val="0"/>
              <w:spacing w:line="360" w:lineRule="auto"/>
              <w:ind w:firstLine="480" w:firstLineChars="200"/>
              <w:rPr>
                <w:rFonts w:hint="eastAsia"/>
                <w:color w:val="FF0000"/>
                <w:sz w:val="24"/>
                <w:highlight w:val="none"/>
                <w:lang w:val="en-US" w:eastAsia="zh-CN"/>
              </w:rPr>
            </w:pPr>
            <w:r>
              <w:rPr>
                <w:rFonts w:hint="eastAsia"/>
                <w:color w:val="FF0000"/>
                <w:sz w:val="24"/>
                <w:highlight w:val="none"/>
                <w:lang w:val="en-US" w:eastAsia="zh-CN"/>
              </w:rPr>
              <w:t>2、环境工作等级划分</w:t>
            </w:r>
          </w:p>
          <w:p>
            <w:pPr>
              <w:adjustRightInd w:val="0"/>
              <w:spacing w:line="360" w:lineRule="auto"/>
              <w:ind w:firstLine="480" w:firstLineChars="200"/>
              <w:rPr>
                <w:rFonts w:hint="default" w:ascii="Times New Roman" w:hAnsi="Times New Roman" w:eastAsia="宋体" w:cs="Times New Roman"/>
                <w:color w:val="FF0000"/>
                <w:sz w:val="24"/>
                <w:highlight w:val="none"/>
                <w:lang w:eastAsia="zh-CN"/>
              </w:rPr>
            </w:pPr>
            <w:r>
              <w:rPr>
                <w:rFonts w:hint="eastAsia" w:ascii="Times New Roman" w:hAnsi="Times New Roman" w:eastAsia="宋体" w:cs="Times New Roman"/>
                <w:color w:val="FF0000"/>
                <w:sz w:val="24"/>
                <w:highlight w:val="none"/>
                <w:lang w:eastAsia="zh-CN"/>
              </w:rPr>
              <w:t>环境风险评价工作等级划分为一级、二级、三级。根据建设项目涉及的物质及工艺系统危险性和所在地的环境敏感性确定环境风险潜势，按照表7-</w:t>
            </w:r>
            <w:r>
              <w:rPr>
                <w:rFonts w:hint="eastAsia" w:ascii="Times New Roman" w:hAnsi="Times New Roman" w:eastAsia="宋体" w:cs="Times New Roman"/>
                <w:color w:val="FF0000"/>
                <w:sz w:val="24"/>
                <w:highlight w:val="none"/>
                <w:lang w:val="en-US" w:eastAsia="zh-CN"/>
              </w:rPr>
              <w:t>21</w:t>
            </w:r>
            <w:r>
              <w:rPr>
                <w:rFonts w:hint="eastAsia" w:ascii="Times New Roman" w:hAnsi="Times New Roman" w:eastAsia="宋体" w:cs="Times New Roman"/>
                <w:color w:val="FF0000"/>
                <w:sz w:val="24"/>
                <w:highlight w:val="none"/>
                <w:lang w:eastAsia="zh-CN"/>
              </w:rPr>
              <w:t>确定工作等级。风险潜势为IV及以上，进行一级评价；风险潜势为III，进行二级评价；风险潜势为II，进行三级评价；风险潜势为I，可开展简单分析。</w:t>
            </w:r>
          </w:p>
          <w:p>
            <w:pPr>
              <w:pStyle w:val="119"/>
              <w:keepNext w:val="0"/>
              <w:keepLines w:val="0"/>
              <w:widowControl/>
              <w:suppressLineNumbers w:val="0"/>
              <w:spacing w:before="0" w:beforeAutospacing="0" w:after="0" w:afterAutospacing="0"/>
              <w:ind w:left="0" w:right="0"/>
              <w:rPr>
                <w:rFonts w:hint="default"/>
                <w:color w:val="FF0000"/>
              </w:rPr>
            </w:pPr>
            <w:r>
              <w:rPr>
                <w:rFonts w:hint="eastAsia"/>
                <w:color w:val="FF0000"/>
              </w:rPr>
              <w:t>表7-</w:t>
            </w:r>
            <w:r>
              <w:rPr>
                <w:rFonts w:hint="eastAsia"/>
                <w:color w:val="FF0000"/>
                <w:lang w:val="en-US" w:eastAsia="zh-CN"/>
              </w:rPr>
              <w:t>10</w:t>
            </w:r>
            <w:r>
              <w:rPr>
                <w:rFonts w:hint="eastAsia"/>
                <w:color w:val="FF0000"/>
              </w:rPr>
              <w:t xml:space="preserve">  评价工作等级划分</w:t>
            </w:r>
          </w:p>
          <w:tbl>
            <w:tblPr>
              <w:tblStyle w:val="32"/>
              <w:tblW w:w="8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0"/>
              <w:gridCol w:w="1660"/>
              <w:gridCol w:w="1660"/>
              <w:gridCol w:w="1661"/>
              <w:gridCol w:w="1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0"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环境风险潜势</w:t>
                  </w:r>
                </w:p>
              </w:tc>
              <w:tc>
                <w:tcPr>
                  <w:tcW w:w="1660"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IV、IV</w:t>
                  </w:r>
                  <w:r>
                    <w:rPr>
                      <w:rFonts w:hint="default" w:ascii="Times New Roman" w:hAnsi="Times New Roman" w:cs="Times New Roman"/>
                      <w:color w:val="FF0000"/>
                      <w:vertAlign w:val="superscript"/>
                    </w:rPr>
                    <w:t>+</w:t>
                  </w:r>
                </w:p>
              </w:tc>
              <w:tc>
                <w:tcPr>
                  <w:tcW w:w="1660"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III</w:t>
                  </w:r>
                </w:p>
              </w:tc>
              <w:tc>
                <w:tcPr>
                  <w:tcW w:w="1661"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II</w:t>
                  </w:r>
                </w:p>
              </w:tc>
              <w:tc>
                <w:tcPr>
                  <w:tcW w:w="1661"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0"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评价工作等级</w:t>
                  </w:r>
                </w:p>
              </w:tc>
              <w:tc>
                <w:tcPr>
                  <w:tcW w:w="1660"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一</w:t>
                  </w:r>
                </w:p>
              </w:tc>
              <w:tc>
                <w:tcPr>
                  <w:tcW w:w="1660"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二</w:t>
                  </w:r>
                </w:p>
              </w:tc>
              <w:tc>
                <w:tcPr>
                  <w:tcW w:w="1661"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三</w:t>
                  </w:r>
                </w:p>
              </w:tc>
              <w:tc>
                <w:tcPr>
                  <w:tcW w:w="1661" w:type="dxa"/>
                </w:tcPr>
                <w:p>
                  <w:pPr>
                    <w:pStyle w:val="120"/>
                    <w:keepNext w:val="0"/>
                    <w:keepLines w:val="0"/>
                    <w:widowControl w:val="0"/>
                    <w:suppressLineNumbers w:val="0"/>
                    <w:spacing w:before="0" w:beforeAutospacing="0" w:after="0" w:afterAutospacing="0"/>
                    <w:ind w:left="0" w:right="0"/>
                    <w:rPr>
                      <w:rFonts w:hint="default" w:ascii="Times New Roman" w:hAnsi="Times New Roman" w:cs="Times New Roman"/>
                      <w:color w:val="FF0000"/>
                    </w:rPr>
                  </w:pPr>
                  <w:r>
                    <w:rPr>
                      <w:rFonts w:hint="default" w:ascii="Times New Roman" w:hAnsi="Times New Roman" w:cs="Times New Roman"/>
                      <w:color w:val="FF0000"/>
                    </w:rPr>
                    <w:t>简单分析</w:t>
                  </w:r>
                  <w:r>
                    <w:rPr>
                      <w:rFonts w:hint="default" w:ascii="Times New Roman" w:hAnsi="Times New Roman" w:cs="Times New Roman"/>
                      <w:color w:val="FF0000"/>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302" w:type="dxa"/>
                  <w:gridSpan w:val="5"/>
                </w:tcPr>
                <w:p>
                  <w:pPr>
                    <w:pStyle w:val="120"/>
                    <w:keepNext w:val="0"/>
                    <w:keepLines w:val="0"/>
                    <w:widowControl w:val="0"/>
                    <w:suppressLineNumbers w:val="0"/>
                    <w:spacing w:before="0" w:beforeAutospacing="0" w:after="0" w:afterAutospacing="0"/>
                    <w:ind w:left="0" w:right="0"/>
                    <w:jc w:val="both"/>
                    <w:rPr>
                      <w:rFonts w:hint="default" w:ascii="Times New Roman" w:hAnsi="Times New Roman" w:cs="Times New Roman"/>
                      <w:color w:val="FF0000"/>
                    </w:rPr>
                  </w:pPr>
                  <w:r>
                    <w:rPr>
                      <w:rFonts w:hint="default" w:ascii="Times New Roman" w:hAnsi="Times New Roman" w:cs="Times New Roman"/>
                      <w:color w:val="FF0000"/>
                    </w:rPr>
                    <w:t>a  是相对于详细工作内容而言，在描述危险物质、环境影响途径、环境危害后果、风险防范措施等方面给出定性的说明。见附录A。</w:t>
                  </w:r>
                </w:p>
              </w:tc>
            </w:tr>
          </w:tbl>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val="en-US" w:eastAsia="zh-CN"/>
              </w:rPr>
              <w:t>本项目环境风险潜势为I，根据</w:t>
            </w:r>
            <w:r>
              <w:rPr>
                <w:rFonts w:hint="eastAsia"/>
                <w:color w:val="FF0000"/>
                <w:sz w:val="24"/>
                <w:highlight w:val="none"/>
              </w:rPr>
              <w:t>《建设项目环境风险评价技术导则》（HJ/T 169－20</w:t>
            </w:r>
            <w:r>
              <w:rPr>
                <w:rFonts w:hint="eastAsia"/>
                <w:color w:val="FF0000"/>
                <w:sz w:val="24"/>
                <w:highlight w:val="none"/>
                <w:lang w:val="en-US" w:eastAsia="zh-CN"/>
              </w:rPr>
              <w:t>18</w:t>
            </w:r>
            <w:r>
              <w:rPr>
                <w:rFonts w:hint="eastAsia"/>
                <w:color w:val="FF0000"/>
                <w:sz w:val="24"/>
                <w:highlight w:val="none"/>
              </w:rPr>
              <w:t>）</w:t>
            </w:r>
            <w:r>
              <w:rPr>
                <w:rFonts w:hint="eastAsia"/>
                <w:color w:val="FF0000"/>
                <w:sz w:val="24"/>
                <w:highlight w:val="none"/>
                <w:lang w:eastAsia="zh-CN"/>
              </w:rPr>
              <w:t>表</w:t>
            </w:r>
            <w:r>
              <w:rPr>
                <w:rFonts w:hint="eastAsia"/>
                <w:color w:val="FF0000"/>
                <w:sz w:val="24"/>
                <w:highlight w:val="none"/>
                <w:lang w:val="en-US" w:eastAsia="zh-CN"/>
              </w:rPr>
              <w:t>1，项目环境风险可开展简单分析。</w:t>
            </w:r>
          </w:p>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val="en-US" w:eastAsia="zh-CN"/>
              </w:rPr>
              <w:t>3、项目环境风险的简单分析</w:t>
            </w:r>
          </w:p>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eastAsia="zh-CN"/>
              </w:rPr>
              <w:t>（</w:t>
            </w:r>
            <w:r>
              <w:rPr>
                <w:rFonts w:hint="eastAsia"/>
                <w:color w:val="FF0000"/>
                <w:sz w:val="24"/>
                <w:highlight w:val="none"/>
                <w:lang w:val="en-US" w:eastAsia="zh-CN"/>
              </w:rPr>
              <w:t>一）评价依据</w:t>
            </w:r>
          </w:p>
          <w:p>
            <w:pPr>
              <w:adjustRightInd w:val="0"/>
              <w:spacing w:line="360" w:lineRule="auto"/>
              <w:ind w:firstLine="480" w:firstLineChars="200"/>
              <w:rPr>
                <w:rFonts w:hint="eastAsia" w:eastAsia="宋体"/>
                <w:color w:val="FF0000"/>
                <w:sz w:val="24"/>
                <w:highlight w:val="none"/>
                <w:lang w:eastAsia="zh-CN"/>
              </w:rPr>
            </w:pPr>
            <w:r>
              <w:rPr>
                <w:rFonts w:hint="eastAsia"/>
                <w:color w:val="FF0000"/>
                <w:sz w:val="24"/>
                <w:highlight w:val="none"/>
                <w:lang w:val="en-US" w:eastAsia="zh-CN"/>
              </w:rPr>
              <w:t>根据环境风险潜势划分判断</w:t>
            </w:r>
            <w:r>
              <w:rPr>
                <w:rFonts w:hint="eastAsia"/>
                <w:color w:val="FF0000"/>
                <w:sz w:val="24"/>
                <w:highlight w:val="none"/>
                <w:lang w:eastAsia="zh-CN"/>
              </w:rPr>
              <w:t>本项目</w:t>
            </w:r>
            <w:r>
              <w:rPr>
                <w:rFonts w:hint="eastAsia"/>
                <w:color w:val="FF0000"/>
                <w:sz w:val="24"/>
                <w:highlight w:val="none"/>
                <w:lang w:val="en-US" w:eastAsia="zh-CN"/>
              </w:rPr>
              <w:t>环境风险潜势为I，根据环境工作等级划分，项目环境风险可开展简单分析。</w:t>
            </w:r>
          </w:p>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eastAsia="zh-CN"/>
              </w:rPr>
              <w:t>（</w:t>
            </w:r>
            <w:r>
              <w:rPr>
                <w:rFonts w:hint="eastAsia"/>
                <w:color w:val="FF0000"/>
                <w:sz w:val="24"/>
                <w:highlight w:val="none"/>
                <w:lang w:val="en-US" w:eastAsia="zh-CN"/>
              </w:rPr>
              <w:t>二）环境敏感目标概况</w:t>
            </w:r>
          </w:p>
          <w:p>
            <w:pPr>
              <w:pStyle w:val="46"/>
              <w:adjustRightInd w:val="0"/>
              <w:snapToGrid/>
              <w:ind w:firstLine="480" w:firstLineChars="200"/>
              <w:rPr>
                <w:rFonts w:ascii="Times New Roman"/>
                <w:color w:val="FF0000"/>
                <w:szCs w:val="21"/>
                <w:highlight w:val="none"/>
              </w:rPr>
            </w:pPr>
            <w:r>
              <w:rPr>
                <w:rFonts w:ascii="Times New Roman"/>
                <w:color w:val="FF0000"/>
                <w:szCs w:val="21"/>
                <w:highlight w:val="none"/>
              </w:rPr>
              <w:t>项目</w:t>
            </w:r>
            <w:r>
              <w:rPr>
                <w:rFonts w:hint="eastAsia" w:ascii="Times New Roman"/>
                <w:color w:val="FF0000"/>
                <w:szCs w:val="21"/>
                <w:highlight w:val="none"/>
                <w:lang w:eastAsia="zh-CN"/>
              </w:rPr>
              <w:t>所在</w:t>
            </w:r>
            <w:r>
              <w:rPr>
                <w:rFonts w:ascii="Times New Roman"/>
                <w:color w:val="FF0000"/>
                <w:szCs w:val="21"/>
                <w:highlight w:val="none"/>
              </w:rPr>
              <w:t>地周围主要保护的目标见表</w:t>
            </w:r>
            <w:r>
              <w:rPr>
                <w:rFonts w:hint="eastAsia" w:ascii="Times New Roman"/>
                <w:color w:val="FF0000"/>
                <w:szCs w:val="21"/>
                <w:highlight w:val="none"/>
                <w:lang w:val="en-US" w:eastAsia="zh-CN"/>
              </w:rPr>
              <w:t>7-10</w:t>
            </w:r>
            <w:r>
              <w:rPr>
                <w:rFonts w:ascii="Times New Roman"/>
                <w:color w:val="FF0000"/>
                <w:szCs w:val="21"/>
                <w:highlight w:val="none"/>
              </w:rPr>
              <w:t>。</w:t>
            </w:r>
          </w:p>
          <w:p>
            <w:pPr>
              <w:jc w:val="center"/>
              <w:rPr>
                <w:b/>
                <w:color w:val="FF0000"/>
                <w:sz w:val="21"/>
                <w:szCs w:val="21"/>
              </w:rPr>
            </w:pPr>
            <w:r>
              <w:rPr>
                <w:b/>
                <w:color w:val="FF0000"/>
                <w:sz w:val="21"/>
                <w:szCs w:val="21"/>
              </w:rPr>
              <w:t>表</w:t>
            </w:r>
            <w:r>
              <w:rPr>
                <w:rFonts w:hint="eastAsia"/>
                <w:b/>
                <w:color w:val="FF0000"/>
                <w:sz w:val="21"/>
                <w:szCs w:val="21"/>
                <w:lang w:val="en-US" w:eastAsia="zh-CN"/>
              </w:rPr>
              <w:t>7-10</w:t>
            </w:r>
            <w:r>
              <w:rPr>
                <w:b/>
                <w:color w:val="FF0000"/>
                <w:sz w:val="21"/>
                <w:szCs w:val="21"/>
              </w:rPr>
              <w:t xml:space="preserve"> 本项目环境保护目标一览表</w:t>
            </w:r>
          </w:p>
          <w:tbl>
            <w:tblPr>
              <w:tblStyle w:val="31"/>
              <w:tblW w:w="920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29"/>
              <w:gridCol w:w="1587"/>
              <w:gridCol w:w="722"/>
              <w:gridCol w:w="1116"/>
              <w:gridCol w:w="1092"/>
              <w:gridCol w:w="1653"/>
              <w:gridCol w:w="16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Align w:val="center"/>
                </w:tcPr>
                <w:p>
                  <w:pPr>
                    <w:jc w:val="center"/>
                    <w:rPr>
                      <w:b/>
                      <w:color w:val="FF0000"/>
                      <w:szCs w:val="21"/>
                    </w:rPr>
                  </w:pPr>
                  <w:r>
                    <w:rPr>
                      <w:b/>
                      <w:color w:val="FF0000"/>
                      <w:szCs w:val="21"/>
                    </w:rPr>
                    <w:t>环境要素</w:t>
                  </w:r>
                </w:p>
              </w:tc>
              <w:tc>
                <w:tcPr>
                  <w:tcW w:w="1587" w:type="dxa"/>
                  <w:vAlign w:val="center"/>
                </w:tcPr>
                <w:p>
                  <w:pPr>
                    <w:jc w:val="center"/>
                    <w:rPr>
                      <w:b/>
                      <w:color w:val="FF0000"/>
                      <w:szCs w:val="21"/>
                    </w:rPr>
                  </w:pPr>
                  <w:r>
                    <w:rPr>
                      <w:b/>
                      <w:color w:val="FF0000"/>
                      <w:szCs w:val="21"/>
                    </w:rPr>
                    <w:t>敏感目标</w:t>
                  </w:r>
                </w:p>
              </w:tc>
              <w:tc>
                <w:tcPr>
                  <w:tcW w:w="722" w:type="dxa"/>
                  <w:vAlign w:val="center"/>
                </w:tcPr>
                <w:p>
                  <w:pPr>
                    <w:ind w:left="-105" w:leftChars="-50" w:right="-105" w:rightChars="-50"/>
                    <w:jc w:val="center"/>
                    <w:rPr>
                      <w:b/>
                      <w:color w:val="FF0000"/>
                      <w:szCs w:val="21"/>
                    </w:rPr>
                  </w:pPr>
                  <w:r>
                    <w:rPr>
                      <w:b/>
                      <w:color w:val="FF0000"/>
                      <w:szCs w:val="21"/>
                    </w:rPr>
                    <w:t>方位</w:t>
                  </w:r>
                </w:p>
              </w:tc>
              <w:tc>
                <w:tcPr>
                  <w:tcW w:w="1116" w:type="dxa"/>
                  <w:vAlign w:val="center"/>
                </w:tcPr>
                <w:p>
                  <w:pPr>
                    <w:jc w:val="center"/>
                    <w:rPr>
                      <w:b/>
                      <w:color w:val="FF0000"/>
                      <w:szCs w:val="21"/>
                    </w:rPr>
                  </w:pPr>
                  <w:r>
                    <w:rPr>
                      <w:b/>
                      <w:color w:val="FF0000"/>
                      <w:szCs w:val="21"/>
                    </w:rPr>
                    <w:t>距离m</w:t>
                  </w:r>
                </w:p>
              </w:tc>
              <w:tc>
                <w:tcPr>
                  <w:tcW w:w="1092" w:type="dxa"/>
                  <w:vAlign w:val="center"/>
                </w:tcPr>
                <w:p>
                  <w:pPr>
                    <w:jc w:val="center"/>
                    <w:rPr>
                      <w:b/>
                      <w:color w:val="FF0000"/>
                      <w:szCs w:val="21"/>
                    </w:rPr>
                  </w:pPr>
                  <w:r>
                    <w:rPr>
                      <w:b/>
                      <w:color w:val="FF0000"/>
                      <w:szCs w:val="21"/>
                    </w:rPr>
                    <w:t>功能</w:t>
                  </w:r>
                </w:p>
              </w:tc>
              <w:tc>
                <w:tcPr>
                  <w:tcW w:w="1653" w:type="dxa"/>
                  <w:vAlign w:val="center"/>
                </w:tcPr>
                <w:p>
                  <w:pPr>
                    <w:jc w:val="center"/>
                    <w:rPr>
                      <w:b/>
                      <w:color w:val="FF0000"/>
                      <w:szCs w:val="21"/>
                    </w:rPr>
                  </w:pPr>
                  <w:r>
                    <w:rPr>
                      <w:b/>
                      <w:color w:val="FF0000"/>
                      <w:szCs w:val="21"/>
                    </w:rPr>
                    <w:t>规模</w:t>
                  </w:r>
                </w:p>
              </w:tc>
              <w:tc>
                <w:tcPr>
                  <w:tcW w:w="1609" w:type="dxa"/>
                  <w:vAlign w:val="center"/>
                </w:tcPr>
                <w:p>
                  <w:pPr>
                    <w:jc w:val="center"/>
                    <w:rPr>
                      <w:b/>
                      <w:color w:val="FF0000"/>
                      <w:szCs w:val="21"/>
                    </w:rPr>
                  </w:pPr>
                  <w:r>
                    <w:rPr>
                      <w:b/>
                      <w:color w:val="FF0000"/>
                      <w:szCs w:val="21"/>
                    </w:rPr>
                    <w:t>保护级别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Align w:val="center"/>
                </w:tcPr>
                <w:p>
                  <w:pPr>
                    <w:jc w:val="center"/>
                    <w:rPr>
                      <w:color w:val="FF0000"/>
                      <w:szCs w:val="21"/>
                    </w:rPr>
                  </w:pPr>
                  <w:r>
                    <w:rPr>
                      <w:color w:val="FF0000"/>
                      <w:szCs w:val="21"/>
                    </w:rPr>
                    <w:t>水环境</w:t>
                  </w:r>
                </w:p>
              </w:tc>
              <w:tc>
                <w:tcPr>
                  <w:tcW w:w="1587" w:type="dxa"/>
                  <w:vAlign w:val="center"/>
                </w:tcPr>
                <w:p>
                  <w:pPr>
                    <w:ind w:left="-105" w:leftChars="-50" w:right="-105" w:rightChars="-50"/>
                    <w:jc w:val="center"/>
                    <w:rPr>
                      <w:rFonts w:hint="eastAsia" w:eastAsia="宋体"/>
                      <w:color w:val="FF0000"/>
                      <w:szCs w:val="21"/>
                      <w:lang w:eastAsia="zh-CN"/>
                    </w:rPr>
                  </w:pPr>
                  <w:r>
                    <w:rPr>
                      <w:rFonts w:hint="eastAsia"/>
                      <w:color w:val="FF0000"/>
                      <w:szCs w:val="21"/>
                      <w:lang w:eastAsia="zh-CN"/>
                    </w:rPr>
                    <w:t>引榕总干渠</w:t>
                  </w:r>
                </w:p>
              </w:tc>
              <w:tc>
                <w:tcPr>
                  <w:tcW w:w="722" w:type="dxa"/>
                  <w:vAlign w:val="center"/>
                </w:tcPr>
                <w:p>
                  <w:pPr>
                    <w:jc w:val="center"/>
                    <w:rPr>
                      <w:rFonts w:hint="eastAsia" w:eastAsia="宋体"/>
                      <w:color w:val="FF0000"/>
                      <w:szCs w:val="21"/>
                      <w:lang w:eastAsia="zh-CN"/>
                    </w:rPr>
                  </w:pPr>
                  <w:r>
                    <w:rPr>
                      <w:rFonts w:hint="eastAsia"/>
                      <w:color w:val="FF0000"/>
                      <w:szCs w:val="21"/>
                      <w:lang w:val="en-US" w:eastAsia="zh-CN"/>
                    </w:rPr>
                    <w:t>S</w:t>
                  </w:r>
                </w:p>
              </w:tc>
              <w:tc>
                <w:tcPr>
                  <w:tcW w:w="1116" w:type="dxa"/>
                  <w:vAlign w:val="center"/>
                </w:tcPr>
                <w:p>
                  <w:pPr>
                    <w:jc w:val="center"/>
                    <w:rPr>
                      <w:rFonts w:hint="eastAsia" w:eastAsia="宋体"/>
                      <w:color w:val="FF0000"/>
                      <w:szCs w:val="21"/>
                      <w:lang w:val="en-US" w:eastAsia="zh-CN"/>
                    </w:rPr>
                  </w:pPr>
                  <w:r>
                    <w:rPr>
                      <w:rFonts w:hint="eastAsia"/>
                      <w:color w:val="FF0000"/>
                      <w:szCs w:val="21"/>
                      <w:lang w:val="en-US" w:eastAsia="zh-CN"/>
                    </w:rPr>
                    <w:t>20</w:t>
                  </w:r>
                </w:p>
              </w:tc>
              <w:tc>
                <w:tcPr>
                  <w:tcW w:w="1092" w:type="dxa"/>
                  <w:vAlign w:val="center"/>
                </w:tcPr>
                <w:p>
                  <w:pPr>
                    <w:jc w:val="center"/>
                    <w:rPr>
                      <w:color w:val="FF0000"/>
                      <w:szCs w:val="21"/>
                    </w:rPr>
                  </w:pPr>
                  <w:r>
                    <w:rPr>
                      <w:color w:val="FF0000"/>
                      <w:szCs w:val="21"/>
                    </w:rPr>
                    <w:t>——</w:t>
                  </w:r>
                </w:p>
              </w:tc>
              <w:tc>
                <w:tcPr>
                  <w:tcW w:w="1653" w:type="dxa"/>
                  <w:vAlign w:val="center"/>
                </w:tcPr>
                <w:p>
                  <w:pPr>
                    <w:jc w:val="center"/>
                    <w:rPr>
                      <w:color w:val="FF0000"/>
                      <w:szCs w:val="21"/>
                    </w:rPr>
                  </w:pPr>
                  <w:r>
                    <w:rPr>
                      <w:color w:val="FF0000"/>
                      <w:szCs w:val="21"/>
                    </w:rPr>
                    <w:t>——</w:t>
                  </w:r>
                </w:p>
              </w:tc>
              <w:tc>
                <w:tcPr>
                  <w:tcW w:w="1609" w:type="dxa"/>
                  <w:vAlign w:val="center"/>
                </w:tcPr>
                <w:p>
                  <w:pPr>
                    <w:jc w:val="center"/>
                    <w:rPr>
                      <w:color w:val="FF0000"/>
                      <w:szCs w:val="21"/>
                    </w:rPr>
                  </w:pPr>
                  <w:r>
                    <w:rPr>
                      <w:color w:val="FF0000"/>
                      <w:szCs w:val="21"/>
                    </w:rPr>
                    <w:t>(GB3838-2002)中</w:t>
                  </w:r>
                  <w:r>
                    <w:rPr>
                      <w:rFonts w:hint="eastAsia"/>
                      <w:color w:val="FF0000"/>
                      <w:szCs w:val="21"/>
                    </w:rPr>
                    <w:fldChar w:fldCharType="begin"/>
                  </w:r>
                  <w:r>
                    <w:rPr>
                      <w:rFonts w:hint="eastAsia"/>
                      <w:color w:val="FF0000"/>
                      <w:szCs w:val="21"/>
                    </w:rPr>
                    <w:instrText xml:space="preserve"> = 3 \* ROMAN </w:instrText>
                  </w:r>
                  <w:r>
                    <w:rPr>
                      <w:rFonts w:hint="eastAsia"/>
                      <w:color w:val="FF0000"/>
                      <w:szCs w:val="21"/>
                    </w:rPr>
                    <w:fldChar w:fldCharType="separate"/>
                  </w:r>
                  <w:r>
                    <w:rPr>
                      <w:rFonts w:hint="eastAsia"/>
                      <w:color w:val="FF0000"/>
                      <w:szCs w:val="21"/>
                    </w:rPr>
                    <w:t>V</w:t>
                  </w:r>
                  <w:r>
                    <w:rPr>
                      <w:rFonts w:hint="eastAsia"/>
                      <w:color w:val="FF0000"/>
                      <w:szCs w:val="21"/>
                    </w:rPr>
                    <w:fldChar w:fldCharType="end"/>
                  </w:r>
                  <w:r>
                    <w:rPr>
                      <w:color w:val="FF0000"/>
                      <w:szCs w:val="21"/>
                    </w:rPr>
                    <w:t>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restart"/>
                  <w:vAlign w:val="center"/>
                </w:tcPr>
                <w:p>
                  <w:pPr>
                    <w:jc w:val="center"/>
                    <w:rPr>
                      <w:color w:val="FF0000"/>
                      <w:szCs w:val="21"/>
                    </w:rPr>
                  </w:pPr>
                  <w:r>
                    <w:rPr>
                      <w:color w:val="FF0000"/>
                      <w:szCs w:val="21"/>
                    </w:rPr>
                    <w:t>大气环境</w:t>
                  </w:r>
                </w:p>
              </w:tc>
              <w:tc>
                <w:tcPr>
                  <w:tcW w:w="1587" w:type="dxa"/>
                  <w:vAlign w:val="center"/>
                </w:tcPr>
                <w:p>
                  <w:pPr>
                    <w:ind w:left="-105" w:leftChars="-50" w:right="-105" w:rightChars="-50"/>
                    <w:jc w:val="center"/>
                    <w:rPr>
                      <w:rFonts w:hint="eastAsia" w:eastAsia="宋体"/>
                      <w:color w:val="FF0000"/>
                      <w:szCs w:val="21"/>
                      <w:lang w:eastAsia="zh-CN"/>
                    </w:rPr>
                  </w:pPr>
                  <w:r>
                    <w:rPr>
                      <w:rFonts w:hint="eastAsia"/>
                      <w:color w:val="FF0000"/>
                      <w:szCs w:val="21"/>
                      <w:lang w:eastAsia="zh-CN"/>
                    </w:rPr>
                    <w:t>新光村</w:t>
                  </w:r>
                </w:p>
              </w:tc>
              <w:tc>
                <w:tcPr>
                  <w:tcW w:w="722" w:type="dxa"/>
                  <w:vAlign w:val="center"/>
                </w:tcPr>
                <w:p>
                  <w:pPr>
                    <w:jc w:val="center"/>
                    <w:rPr>
                      <w:rFonts w:hint="default" w:eastAsia="宋体"/>
                      <w:color w:val="FF0000"/>
                      <w:szCs w:val="21"/>
                      <w:lang w:val="en-US" w:eastAsia="zh-CN"/>
                    </w:rPr>
                  </w:pPr>
                  <w:r>
                    <w:rPr>
                      <w:rFonts w:hint="eastAsia"/>
                      <w:color w:val="FF0000"/>
                      <w:szCs w:val="21"/>
                      <w:lang w:val="en-US" w:eastAsia="zh-CN"/>
                    </w:rPr>
                    <w:t>E\W\N</w:t>
                  </w:r>
                </w:p>
              </w:tc>
              <w:tc>
                <w:tcPr>
                  <w:tcW w:w="1116" w:type="dxa"/>
                  <w:vAlign w:val="center"/>
                </w:tcPr>
                <w:p>
                  <w:pPr>
                    <w:jc w:val="center"/>
                    <w:rPr>
                      <w:rFonts w:hint="default" w:eastAsia="宋体"/>
                      <w:color w:val="FF0000"/>
                      <w:szCs w:val="21"/>
                      <w:lang w:val="en-US" w:eastAsia="zh-CN"/>
                    </w:rPr>
                  </w:pPr>
                  <w:r>
                    <w:rPr>
                      <w:rFonts w:hint="eastAsia"/>
                      <w:color w:val="FF0000"/>
                      <w:szCs w:val="21"/>
                      <w:lang w:val="en-US" w:eastAsia="zh-CN"/>
                    </w:rPr>
                    <w:t>10</w:t>
                  </w:r>
                </w:p>
              </w:tc>
              <w:tc>
                <w:tcPr>
                  <w:tcW w:w="1092" w:type="dxa"/>
                  <w:vAlign w:val="center"/>
                </w:tcPr>
                <w:p>
                  <w:pPr>
                    <w:jc w:val="center"/>
                    <w:rPr>
                      <w:rFonts w:hint="eastAsia" w:eastAsia="宋体"/>
                      <w:color w:val="FF0000"/>
                      <w:szCs w:val="21"/>
                      <w:lang w:eastAsia="zh-CN"/>
                    </w:rPr>
                  </w:pPr>
                  <w:r>
                    <w:rPr>
                      <w:rFonts w:hint="eastAsia"/>
                      <w:color w:val="FF0000"/>
                      <w:szCs w:val="21"/>
                      <w:lang w:eastAsia="zh-CN"/>
                    </w:rPr>
                    <w:t>住宅</w:t>
                  </w:r>
                </w:p>
              </w:tc>
              <w:tc>
                <w:tcPr>
                  <w:tcW w:w="1653" w:type="dxa"/>
                  <w:vAlign w:val="center"/>
                </w:tcPr>
                <w:p>
                  <w:pPr>
                    <w:jc w:val="center"/>
                    <w:rPr>
                      <w:rFonts w:hint="eastAsia" w:eastAsia="宋体"/>
                      <w:color w:val="FF0000"/>
                      <w:szCs w:val="21"/>
                      <w:lang w:val="en-US" w:eastAsia="zh-CN"/>
                    </w:rPr>
                  </w:pPr>
                  <w:r>
                    <w:rPr>
                      <w:rFonts w:hint="eastAsia"/>
                      <w:color w:val="FF0000"/>
                      <w:szCs w:val="21"/>
                      <w:lang w:val="en-US" w:eastAsia="zh-CN"/>
                    </w:rPr>
                    <w:t>40户，150人</w:t>
                  </w:r>
                </w:p>
              </w:tc>
              <w:tc>
                <w:tcPr>
                  <w:tcW w:w="1609" w:type="dxa"/>
                  <w:vMerge w:val="restart"/>
                  <w:vAlign w:val="center"/>
                </w:tcPr>
                <w:p>
                  <w:pPr>
                    <w:jc w:val="center"/>
                    <w:rPr>
                      <w:color w:val="FF0000"/>
                      <w:szCs w:val="21"/>
                    </w:rPr>
                  </w:pPr>
                  <w:r>
                    <w:rPr>
                      <w:color w:val="FF0000"/>
                      <w:szCs w:val="21"/>
                    </w:rPr>
                    <w:t>（GB3095-2012）中的二级标准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ind w:left="-105" w:leftChars="-50" w:right="-105" w:rightChars="-50"/>
                    <w:jc w:val="center"/>
                    <w:rPr>
                      <w:rFonts w:hint="eastAsia"/>
                      <w:color w:val="FF0000"/>
                      <w:szCs w:val="21"/>
                      <w:lang w:eastAsia="zh-CN"/>
                    </w:rPr>
                  </w:pPr>
                  <w:r>
                    <w:rPr>
                      <w:rFonts w:hint="eastAsia"/>
                      <w:color w:val="FF0000"/>
                      <w:szCs w:val="21"/>
                      <w:lang w:eastAsia="zh-CN"/>
                    </w:rPr>
                    <w:t>引榕南村</w:t>
                  </w:r>
                </w:p>
              </w:tc>
              <w:tc>
                <w:tcPr>
                  <w:tcW w:w="722" w:type="dxa"/>
                  <w:vAlign w:val="center"/>
                </w:tcPr>
                <w:p>
                  <w:pPr>
                    <w:jc w:val="center"/>
                    <w:rPr>
                      <w:rFonts w:hint="default" w:eastAsia="宋体"/>
                      <w:color w:val="FF0000"/>
                      <w:szCs w:val="21"/>
                      <w:lang w:val="en-US" w:eastAsia="zh-CN"/>
                    </w:rPr>
                  </w:pPr>
                  <w:r>
                    <w:rPr>
                      <w:rFonts w:hint="eastAsia"/>
                      <w:color w:val="FF0000"/>
                      <w:szCs w:val="21"/>
                      <w:lang w:val="en-US" w:eastAsia="zh-CN"/>
                    </w:rPr>
                    <w:t>S</w:t>
                  </w:r>
                </w:p>
              </w:tc>
              <w:tc>
                <w:tcPr>
                  <w:tcW w:w="1116" w:type="dxa"/>
                  <w:vAlign w:val="center"/>
                </w:tcPr>
                <w:p>
                  <w:pPr>
                    <w:jc w:val="center"/>
                    <w:rPr>
                      <w:rFonts w:hint="default" w:eastAsia="宋体"/>
                      <w:color w:val="FF0000"/>
                      <w:szCs w:val="21"/>
                      <w:lang w:val="en-US" w:eastAsia="zh-CN"/>
                    </w:rPr>
                  </w:pPr>
                  <w:r>
                    <w:rPr>
                      <w:rFonts w:hint="eastAsia"/>
                      <w:color w:val="FF0000"/>
                      <w:szCs w:val="21"/>
                      <w:lang w:val="en-US" w:eastAsia="zh-CN"/>
                    </w:rPr>
                    <w:t>60</w:t>
                  </w:r>
                </w:p>
              </w:tc>
              <w:tc>
                <w:tcPr>
                  <w:tcW w:w="1092" w:type="dxa"/>
                  <w:vAlign w:val="center"/>
                </w:tcPr>
                <w:p>
                  <w:pPr>
                    <w:jc w:val="center"/>
                    <w:rPr>
                      <w:rFonts w:hint="eastAsia" w:eastAsia="宋体"/>
                      <w:color w:val="FF0000"/>
                      <w:szCs w:val="21"/>
                      <w:lang w:eastAsia="zh-CN"/>
                    </w:rPr>
                  </w:pPr>
                  <w:r>
                    <w:rPr>
                      <w:rFonts w:hint="eastAsia"/>
                      <w:color w:val="FF0000"/>
                      <w:szCs w:val="21"/>
                      <w:lang w:eastAsia="zh-CN"/>
                    </w:rPr>
                    <w:t>住宅</w:t>
                  </w:r>
                </w:p>
              </w:tc>
              <w:tc>
                <w:tcPr>
                  <w:tcW w:w="1653" w:type="dxa"/>
                  <w:vAlign w:val="center"/>
                </w:tcPr>
                <w:p>
                  <w:pPr>
                    <w:jc w:val="center"/>
                    <w:rPr>
                      <w:rFonts w:hint="eastAsia" w:eastAsia="宋体"/>
                      <w:color w:val="FF0000"/>
                      <w:szCs w:val="21"/>
                      <w:lang w:val="en-US" w:eastAsia="zh-CN"/>
                    </w:rPr>
                  </w:pPr>
                  <w:r>
                    <w:rPr>
                      <w:rFonts w:hint="eastAsia"/>
                      <w:color w:val="FF0000"/>
                      <w:szCs w:val="21"/>
                      <w:lang w:val="en-US" w:eastAsia="zh-CN"/>
                    </w:rPr>
                    <w:t>15户，65人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ind w:left="-105" w:leftChars="-50" w:right="-105" w:rightChars="-50"/>
                    <w:jc w:val="center"/>
                    <w:rPr>
                      <w:rFonts w:hint="eastAsia"/>
                      <w:color w:val="FF0000"/>
                      <w:szCs w:val="21"/>
                      <w:lang w:eastAsia="zh-CN"/>
                    </w:rPr>
                  </w:pPr>
                  <w:r>
                    <w:rPr>
                      <w:rFonts w:hint="eastAsia"/>
                      <w:color w:val="FF0000"/>
                      <w:szCs w:val="21"/>
                      <w:lang w:eastAsia="zh-CN"/>
                    </w:rPr>
                    <w:t>梅塘镇人民政府</w:t>
                  </w:r>
                </w:p>
              </w:tc>
              <w:tc>
                <w:tcPr>
                  <w:tcW w:w="722" w:type="dxa"/>
                  <w:vAlign w:val="center"/>
                </w:tcPr>
                <w:p>
                  <w:pPr>
                    <w:jc w:val="center"/>
                    <w:rPr>
                      <w:rFonts w:hint="eastAsia"/>
                      <w:color w:val="FF0000"/>
                      <w:szCs w:val="21"/>
                      <w:lang w:val="en-US" w:eastAsia="zh-CN"/>
                    </w:rPr>
                  </w:pPr>
                  <w:r>
                    <w:rPr>
                      <w:rFonts w:hint="eastAsia"/>
                      <w:color w:val="FF0000"/>
                      <w:szCs w:val="21"/>
                      <w:lang w:val="en-US" w:eastAsia="zh-CN"/>
                    </w:rPr>
                    <w:t>SE</w:t>
                  </w:r>
                </w:p>
              </w:tc>
              <w:tc>
                <w:tcPr>
                  <w:tcW w:w="1116" w:type="dxa"/>
                  <w:vAlign w:val="center"/>
                </w:tcPr>
                <w:p>
                  <w:pPr>
                    <w:jc w:val="center"/>
                    <w:rPr>
                      <w:rFonts w:hint="eastAsia"/>
                      <w:color w:val="FF0000"/>
                      <w:szCs w:val="21"/>
                      <w:lang w:val="en-US" w:eastAsia="zh-CN"/>
                    </w:rPr>
                  </w:pPr>
                  <w:r>
                    <w:rPr>
                      <w:rFonts w:hint="eastAsia"/>
                      <w:color w:val="FF0000"/>
                      <w:szCs w:val="21"/>
                      <w:lang w:val="en-US" w:eastAsia="zh-CN"/>
                    </w:rPr>
                    <w:t>160</w:t>
                  </w:r>
                </w:p>
              </w:tc>
              <w:tc>
                <w:tcPr>
                  <w:tcW w:w="1092" w:type="dxa"/>
                  <w:vAlign w:val="center"/>
                </w:tcPr>
                <w:p>
                  <w:pPr>
                    <w:jc w:val="center"/>
                    <w:rPr>
                      <w:rFonts w:hint="eastAsia"/>
                      <w:color w:val="FF0000"/>
                      <w:szCs w:val="21"/>
                      <w:lang w:eastAsia="zh-CN"/>
                    </w:rPr>
                  </w:pPr>
                  <w:r>
                    <w:rPr>
                      <w:rFonts w:hint="eastAsia"/>
                      <w:color w:val="FF0000"/>
                      <w:szCs w:val="21"/>
                      <w:lang w:eastAsia="zh-CN"/>
                    </w:rPr>
                    <w:t>行政办公</w:t>
                  </w:r>
                </w:p>
              </w:tc>
              <w:tc>
                <w:tcPr>
                  <w:tcW w:w="1653" w:type="dxa"/>
                  <w:vAlign w:val="center"/>
                </w:tcPr>
                <w:p>
                  <w:pPr>
                    <w:jc w:val="center"/>
                    <w:rPr>
                      <w:rFonts w:hint="eastAsia"/>
                      <w:color w:val="FF0000"/>
                      <w:szCs w:val="21"/>
                      <w:lang w:val="en-US" w:eastAsia="zh-CN"/>
                    </w:rPr>
                  </w:pPr>
                  <w:r>
                    <w:rPr>
                      <w:rFonts w:hint="eastAsia"/>
                      <w:color w:val="FF0000"/>
                      <w:szCs w:val="21"/>
                      <w:lang w:val="en-US" w:eastAsia="zh-CN"/>
                    </w:rPr>
                    <w:t>89人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rFonts w:hint="eastAsia" w:eastAsia="宋体"/>
                      <w:color w:val="FF0000"/>
                      <w:szCs w:val="21"/>
                      <w:lang w:eastAsia="zh-CN"/>
                    </w:rPr>
                  </w:pPr>
                  <w:r>
                    <w:rPr>
                      <w:rFonts w:hint="eastAsia"/>
                      <w:color w:val="FF0000"/>
                      <w:szCs w:val="21"/>
                      <w:lang w:eastAsia="zh-CN"/>
                    </w:rPr>
                    <w:t>仁美村</w:t>
                  </w:r>
                </w:p>
              </w:tc>
              <w:tc>
                <w:tcPr>
                  <w:tcW w:w="722" w:type="dxa"/>
                  <w:vAlign w:val="center"/>
                </w:tcPr>
                <w:p>
                  <w:pPr>
                    <w:ind w:left="-105" w:leftChars="-50" w:right="-105" w:rightChars="-50"/>
                    <w:jc w:val="center"/>
                    <w:rPr>
                      <w:rFonts w:hint="eastAsia" w:eastAsia="宋体"/>
                      <w:color w:val="FF0000"/>
                      <w:szCs w:val="21"/>
                      <w:lang w:val="en-US" w:eastAsia="zh-CN"/>
                    </w:rPr>
                  </w:pPr>
                  <w:r>
                    <w:rPr>
                      <w:rFonts w:hint="eastAsia"/>
                      <w:color w:val="FF0000"/>
                      <w:szCs w:val="21"/>
                      <w:lang w:val="en-US" w:eastAsia="zh-CN"/>
                    </w:rPr>
                    <w:t>SW</w:t>
                  </w:r>
                </w:p>
              </w:tc>
              <w:tc>
                <w:tcPr>
                  <w:tcW w:w="1116" w:type="dxa"/>
                  <w:vAlign w:val="center"/>
                </w:tcPr>
                <w:p>
                  <w:pPr>
                    <w:jc w:val="center"/>
                    <w:rPr>
                      <w:rFonts w:hint="eastAsia" w:eastAsia="宋体"/>
                      <w:color w:val="FF0000"/>
                      <w:szCs w:val="21"/>
                      <w:lang w:val="en-US" w:eastAsia="zh-CN"/>
                    </w:rPr>
                  </w:pPr>
                  <w:r>
                    <w:rPr>
                      <w:rFonts w:hint="eastAsia"/>
                      <w:color w:val="FF0000"/>
                      <w:szCs w:val="21"/>
                      <w:lang w:val="en-US" w:eastAsia="zh-CN"/>
                    </w:rPr>
                    <w:t>220</w:t>
                  </w:r>
                </w:p>
              </w:tc>
              <w:tc>
                <w:tcPr>
                  <w:tcW w:w="1092" w:type="dxa"/>
                  <w:vAlign w:val="center"/>
                </w:tcPr>
                <w:p>
                  <w:pPr>
                    <w:jc w:val="center"/>
                    <w:rPr>
                      <w:rFonts w:hint="eastAsia" w:eastAsia="宋体"/>
                      <w:color w:val="FF0000"/>
                      <w:szCs w:val="21"/>
                      <w:lang w:eastAsia="zh-CN"/>
                    </w:rPr>
                  </w:pPr>
                  <w:r>
                    <w:rPr>
                      <w:rFonts w:hint="eastAsia"/>
                      <w:color w:val="FF0000"/>
                      <w:szCs w:val="21"/>
                      <w:lang w:eastAsia="zh-CN"/>
                    </w:rPr>
                    <w:t>住宅</w:t>
                  </w:r>
                </w:p>
              </w:tc>
              <w:tc>
                <w:tcPr>
                  <w:tcW w:w="1653" w:type="dxa"/>
                  <w:vAlign w:val="center"/>
                </w:tcPr>
                <w:p>
                  <w:pPr>
                    <w:jc w:val="center"/>
                    <w:rPr>
                      <w:rFonts w:hint="eastAsia" w:eastAsia="宋体"/>
                      <w:color w:val="FF0000"/>
                      <w:szCs w:val="21"/>
                      <w:lang w:val="en-US" w:eastAsia="zh-CN"/>
                    </w:rPr>
                  </w:pPr>
                  <w:r>
                    <w:rPr>
                      <w:rFonts w:hint="eastAsia"/>
                      <w:color w:val="FF0000"/>
                      <w:szCs w:val="21"/>
                      <w:lang w:val="en-US" w:eastAsia="zh-CN"/>
                    </w:rPr>
                    <w:t>20户，70人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rFonts w:hint="eastAsia" w:eastAsia="宋体"/>
                      <w:color w:val="FF0000"/>
                      <w:szCs w:val="21"/>
                      <w:lang w:eastAsia="zh-CN"/>
                    </w:rPr>
                  </w:pPr>
                  <w:r>
                    <w:rPr>
                      <w:rFonts w:hint="eastAsia"/>
                      <w:color w:val="FF0000"/>
                      <w:szCs w:val="21"/>
                      <w:lang w:eastAsia="zh-CN"/>
                    </w:rPr>
                    <w:t>大园村</w:t>
                  </w:r>
                </w:p>
              </w:tc>
              <w:tc>
                <w:tcPr>
                  <w:tcW w:w="722" w:type="dxa"/>
                  <w:vAlign w:val="center"/>
                </w:tcPr>
                <w:p>
                  <w:pPr>
                    <w:ind w:left="-105" w:leftChars="-50" w:right="-105" w:rightChars="-50"/>
                    <w:jc w:val="center"/>
                    <w:rPr>
                      <w:rFonts w:hint="eastAsia" w:eastAsia="宋体"/>
                      <w:color w:val="FF0000"/>
                      <w:szCs w:val="21"/>
                      <w:lang w:val="en-US" w:eastAsia="zh-CN"/>
                    </w:rPr>
                  </w:pPr>
                  <w:r>
                    <w:rPr>
                      <w:rFonts w:hint="eastAsia"/>
                      <w:color w:val="FF0000"/>
                      <w:szCs w:val="21"/>
                      <w:lang w:val="en-US" w:eastAsia="zh-CN"/>
                    </w:rPr>
                    <w:t>NE</w:t>
                  </w:r>
                </w:p>
              </w:tc>
              <w:tc>
                <w:tcPr>
                  <w:tcW w:w="1116" w:type="dxa"/>
                  <w:vAlign w:val="center"/>
                </w:tcPr>
                <w:p>
                  <w:pPr>
                    <w:jc w:val="center"/>
                    <w:rPr>
                      <w:rFonts w:hint="eastAsia" w:eastAsia="宋体"/>
                      <w:color w:val="FF0000"/>
                      <w:szCs w:val="21"/>
                      <w:lang w:val="en-US" w:eastAsia="zh-CN"/>
                    </w:rPr>
                  </w:pPr>
                  <w:r>
                    <w:rPr>
                      <w:rFonts w:hint="eastAsia"/>
                      <w:color w:val="FF0000"/>
                      <w:szCs w:val="21"/>
                      <w:lang w:val="en-US" w:eastAsia="zh-CN"/>
                    </w:rPr>
                    <w:t>280</w:t>
                  </w:r>
                </w:p>
              </w:tc>
              <w:tc>
                <w:tcPr>
                  <w:tcW w:w="1092" w:type="dxa"/>
                  <w:vAlign w:val="center"/>
                </w:tcPr>
                <w:p>
                  <w:pPr>
                    <w:jc w:val="center"/>
                    <w:rPr>
                      <w:rFonts w:hint="eastAsia" w:eastAsia="宋体"/>
                      <w:color w:val="FF0000"/>
                      <w:szCs w:val="21"/>
                      <w:lang w:eastAsia="zh-CN"/>
                    </w:rPr>
                  </w:pPr>
                  <w:r>
                    <w:rPr>
                      <w:rFonts w:hint="eastAsia"/>
                      <w:color w:val="FF0000"/>
                      <w:szCs w:val="21"/>
                      <w:lang w:eastAsia="zh-CN"/>
                    </w:rPr>
                    <w:t>住宅</w:t>
                  </w:r>
                </w:p>
              </w:tc>
              <w:tc>
                <w:tcPr>
                  <w:tcW w:w="1653" w:type="dxa"/>
                  <w:vAlign w:val="center"/>
                </w:tcPr>
                <w:p>
                  <w:pPr>
                    <w:jc w:val="center"/>
                    <w:rPr>
                      <w:rFonts w:hint="eastAsia" w:eastAsia="宋体"/>
                      <w:color w:val="FF0000"/>
                      <w:szCs w:val="21"/>
                      <w:lang w:val="en-US" w:eastAsia="zh-CN"/>
                    </w:rPr>
                  </w:pPr>
                  <w:r>
                    <w:rPr>
                      <w:rFonts w:hint="eastAsia"/>
                      <w:color w:val="FF0000"/>
                      <w:szCs w:val="21"/>
                      <w:lang w:val="en-US" w:eastAsia="zh-CN"/>
                    </w:rPr>
                    <w:t>20户，80人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rFonts w:hint="eastAsia"/>
                      <w:color w:val="FF0000"/>
                      <w:szCs w:val="21"/>
                      <w:lang w:eastAsia="zh-CN"/>
                    </w:rPr>
                  </w:pPr>
                  <w:r>
                    <w:rPr>
                      <w:rFonts w:hint="eastAsia"/>
                      <w:color w:val="FF0000"/>
                      <w:szCs w:val="21"/>
                      <w:lang w:eastAsia="zh-CN"/>
                    </w:rPr>
                    <w:t>新寨村</w:t>
                  </w:r>
                </w:p>
              </w:tc>
              <w:tc>
                <w:tcPr>
                  <w:tcW w:w="722" w:type="dxa"/>
                  <w:vAlign w:val="center"/>
                </w:tcPr>
                <w:p>
                  <w:pPr>
                    <w:ind w:left="-105" w:leftChars="-50" w:right="-105" w:rightChars="-50"/>
                    <w:jc w:val="center"/>
                    <w:rPr>
                      <w:rFonts w:hint="eastAsia"/>
                      <w:color w:val="FF0000"/>
                      <w:szCs w:val="21"/>
                      <w:lang w:val="en-US" w:eastAsia="zh-CN"/>
                    </w:rPr>
                  </w:pPr>
                  <w:r>
                    <w:rPr>
                      <w:rFonts w:hint="eastAsia"/>
                      <w:color w:val="FF0000"/>
                      <w:szCs w:val="21"/>
                      <w:lang w:val="en-US" w:eastAsia="zh-CN"/>
                    </w:rPr>
                    <w:t>E</w:t>
                  </w:r>
                </w:p>
              </w:tc>
              <w:tc>
                <w:tcPr>
                  <w:tcW w:w="1116" w:type="dxa"/>
                  <w:vAlign w:val="center"/>
                </w:tcPr>
                <w:p>
                  <w:pPr>
                    <w:jc w:val="center"/>
                    <w:rPr>
                      <w:rFonts w:hint="eastAsia"/>
                      <w:color w:val="FF0000"/>
                      <w:szCs w:val="21"/>
                      <w:lang w:val="en-US" w:eastAsia="zh-CN"/>
                    </w:rPr>
                  </w:pPr>
                  <w:r>
                    <w:rPr>
                      <w:rFonts w:hint="eastAsia"/>
                      <w:color w:val="FF0000"/>
                      <w:szCs w:val="21"/>
                      <w:lang w:val="en-US" w:eastAsia="zh-CN"/>
                    </w:rPr>
                    <w:t>294</w:t>
                  </w:r>
                </w:p>
              </w:tc>
              <w:tc>
                <w:tcPr>
                  <w:tcW w:w="1092" w:type="dxa"/>
                  <w:vAlign w:val="center"/>
                </w:tcPr>
                <w:p>
                  <w:pPr>
                    <w:jc w:val="center"/>
                    <w:rPr>
                      <w:rFonts w:hint="eastAsia"/>
                      <w:color w:val="FF0000"/>
                      <w:szCs w:val="21"/>
                      <w:lang w:eastAsia="zh-CN"/>
                    </w:rPr>
                  </w:pPr>
                  <w:r>
                    <w:rPr>
                      <w:rFonts w:hint="eastAsia"/>
                      <w:color w:val="FF0000"/>
                      <w:szCs w:val="21"/>
                      <w:lang w:eastAsia="zh-CN"/>
                    </w:rPr>
                    <w:t>住宅</w:t>
                  </w:r>
                </w:p>
              </w:tc>
              <w:tc>
                <w:tcPr>
                  <w:tcW w:w="1653" w:type="dxa"/>
                  <w:vAlign w:val="center"/>
                </w:tcPr>
                <w:p>
                  <w:pPr>
                    <w:jc w:val="center"/>
                    <w:rPr>
                      <w:rFonts w:hint="eastAsia" w:eastAsia="宋体"/>
                      <w:color w:val="FF0000"/>
                      <w:szCs w:val="21"/>
                      <w:lang w:val="en-US" w:eastAsia="zh-CN"/>
                    </w:rPr>
                  </w:pPr>
                  <w:r>
                    <w:rPr>
                      <w:rFonts w:hint="eastAsia"/>
                      <w:color w:val="FF0000"/>
                      <w:szCs w:val="21"/>
                      <w:lang w:val="en-US" w:eastAsia="zh-CN"/>
                    </w:rPr>
                    <w:t>35户，130人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rFonts w:hint="eastAsia" w:eastAsia="宋体"/>
                      <w:color w:val="FF0000"/>
                      <w:szCs w:val="21"/>
                      <w:lang w:eastAsia="zh-CN"/>
                    </w:rPr>
                  </w:pPr>
                  <w:r>
                    <w:rPr>
                      <w:rFonts w:hint="eastAsia"/>
                      <w:color w:val="FF0000"/>
                      <w:szCs w:val="21"/>
                      <w:lang w:eastAsia="zh-CN"/>
                    </w:rPr>
                    <w:t>顶寨村</w:t>
                  </w:r>
                </w:p>
              </w:tc>
              <w:tc>
                <w:tcPr>
                  <w:tcW w:w="722" w:type="dxa"/>
                  <w:vAlign w:val="center"/>
                </w:tcPr>
                <w:p>
                  <w:pPr>
                    <w:ind w:left="-105" w:leftChars="-50" w:right="-105" w:rightChars="-50"/>
                    <w:jc w:val="center"/>
                    <w:rPr>
                      <w:rFonts w:hint="eastAsia" w:eastAsia="宋体"/>
                      <w:color w:val="FF0000"/>
                      <w:szCs w:val="21"/>
                      <w:lang w:val="en-US" w:eastAsia="zh-CN"/>
                    </w:rPr>
                  </w:pPr>
                  <w:r>
                    <w:rPr>
                      <w:rFonts w:hint="eastAsia"/>
                      <w:color w:val="FF0000"/>
                      <w:szCs w:val="21"/>
                      <w:lang w:val="en-US" w:eastAsia="zh-CN"/>
                    </w:rPr>
                    <w:t>SE</w:t>
                  </w:r>
                </w:p>
              </w:tc>
              <w:tc>
                <w:tcPr>
                  <w:tcW w:w="1116" w:type="dxa"/>
                  <w:vAlign w:val="center"/>
                </w:tcPr>
                <w:p>
                  <w:pPr>
                    <w:jc w:val="center"/>
                    <w:rPr>
                      <w:rFonts w:hint="eastAsia" w:eastAsia="宋体"/>
                      <w:color w:val="FF0000"/>
                      <w:szCs w:val="21"/>
                      <w:lang w:val="en-US" w:eastAsia="zh-CN"/>
                    </w:rPr>
                  </w:pPr>
                  <w:r>
                    <w:rPr>
                      <w:rFonts w:hint="eastAsia"/>
                      <w:color w:val="FF0000"/>
                      <w:szCs w:val="21"/>
                      <w:lang w:val="en-US" w:eastAsia="zh-CN"/>
                    </w:rPr>
                    <w:t>423</w:t>
                  </w:r>
                </w:p>
              </w:tc>
              <w:tc>
                <w:tcPr>
                  <w:tcW w:w="1092" w:type="dxa"/>
                  <w:vAlign w:val="center"/>
                </w:tcPr>
                <w:p>
                  <w:pPr>
                    <w:jc w:val="center"/>
                    <w:rPr>
                      <w:rFonts w:hint="eastAsia" w:eastAsia="宋体"/>
                      <w:color w:val="FF0000"/>
                      <w:szCs w:val="21"/>
                      <w:lang w:eastAsia="zh-CN"/>
                    </w:rPr>
                  </w:pPr>
                  <w:r>
                    <w:rPr>
                      <w:rFonts w:hint="eastAsia"/>
                      <w:color w:val="FF0000"/>
                      <w:szCs w:val="21"/>
                      <w:lang w:eastAsia="zh-CN"/>
                    </w:rPr>
                    <w:t>住宅</w:t>
                  </w:r>
                </w:p>
              </w:tc>
              <w:tc>
                <w:tcPr>
                  <w:tcW w:w="1653" w:type="dxa"/>
                  <w:vAlign w:val="center"/>
                </w:tcPr>
                <w:p>
                  <w:pPr>
                    <w:jc w:val="center"/>
                    <w:rPr>
                      <w:rFonts w:hint="eastAsia" w:eastAsia="宋体"/>
                      <w:color w:val="FF0000"/>
                      <w:szCs w:val="21"/>
                      <w:lang w:val="en-US" w:eastAsia="zh-CN"/>
                    </w:rPr>
                  </w:pPr>
                  <w:r>
                    <w:rPr>
                      <w:rFonts w:hint="eastAsia"/>
                      <w:color w:val="FF0000"/>
                      <w:szCs w:val="21"/>
                      <w:lang w:val="en-US" w:eastAsia="zh-CN"/>
                    </w:rPr>
                    <w:t>30户，120人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restart"/>
                  <w:vAlign w:val="center"/>
                </w:tcPr>
                <w:p>
                  <w:pPr>
                    <w:jc w:val="center"/>
                    <w:rPr>
                      <w:color w:val="FF0000"/>
                      <w:szCs w:val="21"/>
                    </w:rPr>
                  </w:pPr>
                  <w:r>
                    <w:rPr>
                      <w:color w:val="FF0000"/>
                      <w:szCs w:val="21"/>
                    </w:rPr>
                    <w:t>声环境</w:t>
                  </w:r>
                </w:p>
              </w:tc>
              <w:tc>
                <w:tcPr>
                  <w:tcW w:w="1587" w:type="dxa"/>
                  <w:vAlign w:val="center"/>
                </w:tcPr>
                <w:p>
                  <w:pPr>
                    <w:ind w:left="-105" w:leftChars="-50" w:right="-105" w:rightChars="-50"/>
                    <w:jc w:val="center"/>
                    <w:rPr>
                      <w:color w:val="FF0000"/>
                      <w:szCs w:val="21"/>
                    </w:rPr>
                  </w:pPr>
                  <w:r>
                    <w:rPr>
                      <w:rFonts w:hint="eastAsia"/>
                      <w:color w:val="FF0000"/>
                      <w:szCs w:val="21"/>
                      <w:lang w:eastAsia="zh-CN"/>
                    </w:rPr>
                    <w:t>新光村</w:t>
                  </w:r>
                </w:p>
              </w:tc>
              <w:tc>
                <w:tcPr>
                  <w:tcW w:w="722" w:type="dxa"/>
                  <w:vAlign w:val="center"/>
                </w:tcPr>
                <w:p>
                  <w:pPr>
                    <w:jc w:val="center"/>
                    <w:rPr>
                      <w:color w:val="FF0000"/>
                      <w:szCs w:val="21"/>
                    </w:rPr>
                  </w:pPr>
                  <w:r>
                    <w:rPr>
                      <w:rFonts w:hint="eastAsia"/>
                      <w:color w:val="FF0000"/>
                      <w:szCs w:val="21"/>
                      <w:lang w:val="en-US" w:eastAsia="zh-CN"/>
                    </w:rPr>
                    <w:t>E\W\N</w:t>
                  </w:r>
                </w:p>
              </w:tc>
              <w:tc>
                <w:tcPr>
                  <w:tcW w:w="1116" w:type="dxa"/>
                  <w:vAlign w:val="center"/>
                </w:tcPr>
                <w:p>
                  <w:pPr>
                    <w:jc w:val="center"/>
                    <w:rPr>
                      <w:color w:val="FF0000"/>
                      <w:szCs w:val="21"/>
                    </w:rPr>
                  </w:pPr>
                  <w:r>
                    <w:rPr>
                      <w:rFonts w:hint="eastAsia"/>
                      <w:color w:val="FF0000"/>
                      <w:szCs w:val="21"/>
                      <w:lang w:val="en-US" w:eastAsia="zh-CN"/>
                    </w:rPr>
                    <w:t>10</w:t>
                  </w:r>
                </w:p>
              </w:tc>
              <w:tc>
                <w:tcPr>
                  <w:tcW w:w="1092" w:type="dxa"/>
                  <w:vAlign w:val="center"/>
                </w:tcPr>
                <w:p>
                  <w:pPr>
                    <w:jc w:val="center"/>
                    <w:rPr>
                      <w:color w:val="FF0000"/>
                      <w:szCs w:val="21"/>
                    </w:rPr>
                  </w:pPr>
                  <w:r>
                    <w:rPr>
                      <w:rFonts w:hint="eastAsia"/>
                      <w:color w:val="FF0000"/>
                      <w:szCs w:val="21"/>
                      <w:lang w:eastAsia="zh-CN"/>
                    </w:rPr>
                    <w:t>住宅</w:t>
                  </w:r>
                </w:p>
              </w:tc>
              <w:tc>
                <w:tcPr>
                  <w:tcW w:w="1653" w:type="dxa"/>
                  <w:vAlign w:val="center"/>
                </w:tcPr>
                <w:p>
                  <w:pPr>
                    <w:jc w:val="center"/>
                    <w:rPr>
                      <w:color w:val="FF0000"/>
                      <w:szCs w:val="21"/>
                    </w:rPr>
                  </w:pPr>
                  <w:r>
                    <w:rPr>
                      <w:rFonts w:hint="eastAsia"/>
                      <w:color w:val="FF0000"/>
                      <w:szCs w:val="21"/>
                      <w:lang w:val="en-US" w:eastAsia="zh-CN"/>
                    </w:rPr>
                    <w:t>40户，150人</w:t>
                  </w:r>
                </w:p>
              </w:tc>
              <w:tc>
                <w:tcPr>
                  <w:tcW w:w="1609" w:type="dxa"/>
                  <w:vMerge w:val="restart"/>
                  <w:vAlign w:val="center"/>
                </w:tcPr>
                <w:p>
                  <w:pPr>
                    <w:jc w:val="center"/>
                    <w:rPr>
                      <w:color w:val="FF0000"/>
                      <w:szCs w:val="21"/>
                    </w:rPr>
                  </w:pPr>
                  <w:r>
                    <w:rPr>
                      <w:color w:val="FF0000"/>
                      <w:szCs w:val="21"/>
                    </w:rPr>
                    <w:t>（GB3096-2008）中的2类标准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ind w:left="-105" w:leftChars="-50" w:right="-105" w:rightChars="-50"/>
                    <w:jc w:val="center"/>
                    <w:rPr>
                      <w:rFonts w:hint="eastAsia"/>
                      <w:color w:val="FF0000"/>
                      <w:szCs w:val="21"/>
                      <w:lang w:eastAsia="zh-CN"/>
                    </w:rPr>
                  </w:pPr>
                  <w:r>
                    <w:rPr>
                      <w:rFonts w:hint="eastAsia"/>
                      <w:color w:val="FF0000"/>
                      <w:szCs w:val="21"/>
                      <w:lang w:eastAsia="zh-CN"/>
                    </w:rPr>
                    <w:t>引榕南村</w:t>
                  </w:r>
                </w:p>
              </w:tc>
              <w:tc>
                <w:tcPr>
                  <w:tcW w:w="722" w:type="dxa"/>
                  <w:vAlign w:val="center"/>
                </w:tcPr>
                <w:p>
                  <w:pPr>
                    <w:jc w:val="center"/>
                    <w:rPr>
                      <w:rFonts w:hint="eastAsia"/>
                      <w:color w:val="FF0000"/>
                      <w:szCs w:val="21"/>
                      <w:lang w:val="en-US" w:eastAsia="zh-CN"/>
                    </w:rPr>
                  </w:pPr>
                  <w:r>
                    <w:rPr>
                      <w:rFonts w:hint="eastAsia"/>
                      <w:color w:val="FF0000"/>
                      <w:szCs w:val="21"/>
                      <w:lang w:val="en-US" w:eastAsia="zh-CN"/>
                    </w:rPr>
                    <w:t>S</w:t>
                  </w:r>
                </w:p>
              </w:tc>
              <w:tc>
                <w:tcPr>
                  <w:tcW w:w="1116" w:type="dxa"/>
                  <w:vAlign w:val="center"/>
                </w:tcPr>
                <w:p>
                  <w:pPr>
                    <w:jc w:val="center"/>
                    <w:rPr>
                      <w:rFonts w:hint="eastAsia"/>
                      <w:color w:val="FF0000"/>
                      <w:szCs w:val="21"/>
                      <w:lang w:val="en-US" w:eastAsia="zh-CN"/>
                    </w:rPr>
                  </w:pPr>
                  <w:r>
                    <w:rPr>
                      <w:rFonts w:hint="eastAsia"/>
                      <w:color w:val="FF0000"/>
                      <w:szCs w:val="21"/>
                      <w:lang w:val="en-US" w:eastAsia="zh-CN"/>
                    </w:rPr>
                    <w:t>60</w:t>
                  </w:r>
                </w:p>
              </w:tc>
              <w:tc>
                <w:tcPr>
                  <w:tcW w:w="1092" w:type="dxa"/>
                  <w:vAlign w:val="center"/>
                </w:tcPr>
                <w:p>
                  <w:pPr>
                    <w:jc w:val="center"/>
                    <w:rPr>
                      <w:rFonts w:hint="eastAsia"/>
                      <w:color w:val="FF0000"/>
                      <w:szCs w:val="21"/>
                      <w:lang w:eastAsia="zh-CN"/>
                    </w:rPr>
                  </w:pPr>
                  <w:r>
                    <w:rPr>
                      <w:rFonts w:hint="eastAsia"/>
                      <w:color w:val="FF0000"/>
                      <w:szCs w:val="21"/>
                      <w:lang w:eastAsia="zh-CN"/>
                    </w:rPr>
                    <w:t>住宅</w:t>
                  </w:r>
                </w:p>
              </w:tc>
              <w:tc>
                <w:tcPr>
                  <w:tcW w:w="1653" w:type="dxa"/>
                  <w:vAlign w:val="center"/>
                </w:tcPr>
                <w:p>
                  <w:pPr>
                    <w:jc w:val="center"/>
                    <w:rPr>
                      <w:rFonts w:hint="eastAsia"/>
                      <w:color w:val="FF0000"/>
                      <w:szCs w:val="21"/>
                      <w:lang w:val="en-US" w:eastAsia="zh-CN"/>
                    </w:rPr>
                  </w:pPr>
                  <w:r>
                    <w:rPr>
                      <w:rFonts w:hint="eastAsia"/>
                      <w:color w:val="FF0000"/>
                      <w:szCs w:val="21"/>
                      <w:lang w:val="en-US" w:eastAsia="zh-CN"/>
                    </w:rPr>
                    <w:t>15户，65人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ind w:left="-105" w:leftChars="-50" w:right="-105" w:rightChars="-50"/>
                    <w:jc w:val="center"/>
                    <w:rPr>
                      <w:rFonts w:hint="eastAsia"/>
                      <w:color w:val="FF0000"/>
                      <w:szCs w:val="21"/>
                      <w:lang w:eastAsia="zh-CN"/>
                    </w:rPr>
                  </w:pPr>
                  <w:r>
                    <w:rPr>
                      <w:rFonts w:hint="eastAsia"/>
                      <w:color w:val="FF0000"/>
                      <w:szCs w:val="21"/>
                      <w:lang w:eastAsia="zh-CN"/>
                    </w:rPr>
                    <w:t>梅塘镇人民政府</w:t>
                  </w:r>
                </w:p>
              </w:tc>
              <w:tc>
                <w:tcPr>
                  <w:tcW w:w="722" w:type="dxa"/>
                  <w:vAlign w:val="center"/>
                </w:tcPr>
                <w:p>
                  <w:pPr>
                    <w:jc w:val="center"/>
                    <w:rPr>
                      <w:rFonts w:hint="eastAsia"/>
                      <w:color w:val="FF0000"/>
                      <w:szCs w:val="21"/>
                      <w:lang w:val="en-US" w:eastAsia="zh-CN"/>
                    </w:rPr>
                  </w:pPr>
                  <w:r>
                    <w:rPr>
                      <w:rFonts w:hint="eastAsia"/>
                      <w:color w:val="FF0000"/>
                      <w:szCs w:val="21"/>
                      <w:lang w:val="en-US" w:eastAsia="zh-CN"/>
                    </w:rPr>
                    <w:t>SE</w:t>
                  </w:r>
                </w:p>
              </w:tc>
              <w:tc>
                <w:tcPr>
                  <w:tcW w:w="1116" w:type="dxa"/>
                  <w:vAlign w:val="center"/>
                </w:tcPr>
                <w:p>
                  <w:pPr>
                    <w:jc w:val="center"/>
                    <w:rPr>
                      <w:rFonts w:hint="eastAsia"/>
                      <w:color w:val="FF0000"/>
                      <w:szCs w:val="21"/>
                      <w:lang w:val="en-US" w:eastAsia="zh-CN"/>
                    </w:rPr>
                  </w:pPr>
                  <w:r>
                    <w:rPr>
                      <w:rFonts w:hint="eastAsia"/>
                      <w:color w:val="FF0000"/>
                      <w:szCs w:val="21"/>
                      <w:lang w:val="en-US" w:eastAsia="zh-CN"/>
                    </w:rPr>
                    <w:t>160</w:t>
                  </w:r>
                </w:p>
              </w:tc>
              <w:tc>
                <w:tcPr>
                  <w:tcW w:w="1092" w:type="dxa"/>
                  <w:vAlign w:val="center"/>
                </w:tcPr>
                <w:p>
                  <w:pPr>
                    <w:jc w:val="center"/>
                    <w:rPr>
                      <w:rFonts w:hint="eastAsia"/>
                      <w:color w:val="FF0000"/>
                      <w:szCs w:val="21"/>
                      <w:lang w:eastAsia="zh-CN"/>
                    </w:rPr>
                  </w:pPr>
                  <w:r>
                    <w:rPr>
                      <w:rFonts w:hint="eastAsia"/>
                      <w:color w:val="FF0000"/>
                      <w:szCs w:val="21"/>
                      <w:lang w:eastAsia="zh-CN"/>
                    </w:rPr>
                    <w:t>行政办公</w:t>
                  </w:r>
                </w:p>
              </w:tc>
              <w:tc>
                <w:tcPr>
                  <w:tcW w:w="1653" w:type="dxa"/>
                  <w:vAlign w:val="center"/>
                </w:tcPr>
                <w:p>
                  <w:pPr>
                    <w:jc w:val="center"/>
                    <w:rPr>
                      <w:rFonts w:hint="eastAsia"/>
                      <w:color w:val="FF0000"/>
                      <w:szCs w:val="21"/>
                      <w:lang w:val="en-US" w:eastAsia="zh-CN"/>
                    </w:rPr>
                  </w:pPr>
                  <w:r>
                    <w:rPr>
                      <w:rFonts w:hint="eastAsia"/>
                      <w:color w:val="FF0000"/>
                      <w:szCs w:val="21"/>
                      <w:lang w:val="en-US" w:eastAsia="zh-CN"/>
                    </w:rPr>
                    <w:t>89人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color w:val="FF0000"/>
                      <w:szCs w:val="21"/>
                    </w:rPr>
                  </w:pPr>
                  <w:r>
                    <w:rPr>
                      <w:rFonts w:hint="eastAsia"/>
                      <w:color w:val="FF0000"/>
                      <w:szCs w:val="21"/>
                      <w:lang w:eastAsia="zh-CN"/>
                    </w:rPr>
                    <w:t>仁美村</w:t>
                  </w:r>
                </w:p>
              </w:tc>
              <w:tc>
                <w:tcPr>
                  <w:tcW w:w="722" w:type="dxa"/>
                  <w:vAlign w:val="center"/>
                </w:tcPr>
                <w:p>
                  <w:pPr>
                    <w:ind w:left="-105" w:leftChars="-50" w:right="-105" w:rightChars="-50"/>
                    <w:jc w:val="center"/>
                    <w:rPr>
                      <w:color w:val="FF0000"/>
                      <w:szCs w:val="21"/>
                    </w:rPr>
                  </w:pPr>
                  <w:r>
                    <w:rPr>
                      <w:rFonts w:hint="eastAsia"/>
                      <w:color w:val="FF0000"/>
                      <w:szCs w:val="21"/>
                      <w:lang w:val="en-US" w:eastAsia="zh-CN"/>
                    </w:rPr>
                    <w:t>SW</w:t>
                  </w:r>
                </w:p>
              </w:tc>
              <w:tc>
                <w:tcPr>
                  <w:tcW w:w="1116" w:type="dxa"/>
                  <w:vAlign w:val="center"/>
                </w:tcPr>
                <w:p>
                  <w:pPr>
                    <w:jc w:val="center"/>
                    <w:rPr>
                      <w:color w:val="FF0000"/>
                      <w:szCs w:val="21"/>
                    </w:rPr>
                  </w:pPr>
                  <w:r>
                    <w:rPr>
                      <w:rFonts w:hint="eastAsia"/>
                      <w:color w:val="FF0000"/>
                      <w:szCs w:val="21"/>
                      <w:lang w:val="en-US" w:eastAsia="zh-CN"/>
                    </w:rPr>
                    <w:t>220</w:t>
                  </w:r>
                </w:p>
              </w:tc>
              <w:tc>
                <w:tcPr>
                  <w:tcW w:w="1092" w:type="dxa"/>
                  <w:vAlign w:val="center"/>
                </w:tcPr>
                <w:p>
                  <w:pPr>
                    <w:jc w:val="center"/>
                    <w:rPr>
                      <w:color w:val="FF0000"/>
                      <w:szCs w:val="21"/>
                    </w:rPr>
                  </w:pPr>
                  <w:r>
                    <w:rPr>
                      <w:rFonts w:hint="eastAsia"/>
                      <w:color w:val="FF0000"/>
                      <w:szCs w:val="21"/>
                      <w:lang w:eastAsia="zh-CN"/>
                    </w:rPr>
                    <w:t>住宅</w:t>
                  </w:r>
                </w:p>
              </w:tc>
              <w:tc>
                <w:tcPr>
                  <w:tcW w:w="1653" w:type="dxa"/>
                  <w:vAlign w:val="center"/>
                </w:tcPr>
                <w:p>
                  <w:pPr>
                    <w:jc w:val="center"/>
                    <w:rPr>
                      <w:color w:val="FF0000"/>
                      <w:szCs w:val="21"/>
                    </w:rPr>
                  </w:pPr>
                  <w:r>
                    <w:rPr>
                      <w:rFonts w:hint="eastAsia"/>
                      <w:color w:val="FF0000"/>
                      <w:szCs w:val="21"/>
                      <w:lang w:val="en-US" w:eastAsia="zh-CN"/>
                    </w:rPr>
                    <w:t>20户，70人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color w:val="FF0000"/>
                      <w:szCs w:val="21"/>
                    </w:rPr>
                  </w:pPr>
                  <w:r>
                    <w:rPr>
                      <w:rFonts w:hint="eastAsia"/>
                      <w:color w:val="FF0000"/>
                      <w:szCs w:val="21"/>
                      <w:lang w:eastAsia="zh-CN"/>
                    </w:rPr>
                    <w:t>大园村</w:t>
                  </w:r>
                </w:p>
              </w:tc>
              <w:tc>
                <w:tcPr>
                  <w:tcW w:w="722" w:type="dxa"/>
                  <w:vAlign w:val="center"/>
                </w:tcPr>
                <w:p>
                  <w:pPr>
                    <w:ind w:left="-105" w:leftChars="-50" w:right="-105" w:rightChars="-50"/>
                    <w:jc w:val="center"/>
                    <w:rPr>
                      <w:color w:val="FF0000"/>
                      <w:szCs w:val="21"/>
                    </w:rPr>
                  </w:pPr>
                  <w:r>
                    <w:rPr>
                      <w:rFonts w:hint="eastAsia"/>
                      <w:color w:val="FF0000"/>
                      <w:szCs w:val="21"/>
                      <w:lang w:val="en-US" w:eastAsia="zh-CN"/>
                    </w:rPr>
                    <w:t>NE</w:t>
                  </w:r>
                </w:p>
              </w:tc>
              <w:tc>
                <w:tcPr>
                  <w:tcW w:w="1116" w:type="dxa"/>
                  <w:vAlign w:val="center"/>
                </w:tcPr>
                <w:p>
                  <w:pPr>
                    <w:jc w:val="center"/>
                    <w:rPr>
                      <w:color w:val="FF0000"/>
                      <w:szCs w:val="21"/>
                    </w:rPr>
                  </w:pPr>
                  <w:r>
                    <w:rPr>
                      <w:rFonts w:hint="eastAsia"/>
                      <w:color w:val="FF0000"/>
                      <w:szCs w:val="21"/>
                      <w:lang w:val="en-US" w:eastAsia="zh-CN"/>
                    </w:rPr>
                    <w:t>280</w:t>
                  </w:r>
                </w:p>
              </w:tc>
              <w:tc>
                <w:tcPr>
                  <w:tcW w:w="1092" w:type="dxa"/>
                  <w:vAlign w:val="center"/>
                </w:tcPr>
                <w:p>
                  <w:pPr>
                    <w:jc w:val="center"/>
                    <w:rPr>
                      <w:color w:val="FF0000"/>
                      <w:szCs w:val="21"/>
                    </w:rPr>
                  </w:pPr>
                  <w:r>
                    <w:rPr>
                      <w:rFonts w:hint="eastAsia"/>
                      <w:color w:val="FF0000"/>
                      <w:szCs w:val="21"/>
                      <w:lang w:eastAsia="zh-CN"/>
                    </w:rPr>
                    <w:t>住宅</w:t>
                  </w:r>
                </w:p>
              </w:tc>
              <w:tc>
                <w:tcPr>
                  <w:tcW w:w="1653" w:type="dxa"/>
                  <w:vAlign w:val="center"/>
                </w:tcPr>
                <w:p>
                  <w:pPr>
                    <w:jc w:val="center"/>
                    <w:rPr>
                      <w:color w:val="FF0000"/>
                      <w:szCs w:val="21"/>
                    </w:rPr>
                  </w:pPr>
                  <w:r>
                    <w:rPr>
                      <w:rFonts w:hint="eastAsia"/>
                      <w:color w:val="FF0000"/>
                      <w:szCs w:val="21"/>
                      <w:lang w:val="en-US" w:eastAsia="zh-CN"/>
                    </w:rPr>
                    <w:t>20户，80人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color w:val="FF0000"/>
                      <w:szCs w:val="21"/>
                    </w:rPr>
                  </w:pPr>
                  <w:r>
                    <w:rPr>
                      <w:rFonts w:hint="eastAsia"/>
                      <w:color w:val="FF0000"/>
                      <w:szCs w:val="21"/>
                      <w:lang w:eastAsia="zh-CN"/>
                    </w:rPr>
                    <w:t>新寨村</w:t>
                  </w:r>
                </w:p>
              </w:tc>
              <w:tc>
                <w:tcPr>
                  <w:tcW w:w="722" w:type="dxa"/>
                  <w:vAlign w:val="center"/>
                </w:tcPr>
                <w:p>
                  <w:pPr>
                    <w:ind w:left="-105" w:leftChars="-50" w:right="-105" w:rightChars="-50"/>
                    <w:jc w:val="center"/>
                    <w:rPr>
                      <w:color w:val="FF0000"/>
                      <w:szCs w:val="21"/>
                    </w:rPr>
                  </w:pPr>
                  <w:r>
                    <w:rPr>
                      <w:rFonts w:hint="eastAsia"/>
                      <w:color w:val="FF0000"/>
                      <w:szCs w:val="21"/>
                      <w:lang w:val="en-US" w:eastAsia="zh-CN"/>
                    </w:rPr>
                    <w:t>E</w:t>
                  </w:r>
                </w:p>
              </w:tc>
              <w:tc>
                <w:tcPr>
                  <w:tcW w:w="1116" w:type="dxa"/>
                  <w:vAlign w:val="center"/>
                </w:tcPr>
                <w:p>
                  <w:pPr>
                    <w:jc w:val="center"/>
                    <w:rPr>
                      <w:color w:val="FF0000"/>
                      <w:szCs w:val="21"/>
                    </w:rPr>
                  </w:pPr>
                  <w:r>
                    <w:rPr>
                      <w:rFonts w:hint="eastAsia"/>
                      <w:color w:val="FF0000"/>
                      <w:szCs w:val="21"/>
                      <w:lang w:val="en-US" w:eastAsia="zh-CN"/>
                    </w:rPr>
                    <w:t>294</w:t>
                  </w:r>
                </w:p>
              </w:tc>
              <w:tc>
                <w:tcPr>
                  <w:tcW w:w="1092" w:type="dxa"/>
                  <w:vAlign w:val="center"/>
                </w:tcPr>
                <w:p>
                  <w:pPr>
                    <w:jc w:val="center"/>
                    <w:rPr>
                      <w:color w:val="FF0000"/>
                      <w:szCs w:val="21"/>
                    </w:rPr>
                  </w:pPr>
                  <w:r>
                    <w:rPr>
                      <w:rFonts w:hint="eastAsia"/>
                      <w:color w:val="FF0000"/>
                      <w:szCs w:val="21"/>
                      <w:lang w:eastAsia="zh-CN"/>
                    </w:rPr>
                    <w:t>住宅</w:t>
                  </w:r>
                </w:p>
              </w:tc>
              <w:tc>
                <w:tcPr>
                  <w:tcW w:w="1653" w:type="dxa"/>
                  <w:vAlign w:val="center"/>
                </w:tcPr>
                <w:p>
                  <w:pPr>
                    <w:jc w:val="center"/>
                    <w:rPr>
                      <w:color w:val="FF0000"/>
                      <w:szCs w:val="21"/>
                    </w:rPr>
                  </w:pPr>
                  <w:r>
                    <w:rPr>
                      <w:rFonts w:hint="eastAsia"/>
                      <w:color w:val="FF0000"/>
                      <w:szCs w:val="21"/>
                      <w:lang w:val="en-US" w:eastAsia="zh-CN"/>
                    </w:rPr>
                    <w:t>35户，130人</w:t>
                  </w:r>
                </w:p>
              </w:tc>
              <w:tc>
                <w:tcPr>
                  <w:tcW w:w="1609" w:type="dxa"/>
                  <w:vMerge w:val="continue"/>
                  <w:vAlign w:val="center"/>
                </w:tcPr>
                <w:p>
                  <w:pPr>
                    <w:jc w:val="center"/>
                    <w:rPr>
                      <w:color w:val="FF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429" w:type="dxa"/>
                  <w:vMerge w:val="continue"/>
                  <w:vAlign w:val="center"/>
                </w:tcPr>
                <w:p>
                  <w:pPr>
                    <w:jc w:val="center"/>
                    <w:rPr>
                      <w:color w:val="FF0000"/>
                      <w:szCs w:val="21"/>
                    </w:rPr>
                  </w:pPr>
                </w:p>
              </w:tc>
              <w:tc>
                <w:tcPr>
                  <w:tcW w:w="1587" w:type="dxa"/>
                  <w:vAlign w:val="center"/>
                </w:tcPr>
                <w:p>
                  <w:pPr>
                    <w:jc w:val="center"/>
                    <w:rPr>
                      <w:color w:val="FF0000"/>
                      <w:szCs w:val="21"/>
                    </w:rPr>
                  </w:pPr>
                  <w:r>
                    <w:rPr>
                      <w:rFonts w:hint="eastAsia"/>
                      <w:color w:val="FF0000"/>
                      <w:szCs w:val="21"/>
                      <w:lang w:eastAsia="zh-CN"/>
                    </w:rPr>
                    <w:t>顶寨村</w:t>
                  </w:r>
                </w:p>
              </w:tc>
              <w:tc>
                <w:tcPr>
                  <w:tcW w:w="722" w:type="dxa"/>
                  <w:vAlign w:val="center"/>
                </w:tcPr>
                <w:p>
                  <w:pPr>
                    <w:ind w:left="-105" w:leftChars="-50" w:right="-105" w:rightChars="-50"/>
                    <w:jc w:val="center"/>
                    <w:rPr>
                      <w:color w:val="FF0000"/>
                      <w:szCs w:val="21"/>
                    </w:rPr>
                  </w:pPr>
                  <w:r>
                    <w:rPr>
                      <w:rFonts w:hint="eastAsia"/>
                      <w:color w:val="FF0000"/>
                      <w:szCs w:val="21"/>
                      <w:lang w:val="en-US" w:eastAsia="zh-CN"/>
                    </w:rPr>
                    <w:t>SE</w:t>
                  </w:r>
                </w:p>
              </w:tc>
              <w:tc>
                <w:tcPr>
                  <w:tcW w:w="1116" w:type="dxa"/>
                  <w:vAlign w:val="center"/>
                </w:tcPr>
                <w:p>
                  <w:pPr>
                    <w:jc w:val="center"/>
                    <w:rPr>
                      <w:color w:val="FF0000"/>
                      <w:szCs w:val="21"/>
                    </w:rPr>
                  </w:pPr>
                  <w:r>
                    <w:rPr>
                      <w:rFonts w:hint="eastAsia"/>
                      <w:color w:val="FF0000"/>
                      <w:szCs w:val="21"/>
                      <w:lang w:val="en-US" w:eastAsia="zh-CN"/>
                    </w:rPr>
                    <w:t>423</w:t>
                  </w:r>
                </w:p>
              </w:tc>
              <w:tc>
                <w:tcPr>
                  <w:tcW w:w="1092" w:type="dxa"/>
                  <w:vAlign w:val="center"/>
                </w:tcPr>
                <w:p>
                  <w:pPr>
                    <w:jc w:val="center"/>
                    <w:rPr>
                      <w:color w:val="FF0000"/>
                      <w:szCs w:val="21"/>
                    </w:rPr>
                  </w:pPr>
                  <w:r>
                    <w:rPr>
                      <w:rFonts w:hint="eastAsia"/>
                      <w:color w:val="FF0000"/>
                      <w:szCs w:val="21"/>
                      <w:lang w:eastAsia="zh-CN"/>
                    </w:rPr>
                    <w:t>住宅</w:t>
                  </w:r>
                </w:p>
              </w:tc>
              <w:tc>
                <w:tcPr>
                  <w:tcW w:w="1653" w:type="dxa"/>
                  <w:vAlign w:val="center"/>
                </w:tcPr>
                <w:p>
                  <w:pPr>
                    <w:jc w:val="center"/>
                    <w:rPr>
                      <w:color w:val="FF0000"/>
                      <w:szCs w:val="21"/>
                    </w:rPr>
                  </w:pPr>
                  <w:r>
                    <w:rPr>
                      <w:rFonts w:hint="eastAsia"/>
                      <w:color w:val="FF0000"/>
                      <w:szCs w:val="21"/>
                      <w:lang w:val="en-US" w:eastAsia="zh-CN"/>
                    </w:rPr>
                    <w:t>30户，120人</w:t>
                  </w:r>
                </w:p>
              </w:tc>
              <w:tc>
                <w:tcPr>
                  <w:tcW w:w="1609" w:type="dxa"/>
                  <w:vMerge w:val="continue"/>
                  <w:vAlign w:val="center"/>
                </w:tcPr>
                <w:p>
                  <w:pPr>
                    <w:jc w:val="center"/>
                    <w:rPr>
                      <w:color w:val="FF0000"/>
                      <w:szCs w:val="21"/>
                    </w:rPr>
                  </w:pPr>
                </w:p>
              </w:tc>
            </w:tr>
          </w:tbl>
          <w:p>
            <w:pPr>
              <w:adjustRightInd w:val="0"/>
              <w:spacing w:line="360" w:lineRule="auto"/>
              <w:ind w:firstLine="480" w:firstLineChars="200"/>
              <w:rPr>
                <w:rFonts w:hint="default" w:eastAsia="宋体"/>
                <w:color w:val="FF0000"/>
                <w:sz w:val="24"/>
                <w:highlight w:val="none"/>
                <w:lang w:val="en-US" w:eastAsia="zh-CN"/>
              </w:rPr>
            </w:pPr>
            <w:r>
              <w:rPr>
                <w:rFonts w:hint="eastAsia"/>
                <w:color w:val="FF0000"/>
                <w:sz w:val="24"/>
                <w:highlight w:val="none"/>
                <w:lang w:eastAsia="zh-CN"/>
              </w:rPr>
              <w:t>（</w:t>
            </w:r>
            <w:r>
              <w:rPr>
                <w:rFonts w:hint="eastAsia"/>
                <w:color w:val="FF0000"/>
                <w:sz w:val="24"/>
                <w:highlight w:val="none"/>
                <w:lang w:val="en-US" w:eastAsia="zh-CN"/>
              </w:rPr>
              <w:t>三）环境风险识别</w:t>
            </w:r>
          </w:p>
          <w:p>
            <w:pPr>
              <w:adjustRightInd w:val="0"/>
              <w:spacing w:line="360" w:lineRule="auto"/>
              <w:ind w:firstLine="480" w:firstLineChars="200"/>
              <w:rPr>
                <w:rFonts w:hint="eastAsia"/>
                <w:color w:val="FF0000"/>
                <w:sz w:val="24"/>
                <w:highlight w:val="none"/>
              </w:rPr>
            </w:pPr>
            <w:r>
              <w:rPr>
                <w:rFonts w:hint="eastAsia"/>
                <w:color w:val="FF0000"/>
                <w:sz w:val="24"/>
                <w:highlight w:val="none"/>
                <w:lang w:eastAsia="zh-CN"/>
              </w:rPr>
              <w:t>风险识别范围包括生产设施风险识别和生产过程所涉及的物质风险识别。本项目</w:t>
            </w:r>
            <w:r>
              <w:rPr>
                <w:rFonts w:hint="eastAsia"/>
                <w:color w:val="FF0000"/>
                <w:sz w:val="24"/>
                <w:highlight w:val="none"/>
              </w:rPr>
              <w:t>存在的风险源有：</w:t>
            </w:r>
            <w:r>
              <w:rPr>
                <w:rFonts w:hint="eastAsia"/>
                <w:color w:val="FF0000"/>
                <w:sz w:val="24"/>
                <w:highlight w:val="none"/>
                <w:lang w:eastAsia="zh-CN"/>
              </w:rPr>
              <w:t>废气事故排放和火灾等</w:t>
            </w:r>
            <w:r>
              <w:rPr>
                <w:rFonts w:hint="eastAsia"/>
                <w:color w:val="FF0000"/>
                <w:sz w:val="24"/>
                <w:highlight w:val="none"/>
              </w:rPr>
              <w:t>。</w:t>
            </w:r>
          </w:p>
          <w:p>
            <w:pPr>
              <w:adjustRightInd w:val="0"/>
              <w:spacing w:line="360" w:lineRule="auto"/>
              <w:ind w:firstLine="480" w:firstLineChars="200"/>
              <w:rPr>
                <w:rFonts w:hint="default" w:eastAsia="宋体"/>
                <w:color w:val="00B050"/>
                <w:sz w:val="24"/>
                <w:highlight w:val="none"/>
                <w:lang w:val="en-US" w:eastAsia="zh-CN"/>
              </w:rPr>
            </w:pPr>
            <w:r>
              <w:rPr>
                <w:rFonts w:hint="eastAsia"/>
                <w:color w:val="00B050"/>
                <w:sz w:val="24"/>
                <w:highlight w:val="none"/>
                <w:lang w:eastAsia="zh-CN"/>
              </w:rPr>
              <w:t>（</w:t>
            </w:r>
            <w:r>
              <w:rPr>
                <w:rFonts w:hint="eastAsia"/>
                <w:color w:val="00B050"/>
                <w:sz w:val="24"/>
                <w:highlight w:val="none"/>
                <w:lang w:val="en-US" w:eastAsia="zh-CN"/>
              </w:rPr>
              <w:t>四）环境风险分析</w:t>
            </w:r>
          </w:p>
          <w:p>
            <w:pPr>
              <w:adjustRightInd w:val="0"/>
              <w:spacing w:line="360" w:lineRule="auto"/>
              <w:ind w:firstLine="480" w:firstLineChars="200"/>
              <w:rPr>
                <w:rFonts w:hint="eastAsia"/>
                <w:color w:val="00B050"/>
                <w:sz w:val="24"/>
                <w:lang w:eastAsia="zh-CN"/>
              </w:rPr>
            </w:pPr>
            <w:r>
              <w:rPr>
                <w:rFonts w:hint="eastAsia"/>
                <w:color w:val="00B050"/>
                <w:sz w:val="24"/>
                <w:lang w:eastAsia="zh-CN"/>
              </w:rPr>
              <w:t>（</w:t>
            </w:r>
            <w:r>
              <w:rPr>
                <w:rFonts w:hint="eastAsia"/>
                <w:color w:val="00B050"/>
                <w:sz w:val="24"/>
                <w:lang w:val="en-US" w:eastAsia="zh-CN"/>
              </w:rPr>
              <w:t>1）废气事故排放：</w:t>
            </w:r>
            <w:r>
              <w:rPr>
                <w:rFonts w:hint="eastAsia"/>
                <w:color w:val="00B050"/>
                <w:sz w:val="24"/>
              </w:rPr>
              <w:t>项目</w:t>
            </w:r>
            <w:r>
              <w:rPr>
                <w:color w:val="00B050"/>
                <w:sz w:val="24"/>
              </w:rPr>
              <w:t>生产废气</w:t>
            </w:r>
            <w:r>
              <w:rPr>
                <w:rFonts w:hint="eastAsia"/>
                <w:color w:val="00B050"/>
                <w:sz w:val="24"/>
              </w:rPr>
              <w:t>主要为</w:t>
            </w:r>
            <w:r>
              <w:rPr>
                <w:rFonts w:hint="eastAsia"/>
                <w:color w:val="00B050"/>
                <w:sz w:val="24"/>
                <w:lang w:eastAsia="zh-CN"/>
              </w:rPr>
              <w:t>开松、梳棉过程中产生的废气，主要污染物为粉尘，粉尘的产生量为</w:t>
            </w:r>
            <w:r>
              <w:rPr>
                <w:rFonts w:hint="eastAsia"/>
                <w:color w:val="00B050"/>
                <w:sz w:val="24"/>
                <w:lang w:val="en-US" w:eastAsia="zh-CN"/>
              </w:rPr>
              <w:t>0.42kg/h，</w:t>
            </w:r>
            <w:r>
              <w:rPr>
                <w:color w:val="00B050"/>
                <w:sz w:val="24"/>
              </w:rPr>
              <w:t>本项目</w:t>
            </w:r>
            <w:r>
              <w:rPr>
                <w:rFonts w:hint="eastAsia"/>
                <w:color w:val="00B050"/>
                <w:sz w:val="24"/>
                <w:lang w:eastAsia="zh-CN"/>
              </w:rPr>
              <w:t>产生的粉尘</w:t>
            </w:r>
            <w:r>
              <w:rPr>
                <w:color w:val="00B050"/>
                <w:sz w:val="24"/>
              </w:rPr>
              <w:t>经</w:t>
            </w:r>
            <w:r>
              <w:rPr>
                <w:rFonts w:hint="eastAsia"/>
                <w:color w:val="00B050"/>
                <w:sz w:val="24"/>
                <w:lang w:eastAsia="zh-CN"/>
              </w:rPr>
              <w:t>多筒式除尘机</w:t>
            </w:r>
            <w:r>
              <w:rPr>
                <w:color w:val="00B050"/>
                <w:sz w:val="24"/>
              </w:rPr>
              <w:t>处理后通过</w:t>
            </w:r>
            <w:r>
              <w:rPr>
                <w:rFonts w:hint="eastAsia"/>
                <w:color w:val="00B050"/>
                <w:sz w:val="24"/>
                <w:lang w:val="en-US" w:eastAsia="zh-CN"/>
              </w:rPr>
              <w:t>15</w:t>
            </w:r>
            <w:r>
              <w:rPr>
                <w:color w:val="00B050"/>
                <w:sz w:val="24"/>
              </w:rPr>
              <w:t>米的专用烟囱高空排放。</w:t>
            </w:r>
            <w:r>
              <w:rPr>
                <w:rFonts w:hint="eastAsia"/>
                <w:color w:val="00B050"/>
                <w:sz w:val="24"/>
                <w:lang w:eastAsia="zh-CN"/>
              </w:rPr>
              <w:t>若收集系统发生故障，产生的粉尘将全部以无组织的形式扩散到车间中。本项目产生的粉尘属于可燃性粉尘，当产生的粉尘达到爆炸极限或形成粉尘云，遇明火可能发生爆炸事故。粉尘爆炸还有产生二次爆炸的可能性，由于粉尘的初始爆炸气浪会将沉积粉尘扬起，在新的空间达到爆炸极限而产生二次爆炸。这种连续爆炸会造成极大的破坏。若处理系统发生故障，会造成大量未达标的废气直接排入大气中，对环境空气环境造成较大影响。项目周围大气环境具有一定的容量，废气正常排放时对环境质量影响不大，一旦发生事故性排放且在极端气象条件下会使大气排放口周围形成较高的污染物落地浓度，污染周围大气环境特别是会对附近敏感点的正常生活造成影响，因此需尽量避免这种情况发生。</w:t>
            </w:r>
          </w:p>
          <w:p>
            <w:pPr>
              <w:pStyle w:val="118"/>
              <w:rPr>
                <w:rFonts w:hint="eastAsia"/>
                <w:color w:val="00B050"/>
              </w:rPr>
            </w:pPr>
            <w:r>
              <w:rPr>
                <w:rFonts w:hint="eastAsia"/>
                <w:color w:val="00B050"/>
                <w:sz w:val="24"/>
                <w:lang w:eastAsia="zh-CN"/>
              </w:rPr>
              <w:t>（</w:t>
            </w:r>
            <w:r>
              <w:rPr>
                <w:rFonts w:hint="eastAsia"/>
                <w:color w:val="00B050"/>
                <w:sz w:val="24"/>
                <w:lang w:val="en-US" w:eastAsia="zh-CN"/>
              </w:rPr>
              <w:t>2）火灾事故：本项目原辅材料主要为碎布，产品主要为再生棉，属于易燃物质，遇明火可能发生火灾事故。</w:t>
            </w:r>
            <w:r>
              <w:rPr>
                <w:rFonts w:hint="default"/>
                <w:color w:val="00B050"/>
              </w:rPr>
              <w:t>火灾会通过热辐射影响周围环境。如果</w:t>
            </w:r>
            <w:r>
              <w:rPr>
                <w:rFonts w:hint="eastAsia"/>
                <w:color w:val="00B050"/>
                <w:lang w:eastAsia="zh-CN"/>
              </w:rPr>
              <w:t>热辐射通量</w:t>
            </w:r>
            <w:r>
              <w:rPr>
                <w:rFonts w:hint="default"/>
                <w:color w:val="00B050"/>
              </w:rPr>
              <w:t>足够大，可能引起</w:t>
            </w:r>
            <w:r>
              <w:rPr>
                <w:rFonts w:hint="eastAsia"/>
                <w:color w:val="00B050"/>
                <w:lang w:eastAsia="zh-CN"/>
              </w:rPr>
              <w:t>项目周边</w:t>
            </w:r>
            <w:r>
              <w:rPr>
                <w:rFonts w:hint="default"/>
                <w:color w:val="00B050"/>
              </w:rPr>
              <w:t>其他可燃物燃烧。火灾会伴随释放大量的烃类、烟尘、一氧化碳和二氧化碳等大气污染物，对大气环境造成较大的污染。当在一定的气象条件如无风、逆温现象情况下，污染物不能在大气中及时扩散、稀释时，大气污染物的浓度会累计甚至超过一定的伤害阈值，会对火灾发生区域周围的工业企业员工及村民的人体健康产生较大的危害。其外还会产生含高浓度污染物的消防废水。</w:t>
            </w:r>
            <w:r>
              <w:rPr>
                <w:rFonts w:hint="eastAsia"/>
                <w:color w:val="00B050"/>
              </w:rPr>
              <w:t>消防废</w:t>
            </w:r>
            <w:r>
              <w:rPr>
                <w:rFonts w:hint="eastAsia"/>
                <w:color w:val="00B050"/>
                <w:lang w:eastAsia="zh-CN"/>
              </w:rPr>
              <w:t>水</w:t>
            </w:r>
            <w:r>
              <w:rPr>
                <w:rFonts w:hint="eastAsia"/>
                <w:color w:val="00B050"/>
              </w:rPr>
              <w:t>若直接经过市政雨水或污水管网进入纳污水体或市政污水处理厂，含高浓度的消防排水势必对地面水体造成极为不利的影响，进入污水厂则可能因冲击负荷过大，造成污水厂处理设施的瘫痪，导致严重的危害后果。</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（五）环境风险防范措施及应急要求</w:t>
            </w:r>
          </w:p>
          <w:p>
            <w:pPr>
              <w:adjustRightInd w:val="0"/>
              <w:spacing w:line="360" w:lineRule="auto"/>
              <w:ind w:firstLine="480" w:firstLineChars="200"/>
              <w:rPr>
                <w:rFonts w:hint="eastAsia" w:eastAsia="宋体"/>
                <w:color w:val="00B050"/>
                <w:sz w:val="24"/>
                <w:lang w:eastAsia="zh-CN"/>
              </w:rPr>
            </w:pPr>
            <w:r>
              <w:rPr>
                <w:rFonts w:hint="eastAsia"/>
                <w:color w:val="00B050"/>
                <w:sz w:val="24"/>
                <w:lang w:eastAsia="zh-CN"/>
              </w:rPr>
              <w:t>该项目生产过程中可能会出现的风险事故是火灾和爆炸事故，通过加强车间管理，厂区禁止烟火，配备灭火器等应急处理措施，该项目对环境风险影响很小。为了进一步完善消防措施，本评价建议以下防范措施：</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（1）火灾、爆炸事故预防和控制</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①加强火源监管；明火控制，包括火柴、烟头、打火机等，原料、成品仓库等应设置明显防火标志，确保五明火靠近；</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②制定生产设备等的安全操作规程，职工严格按照操作规程进行操作；</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③制定完善的消防安全管理制度，落实消防安全责任，加强消防管理，如日常的防火巡查等；</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④加强消防知识教育培训和演练，提高员工安全意识及事故应急能力；</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⑤生产车间配备完善的消防、急救器材，如灭火器、消防栓，防火服、呼吸器等。按消防管理部门要求做好火灾等事故的防范和应急措施。</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（2）废气治理设施事故防范措施</w:t>
            </w:r>
          </w:p>
          <w:p>
            <w:pPr>
              <w:adjustRightInd w:val="0"/>
              <w:spacing w:line="360" w:lineRule="auto"/>
              <w:ind w:firstLine="480" w:firstLineChars="200"/>
              <w:rPr>
                <w:rFonts w:hint="eastAsia"/>
                <w:color w:val="00B050"/>
                <w:sz w:val="24"/>
                <w:highlight w:val="none"/>
                <w:lang w:val="en-US" w:eastAsia="zh-CN"/>
              </w:rPr>
            </w:pPr>
            <w:r>
              <w:rPr>
                <w:rFonts w:hint="eastAsia"/>
                <w:color w:val="00B050"/>
                <w:sz w:val="24"/>
                <w:highlight w:val="none"/>
                <w:lang w:val="en-US" w:eastAsia="zh-CN"/>
              </w:rPr>
              <w:t>建设单位必须建立严格、规范的大气污染应急预案，加强废气治理设施日常管和维护，一旦发生事故性排放，应当立即停止生产线运行，直至废气治理设施恢复为止。废气治理按相关的标准要求设计、施工和管理。对治理设施进行定期和不检查，及时维修或更换不良部件。另外建设单位必须制定完善的管理制度及相应的急处设施，保证等废气处理设备发生事故时能及时作出反应和有效应对。</w:t>
            </w:r>
          </w:p>
          <w:p>
            <w:pPr>
              <w:spacing w:line="360" w:lineRule="auto"/>
              <w:ind w:right="8" w:rightChars="4" w:firstLine="480" w:firstLineChars="200"/>
              <w:rPr>
                <w:color w:val="FF0000"/>
                <w:sz w:val="24"/>
              </w:rPr>
            </w:pPr>
            <w:r>
              <w:rPr>
                <w:rFonts w:hint="default" w:ascii="Times New Roman" w:hAnsi="Times New Roman" w:cs="Times New Roman"/>
                <w:color w:val="FF0000"/>
                <w:sz w:val="24"/>
                <w:lang w:eastAsia="zh-CN"/>
              </w:rPr>
              <w:t>（</w:t>
            </w:r>
            <w:r>
              <w:rPr>
                <w:rFonts w:hint="eastAsia" w:cs="Times New Roman"/>
                <w:color w:val="FF0000"/>
                <w:sz w:val="24"/>
                <w:lang w:val="en-US" w:eastAsia="zh-CN"/>
              </w:rPr>
              <w:t>3</w:t>
            </w:r>
            <w:r>
              <w:rPr>
                <w:rFonts w:hint="default" w:ascii="Times New Roman" w:hAnsi="Times New Roman" w:cs="Times New Roman"/>
                <w:color w:val="FF0000"/>
                <w:sz w:val="24"/>
                <w:lang w:val="en-US" w:eastAsia="zh-CN"/>
              </w:rPr>
              <w:t>）</w:t>
            </w:r>
            <w:r>
              <w:rPr>
                <w:rFonts w:hint="default" w:ascii="Times New Roman" w:hAnsi="Times New Roman" w:cs="Times New Roman"/>
                <w:color w:val="FF0000"/>
                <w:sz w:val="24"/>
              </w:rPr>
              <w:t>建立应</w:t>
            </w:r>
            <w:r>
              <w:rPr>
                <w:rFonts w:hint="eastAsia"/>
                <w:color w:val="FF0000"/>
                <w:sz w:val="24"/>
              </w:rPr>
              <w:t>急</w:t>
            </w:r>
            <w:r>
              <w:rPr>
                <w:color w:val="FF0000"/>
                <w:sz w:val="24"/>
              </w:rPr>
              <w:t>事故池，</w:t>
            </w:r>
            <w:r>
              <w:rPr>
                <w:rFonts w:hint="eastAsia"/>
                <w:color w:val="FF0000"/>
                <w:sz w:val="24"/>
                <w:lang w:eastAsia="zh-CN"/>
              </w:rPr>
              <w:t>用于收集消防废水</w:t>
            </w:r>
            <w:r>
              <w:rPr>
                <w:color w:val="FF0000"/>
                <w:sz w:val="24"/>
              </w:rPr>
              <w:t>。应急事故池</w:t>
            </w:r>
            <w:r>
              <w:rPr>
                <w:rFonts w:hint="eastAsia"/>
                <w:color w:val="FF0000"/>
                <w:sz w:val="24"/>
                <w:lang w:eastAsia="zh-CN"/>
              </w:rPr>
              <w:t>应</w:t>
            </w:r>
            <w:r>
              <w:rPr>
                <w:color w:val="FF0000"/>
                <w:sz w:val="24"/>
              </w:rPr>
              <w:t>保持日常处于空置状态。</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事故所产生的污水量是由事故状态下物料泄漏量、消防污染水量、发生事故时的雨水量确定。</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事故应急池根据《化工建设项目环境保护设计规范》（GB50483-2009）和《事故状态下水体污染的预防与控制技术要求》（Q/SY1190-2009）中的相关规定设置。事故池主要用于区内发生事故或火灾时，控制、收集和存放污染事故水（包括污染雨水）及污染消防水。污染事故水及污染消防水通过雨水的管道收集。项目</w:t>
            </w:r>
            <w:r>
              <w:rPr>
                <w:rFonts w:hint="eastAsia" w:ascii="Times New Roman" w:hAnsi="Times New Roman" w:cs="Times New Roman"/>
                <w:color w:val="FF0000"/>
                <w:sz w:val="24"/>
                <w:szCs w:val="24"/>
                <w:highlight w:val="none"/>
                <w:lang w:eastAsia="zh-CN"/>
              </w:rPr>
              <w:t>没有物料泄漏量，</w:t>
            </w:r>
            <w:r>
              <w:rPr>
                <w:rFonts w:hint="default" w:ascii="Times New Roman" w:hAnsi="Times New Roman" w:cs="Times New Roman"/>
                <w:color w:val="FF0000"/>
                <w:sz w:val="24"/>
                <w:szCs w:val="24"/>
                <w:highlight w:val="none"/>
              </w:rPr>
              <w:t>应急事故池主要用于火灾事故的是消防染水量、发生事故时的雨水量，应做好防渗漏处理，确保环境安全，应急废水收集管道应满足防腐、防渗漏要求，地面应进行防渗漏处理。</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事故应急水池容量按下式计算：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事故池</w:t>
            </w: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1</w:t>
            </w: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2</w:t>
            </w: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雨</w:t>
            </w:r>
            <w:r>
              <w:rPr>
                <w:rFonts w:hint="default" w:ascii="Times New Roman" w:hAnsi="Times New Roman" w:cs="Times New Roman"/>
                <w:color w:val="FF0000"/>
                <w:sz w:val="24"/>
                <w:szCs w:val="24"/>
                <w:highlight w:val="none"/>
              </w:rPr>
              <w:t>）</w:t>
            </w:r>
            <w:r>
              <w:rPr>
                <w:rFonts w:hint="default" w:ascii="Times New Roman" w:hAnsi="Times New Roman" w:cs="Times New Roman"/>
                <w:color w:val="FF0000"/>
                <w:sz w:val="24"/>
                <w:szCs w:val="24"/>
                <w:highlight w:val="none"/>
                <w:vertAlign w:val="subscript"/>
              </w:rPr>
              <w:t>max</w:t>
            </w: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3</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 式中：（V</w:t>
            </w:r>
            <w:r>
              <w:rPr>
                <w:rFonts w:hint="default" w:ascii="Times New Roman" w:hAnsi="Times New Roman" w:cs="Times New Roman"/>
                <w:color w:val="FF0000"/>
                <w:sz w:val="24"/>
                <w:szCs w:val="24"/>
                <w:highlight w:val="none"/>
                <w:vertAlign w:val="subscript"/>
              </w:rPr>
              <w:t>1</w:t>
            </w: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2</w:t>
            </w: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雨</w:t>
            </w:r>
            <w:r>
              <w:rPr>
                <w:rFonts w:hint="default" w:ascii="Times New Roman" w:hAnsi="Times New Roman" w:cs="Times New Roman"/>
                <w:color w:val="FF0000"/>
                <w:sz w:val="24"/>
                <w:szCs w:val="24"/>
                <w:highlight w:val="none"/>
              </w:rPr>
              <w:t>）</w:t>
            </w:r>
            <w:r>
              <w:rPr>
                <w:rFonts w:hint="default" w:ascii="Times New Roman" w:hAnsi="Times New Roman" w:cs="Times New Roman"/>
                <w:color w:val="FF0000"/>
                <w:sz w:val="24"/>
                <w:szCs w:val="24"/>
                <w:highlight w:val="none"/>
                <w:vertAlign w:val="subscript"/>
              </w:rPr>
              <w:t>max</w:t>
            </w:r>
            <w:r>
              <w:rPr>
                <w:rFonts w:hint="default" w:ascii="Times New Roman" w:hAnsi="Times New Roman" w:cs="Times New Roman"/>
                <w:color w:val="FF0000"/>
                <w:sz w:val="24"/>
                <w:szCs w:val="24"/>
                <w:highlight w:val="none"/>
              </w:rPr>
              <w:t>–——为应急事故废水最大计算量，m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1</w:t>
            </w:r>
            <w:r>
              <w:rPr>
                <w:rFonts w:hint="default" w:ascii="Times New Roman" w:hAnsi="Times New Roman" w:cs="Times New Roman"/>
                <w:color w:val="FF0000"/>
                <w:sz w:val="24"/>
                <w:szCs w:val="24"/>
                <w:highlight w:val="none"/>
              </w:rPr>
              <w:t>——为最大一个容器的设备（装置）或贮罐的物料贮存量，m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2</w:t>
            </w:r>
            <w:r>
              <w:rPr>
                <w:rFonts w:hint="default" w:ascii="Times New Roman" w:hAnsi="Times New Roman" w:cs="Times New Roman"/>
                <w:color w:val="FF0000"/>
                <w:sz w:val="24"/>
                <w:szCs w:val="24"/>
                <w:highlight w:val="none"/>
              </w:rPr>
              <w:t> ——为在装置区或贮罐区一旦发生火灾爆炸及泄漏时的最大消防水量，包括扑灭火灾所需用水量和保护邻近设备或贮罐（最少3个）的喷淋水量，m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V雨——为发生事故时可能进入该废水收集系统的当地的最大降雨量，m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，V雨=10q*Ft；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3</w:t>
            </w:r>
            <w:r>
              <w:rPr>
                <w:rFonts w:hint="default" w:ascii="Times New Roman" w:hAnsi="Times New Roman" w:cs="Times New Roman"/>
                <w:color w:val="FF0000"/>
                <w:sz w:val="24"/>
                <w:szCs w:val="24"/>
                <w:highlight w:val="none"/>
              </w:rPr>
              <w:t> ——为事故废水收集系统的装置或罐区围堰、防火堤内净空容量（m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）与事故废水导排管道容量（m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）之和。</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1）事故状态下物料量(V</w:t>
            </w:r>
            <w:r>
              <w:rPr>
                <w:rFonts w:hint="default" w:ascii="Times New Roman" w:hAnsi="Times New Roman" w:cs="Times New Roman"/>
                <w:color w:val="FF0000"/>
                <w:sz w:val="24"/>
                <w:szCs w:val="24"/>
                <w:highlight w:val="none"/>
                <w:vertAlign w:val="subscript"/>
              </w:rPr>
              <w:t>1</w:t>
            </w:r>
            <w:r>
              <w:rPr>
                <w:rFonts w:hint="default" w:ascii="Times New Roman" w:hAnsi="Times New Roman" w:cs="Times New Roman"/>
                <w:color w:val="FF0000"/>
                <w:sz w:val="24"/>
                <w:szCs w:val="24"/>
                <w:highlight w:val="none"/>
              </w:rPr>
              <w:t>)：</w:t>
            </w:r>
            <w:r>
              <w:rPr>
                <w:rFonts w:hint="eastAsia" w:ascii="Times New Roman" w:hAnsi="Times New Roman" w:cs="Times New Roman"/>
                <w:color w:val="FF0000"/>
                <w:sz w:val="24"/>
                <w:szCs w:val="24"/>
                <w:highlight w:val="none"/>
                <w:lang w:eastAsia="zh-CN"/>
              </w:rPr>
              <w:t>项目没有物料泄漏量，</w:t>
            </w:r>
            <w:r>
              <w:rPr>
                <w:rFonts w:hint="default" w:ascii="Times New Roman" w:hAnsi="Times New Roman" w:cs="Times New Roman"/>
                <w:color w:val="FF0000"/>
                <w:sz w:val="24"/>
                <w:szCs w:val="24"/>
                <w:highlight w:val="none"/>
              </w:rPr>
              <w:t>则物料量V</w:t>
            </w:r>
            <w:r>
              <w:rPr>
                <w:rFonts w:hint="default" w:ascii="Times New Roman" w:hAnsi="Times New Roman" w:cs="Times New Roman"/>
                <w:color w:val="FF0000"/>
                <w:sz w:val="24"/>
                <w:szCs w:val="24"/>
                <w:highlight w:val="none"/>
                <w:vertAlign w:val="subscript"/>
              </w:rPr>
              <w:t>1</w:t>
            </w:r>
            <w:r>
              <w:rPr>
                <w:rFonts w:hint="default" w:ascii="Times New Roman" w:hAnsi="Times New Roman" w:cs="Times New Roman"/>
                <w:color w:val="FF0000"/>
                <w:sz w:val="24"/>
                <w:szCs w:val="24"/>
                <w:highlight w:val="none"/>
              </w:rPr>
              <w:t>为0m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2）消防用水量(V</w:t>
            </w:r>
            <w:r>
              <w:rPr>
                <w:rFonts w:hint="default" w:ascii="Times New Roman" w:hAnsi="Times New Roman" w:cs="Times New Roman"/>
                <w:color w:val="FF0000"/>
                <w:sz w:val="24"/>
                <w:szCs w:val="24"/>
                <w:highlight w:val="none"/>
                <w:vertAlign w:val="subscript"/>
              </w:rPr>
              <w:t>2</w:t>
            </w:r>
            <w:r>
              <w:rPr>
                <w:rFonts w:hint="default" w:ascii="Times New Roman" w:hAnsi="Times New Roman" w:cs="Times New Roman"/>
                <w:color w:val="FF0000"/>
                <w:sz w:val="24"/>
                <w:szCs w:val="24"/>
                <w:highlight w:val="none"/>
              </w:rPr>
              <w:t>)：一次灭火消防最大用水量建筑为丙类仓库，消防用水量为1</w:t>
            </w:r>
            <w:r>
              <w:rPr>
                <w:rFonts w:hint="eastAsia" w:ascii="Times New Roman" w:hAnsi="Times New Roman" w:cs="Times New Roman"/>
                <w:color w:val="FF0000"/>
                <w:sz w:val="24"/>
                <w:szCs w:val="24"/>
                <w:highlight w:val="none"/>
                <w:lang w:val="en-US" w:eastAsia="zh-CN"/>
              </w:rPr>
              <w:t>0</w:t>
            </w:r>
            <w:r>
              <w:rPr>
                <w:rFonts w:hint="default" w:ascii="Times New Roman" w:hAnsi="Times New Roman" w:cs="Times New Roman"/>
                <w:color w:val="FF0000"/>
                <w:sz w:val="24"/>
                <w:szCs w:val="24"/>
                <w:highlight w:val="none"/>
              </w:rPr>
              <w:t>L/s，火灾延续时间为</w:t>
            </w:r>
            <w:r>
              <w:rPr>
                <w:rFonts w:hint="eastAsia" w:ascii="Times New Roman" w:hAnsi="Times New Roman" w:cs="Times New Roman"/>
                <w:color w:val="FF0000"/>
                <w:sz w:val="24"/>
                <w:szCs w:val="24"/>
                <w:highlight w:val="none"/>
                <w:lang w:val="en-US" w:eastAsia="zh-CN"/>
              </w:rPr>
              <w:t>1</w:t>
            </w:r>
            <w:r>
              <w:rPr>
                <w:rFonts w:hint="default" w:ascii="Times New Roman" w:hAnsi="Times New Roman" w:cs="Times New Roman"/>
                <w:color w:val="FF0000"/>
                <w:sz w:val="24"/>
                <w:szCs w:val="24"/>
                <w:highlight w:val="none"/>
              </w:rPr>
              <w:t>h，则最大消防用水量V</w:t>
            </w:r>
            <w:r>
              <w:rPr>
                <w:rFonts w:hint="default" w:ascii="Times New Roman" w:hAnsi="Times New Roman" w:cs="Times New Roman"/>
                <w:color w:val="FF0000"/>
                <w:sz w:val="24"/>
                <w:szCs w:val="24"/>
                <w:highlight w:val="none"/>
                <w:vertAlign w:val="subscript"/>
              </w:rPr>
              <w:t>2</w:t>
            </w:r>
            <w:r>
              <w:rPr>
                <w:rFonts w:hint="default" w:ascii="Times New Roman" w:hAnsi="Times New Roman" w:cs="Times New Roman"/>
                <w:color w:val="FF0000"/>
                <w:sz w:val="24"/>
                <w:szCs w:val="24"/>
                <w:highlight w:val="none"/>
              </w:rPr>
              <w:t>为</w:t>
            </w:r>
            <w:r>
              <w:rPr>
                <w:rFonts w:hint="eastAsia" w:ascii="Times New Roman" w:hAnsi="Times New Roman" w:cs="Times New Roman"/>
                <w:color w:val="FF0000"/>
                <w:sz w:val="24"/>
                <w:szCs w:val="24"/>
                <w:highlight w:val="none"/>
                <w:lang w:val="en-US" w:eastAsia="zh-CN"/>
              </w:rPr>
              <w:t>36</w:t>
            </w:r>
            <w:r>
              <w:rPr>
                <w:rFonts w:hint="default" w:ascii="Times New Roman" w:hAnsi="Times New Roman" w:cs="Times New Roman"/>
                <w:color w:val="FF0000"/>
                <w:sz w:val="24"/>
                <w:szCs w:val="24"/>
                <w:highlight w:val="none"/>
              </w:rPr>
              <w:t>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3）雨水量(V</w:t>
            </w:r>
            <w:r>
              <w:rPr>
                <w:rFonts w:hint="default" w:ascii="Times New Roman" w:hAnsi="Times New Roman" w:cs="Times New Roman"/>
                <w:color w:val="FF0000"/>
                <w:sz w:val="24"/>
                <w:szCs w:val="24"/>
                <w:highlight w:val="none"/>
                <w:vertAlign w:val="subscript"/>
              </w:rPr>
              <w:t>雨</w:t>
            </w:r>
            <w:r>
              <w:rPr>
                <w:rFonts w:hint="default" w:ascii="Times New Roman" w:hAnsi="Times New Roman" w:cs="Times New Roman"/>
                <w:color w:val="FF0000"/>
                <w:sz w:val="24"/>
                <w:szCs w:val="24"/>
                <w:highlight w:val="none"/>
              </w:rPr>
              <w:t>)：按下式计算</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雨</w:t>
            </w:r>
            <w:r>
              <w:rPr>
                <w:rFonts w:hint="default" w:ascii="Times New Roman" w:hAnsi="Times New Roman" w:cs="Times New Roman"/>
                <w:color w:val="FF0000"/>
                <w:sz w:val="24"/>
                <w:szCs w:val="24"/>
                <w:highlight w:val="none"/>
              </w:rPr>
              <w:t>=10q*Ft</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式中：V</w:t>
            </w:r>
            <w:r>
              <w:rPr>
                <w:rFonts w:hint="default" w:ascii="Times New Roman" w:hAnsi="Times New Roman" w:cs="Times New Roman"/>
                <w:color w:val="FF0000"/>
                <w:sz w:val="24"/>
                <w:szCs w:val="24"/>
                <w:highlight w:val="none"/>
                <w:vertAlign w:val="subscript"/>
              </w:rPr>
              <w:t>雨</w:t>
            </w:r>
            <w:r>
              <w:rPr>
                <w:rFonts w:hint="default" w:ascii="Times New Roman" w:hAnsi="Times New Roman" w:cs="Times New Roman"/>
                <w:color w:val="FF0000"/>
                <w:sz w:val="24"/>
                <w:szCs w:val="24"/>
                <w:highlight w:val="none"/>
              </w:rPr>
              <w:t>——发生事故时可能进入该收集系统的降雨量，m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 q——降雨强度，mm；按平均日降雨量；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（qa——年平均降雨量，mm；揭阳市年平均降雨量为2137.2mm，取qa=2137.2mm；</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  n——年平均降雨日数。n取1</w:t>
            </w:r>
            <w:r>
              <w:rPr>
                <w:rFonts w:hint="eastAsia" w:ascii="Times New Roman" w:hAnsi="Times New Roman" w:cs="Times New Roman"/>
                <w:color w:val="FF0000"/>
                <w:sz w:val="24"/>
                <w:szCs w:val="24"/>
                <w:highlight w:val="none"/>
                <w:lang w:val="en-US" w:eastAsia="zh-CN"/>
              </w:rPr>
              <w:t>41</w:t>
            </w:r>
            <w:r>
              <w:rPr>
                <w:rFonts w:hint="default" w:ascii="Times New Roman" w:hAnsi="Times New Roman" w:cs="Times New Roman"/>
                <w:color w:val="FF0000"/>
                <w:sz w:val="24"/>
                <w:szCs w:val="24"/>
                <w:highlight w:val="none"/>
              </w:rPr>
              <w:t>天；）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F——必须进入事故废水收集系统的雨水汇水面积，ha；F =</w:t>
            </w:r>
            <w:r>
              <w:rPr>
                <w:rFonts w:hint="eastAsia" w:ascii="Times New Roman" w:hAnsi="Times New Roman" w:cs="Times New Roman"/>
                <w:color w:val="FF0000"/>
                <w:sz w:val="24"/>
                <w:szCs w:val="24"/>
                <w:highlight w:val="none"/>
                <w:lang w:val="en-US" w:eastAsia="zh-CN"/>
              </w:rPr>
              <w:t>0.5</w:t>
            </w:r>
            <w:r>
              <w:rPr>
                <w:rFonts w:hint="default" w:ascii="Times New Roman" w:hAnsi="Times New Roman" w:cs="Times New Roman"/>
                <w:color w:val="FF0000"/>
                <w:sz w:val="24"/>
                <w:szCs w:val="24"/>
                <w:highlight w:val="none"/>
              </w:rPr>
              <w:t>ha；（该公司生产区域约</w:t>
            </w:r>
            <w:r>
              <w:rPr>
                <w:rFonts w:hint="eastAsia" w:ascii="Times New Roman" w:hAnsi="Times New Roman" w:cs="Times New Roman"/>
                <w:color w:val="FF0000"/>
                <w:sz w:val="24"/>
                <w:szCs w:val="24"/>
                <w:highlight w:val="none"/>
                <w:lang w:val="en-US" w:eastAsia="zh-CN"/>
              </w:rPr>
              <w:t>0.5</w:t>
            </w:r>
            <w:r>
              <w:rPr>
                <w:rFonts w:hint="default" w:ascii="Times New Roman" w:hAnsi="Times New Roman" w:cs="Times New Roman"/>
                <w:color w:val="FF0000"/>
                <w:sz w:val="24"/>
                <w:szCs w:val="24"/>
                <w:highlight w:val="none"/>
              </w:rPr>
              <w:t> ha）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t——降雨持续时间，h；t=</w:t>
            </w:r>
            <w:r>
              <w:rPr>
                <w:rFonts w:hint="eastAsia" w:ascii="Times New Roman" w:hAnsi="Times New Roman" w:cs="Times New Roman"/>
                <w:color w:val="FF0000"/>
                <w:sz w:val="24"/>
                <w:szCs w:val="24"/>
                <w:highlight w:val="none"/>
                <w:lang w:val="en-US" w:eastAsia="zh-CN"/>
              </w:rPr>
              <w:t>1</w:t>
            </w:r>
            <w:r>
              <w:rPr>
                <w:rFonts w:hint="default" w:ascii="Times New Roman" w:hAnsi="Times New Roman" w:cs="Times New Roman"/>
                <w:color w:val="FF0000"/>
                <w:sz w:val="24"/>
                <w:szCs w:val="24"/>
                <w:highlight w:val="none"/>
              </w:rPr>
              <w:t>h（取发生事故时降雨持续时间为</w:t>
            </w:r>
            <w:r>
              <w:rPr>
                <w:rFonts w:hint="eastAsia" w:ascii="Times New Roman" w:hAnsi="Times New Roman" w:cs="Times New Roman"/>
                <w:color w:val="FF0000"/>
                <w:sz w:val="24"/>
                <w:szCs w:val="24"/>
                <w:highlight w:val="none"/>
                <w:lang w:val="en-US" w:eastAsia="zh-CN"/>
              </w:rPr>
              <w:t>1</w:t>
            </w:r>
            <w:r>
              <w:rPr>
                <w:rFonts w:hint="default" w:ascii="Times New Roman" w:hAnsi="Times New Roman" w:cs="Times New Roman"/>
                <w:color w:val="FF0000"/>
                <w:sz w:val="24"/>
                <w:szCs w:val="24"/>
                <w:highlight w:val="none"/>
              </w:rPr>
              <w:t>h）； </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V</w:t>
            </w:r>
            <w:r>
              <w:rPr>
                <w:rFonts w:hint="default" w:ascii="Times New Roman" w:hAnsi="Times New Roman" w:cs="Times New Roman"/>
                <w:color w:val="FF0000"/>
                <w:sz w:val="24"/>
                <w:szCs w:val="24"/>
                <w:highlight w:val="none"/>
                <w:vertAlign w:val="subscript"/>
              </w:rPr>
              <w:t>雨</w:t>
            </w:r>
            <w:r>
              <w:rPr>
                <w:rFonts w:hint="default" w:ascii="Times New Roman" w:hAnsi="Times New Roman" w:cs="Times New Roman"/>
                <w:color w:val="FF0000"/>
                <w:sz w:val="24"/>
                <w:szCs w:val="24"/>
                <w:highlight w:val="none"/>
              </w:rPr>
              <w:t>=10qFt/24=</w:t>
            </w:r>
            <w:r>
              <w:rPr>
                <w:rFonts w:hint="eastAsia" w:ascii="Times New Roman" w:hAnsi="Times New Roman" w:cs="Times New Roman"/>
                <w:color w:val="FF0000"/>
                <w:sz w:val="24"/>
                <w:szCs w:val="24"/>
                <w:highlight w:val="none"/>
                <w:lang w:val="en-US" w:eastAsia="zh-CN"/>
              </w:rPr>
              <w:t>3.16</w:t>
            </w:r>
            <w:r>
              <w:rPr>
                <w:rFonts w:hint="default" w:ascii="Times New Roman" w:hAnsi="Times New Roman" w:cs="Times New Roman"/>
                <w:color w:val="FF0000"/>
                <w:sz w:val="24"/>
                <w:szCs w:val="24"/>
                <w:highlight w:val="none"/>
              </w:rPr>
              <w:t>m</w:t>
            </w:r>
            <w:r>
              <w:rPr>
                <w:rFonts w:hint="default" w:ascii="Times New Roman" w:hAnsi="Times New Roman" w:cs="Times New Roman"/>
                <w:color w:val="FF0000"/>
                <w:sz w:val="24"/>
                <w:szCs w:val="24"/>
                <w:highlight w:val="none"/>
                <w:vertAlign w:val="superscript"/>
              </w:rPr>
              <w:t>3</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4）事故废水导排管道容量(V</w:t>
            </w:r>
            <w:r>
              <w:rPr>
                <w:rFonts w:hint="default" w:ascii="Times New Roman" w:hAnsi="Times New Roman" w:cs="Times New Roman"/>
                <w:color w:val="FF0000"/>
                <w:sz w:val="24"/>
                <w:szCs w:val="24"/>
                <w:highlight w:val="none"/>
                <w:vertAlign w:val="subscript"/>
              </w:rPr>
              <w:t>3</w:t>
            </w:r>
            <w:r>
              <w:rPr>
                <w:rFonts w:hint="default" w:ascii="Times New Roman" w:hAnsi="Times New Roman" w:cs="Times New Roman"/>
                <w:color w:val="FF0000"/>
                <w:sz w:val="24"/>
                <w:szCs w:val="24"/>
                <w:highlight w:val="none"/>
              </w:rPr>
              <w:t>)：公司事故废水导排管道容量V</w:t>
            </w:r>
            <w:r>
              <w:rPr>
                <w:rFonts w:hint="default" w:ascii="Times New Roman" w:hAnsi="Times New Roman" w:cs="Times New Roman"/>
                <w:color w:val="FF0000"/>
                <w:sz w:val="24"/>
                <w:szCs w:val="24"/>
                <w:highlight w:val="none"/>
                <w:vertAlign w:val="subscript"/>
              </w:rPr>
              <w:t>3</w:t>
            </w:r>
            <w:r>
              <w:rPr>
                <w:rFonts w:hint="default" w:ascii="Times New Roman" w:hAnsi="Times New Roman" w:cs="Times New Roman"/>
                <w:color w:val="FF0000"/>
                <w:sz w:val="24"/>
                <w:szCs w:val="24"/>
                <w:highlight w:val="none"/>
              </w:rPr>
              <w:t>约</w:t>
            </w:r>
            <w:r>
              <w:rPr>
                <w:rFonts w:hint="eastAsia" w:ascii="Times New Roman" w:hAnsi="Times New Roman" w:cs="Times New Roman"/>
                <w:color w:val="FF0000"/>
                <w:sz w:val="24"/>
                <w:szCs w:val="24"/>
                <w:highlight w:val="none"/>
                <w:lang w:val="en-US" w:eastAsia="zh-CN"/>
              </w:rPr>
              <w:t>5</w:t>
            </w:r>
            <w:r>
              <w:rPr>
                <w:rFonts w:hint="default" w:ascii="Times New Roman" w:hAnsi="Times New Roman" w:cs="Times New Roman"/>
                <w:color w:val="FF0000"/>
                <w:sz w:val="24"/>
                <w:szCs w:val="24"/>
                <w:highlight w:val="none"/>
              </w:rPr>
              <w:t>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w:t>
            </w:r>
          </w:p>
          <w:p>
            <w:pPr>
              <w:spacing w:line="360" w:lineRule="auto"/>
              <w:ind w:firstLine="480"/>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rPr>
              <w:t>因此，项目应准备的最小应急事故池容积为：V事故池= </w:t>
            </w:r>
            <w:r>
              <w:rPr>
                <w:rFonts w:hint="eastAsia" w:ascii="Times New Roman" w:hAnsi="Times New Roman" w:cs="Times New Roman"/>
                <w:color w:val="FF0000"/>
                <w:sz w:val="24"/>
                <w:szCs w:val="24"/>
                <w:highlight w:val="none"/>
                <w:lang w:val="en-US" w:eastAsia="zh-CN"/>
              </w:rPr>
              <w:t>34.16</w:t>
            </w:r>
            <w:r>
              <w:rPr>
                <w:rFonts w:hint="default" w:ascii="Times New Roman" w:hAnsi="Times New Roman" w:cs="Times New Roman"/>
                <w:color w:val="FF0000"/>
                <w:sz w:val="24"/>
                <w:szCs w:val="24"/>
                <w:highlight w:val="none"/>
              </w:rPr>
              <w:t>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，建议本项目应建有一个</w:t>
            </w:r>
            <w:r>
              <w:rPr>
                <w:rFonts w:hint="eastAsia" w:ascii="Times New Roman" w:hAnsi="Times New Roman" w:cs="Times New Roman"/>
                <w:color w:val="FF0000"/>
                <w:sz w:val="24"/>
                <w:szCs w:val="24"/>
                <w:highlight w:val="none"/>
                <w:lang w:val="en-US" w:eastAsia="zh-CN"/>
              </w:rPr>
              <w:t>40</w:t>
            </w:r>
            <w:r>
              <w:rPr>
                <w:rFonts w:hint="default" w:ascii="Times New Roman" w:hAnsi="Times New Roman" w:cs="Times New Roman"/>
                <w:color w:val="FF0000"/>
                <w:sz w:val="24"/>
                <w:szCs w:val="24"/>
                <w:highlight w:val="none"/>
              </w:rPr>
              <w:t>m</w:t>
            </w:r>
            <w:r>
              <w:rPr>
                <w:rFonts w:hint="default" w:ascii="Times New Roman" w:hAnsi="Times New Roman" w:cs="Times New Roman"/>
                <w:color w:val="FF0000"/>
                <w:sz w:val="24"/>
                <w:szCs w:val="24"/>
                <w:highlight w:val="none"/>
                <w:vertAlign w:val="superscript"/>
              </w:rPr>
              <w:t>3</w:t>
            </w:r>
            <w:r>
              <w:rPr>
                <w:rFonts w:hint="default" w:ascii="Times New Roman" w:hAnsi="Times New Roman" w:cs="Times New Roman"/>
                <w:color w:val="FF0000"/>
                <w:sz w:val="24"/>
                <w:szCs w:val="24"/>
                <w:highlight w:val="none"/>
              </w:rPr>
              <w:t>应急事故池，满足应急需要。</w:t>
            </w:r>
          </w:p>
          <w:p>
            <w:pPr>
              <w:adjustRightInd w:val="0"/>
              <w:spacing w:line="360" w:lineRule="auto"/>
              <w:ind w:firstLine="480" w:firstLineChars="200"/>
              <w:rPr>
                <w:rFonts w:hint="default"/>
                <w:color w:val="00B050"/>
                <w:sz w:val="24"/>
                <w:lang w:val="en-US" w:eastAsia="zh-CN"/>
              </w:rPr>
            </w:pPr>
            <w:r>
              <w:rPr>
                <w:rFonts w:hint="eastAsia"/>
                <w:color w:val="00B050"/>
                <w:sz w:val="24"/>
                <w:lang w:val="en-US" w:eastAsia="zh-CN"/>
              </w:rPr>
              <w:t>4</w:t>
            </w:r>
            <w:r>
              <w:rPr>
                <w:rFonts w:hint="default"/>
                <w:color w:val="00B050"/>
                <w:sz w:val="24"/>
                <w:lang w:val="en-US" w:eastAsia="zh-CN"/>
              </w:rPr>
              <w:t>、制定突发环境事件应急预案</w:t>
            </w:r>
          </w:p>
          <w:p>
            <w:pPr>
              <w:adjustRightInd w:val="0"/>
              <w:snapToGrid w:val="0"/>
              <w:spacing w:line="360" w:lineRule="auto"/>
              <w:ind w:firstLine="480" w:firstLineChars="200"/>
              <w:rPr>
                <w:rFonts w:hint="eastAsia"/>
                <w:color w:val="00B050"/>
                <w:sz w:val="24"/>
              </w:rPr>
            </w:pPr>
            <w:r>
              <w:rPr>
                <w:rFonts w:hint="eastAsia"/>
                <w:color w:val="00B050"/>
                <w:sz w:val="24"/>
              </w:rPr>
              <w:t>根据《企业事业单位突发环境事件应急预案备案管理办法（试行）》和</w:t>
            </w:r>
            <w:r>
              <w:rPr>
                <w:color w:val="00B050"/>
                <w:sz w:val="24"/>
              </w:rPr>
              <w:t>《突发环境事件应急预案备案行业名录（指导性意见）》</w:t>
            </w:r>
            <w:r>
              <w:rPr>
                <w:rFonts w:hint="eastAsia"/>
                <w:color w:val="00B050"/>
                <w:sz w:val="24"/>
              </w:rPr>
              <w:t>，本项目不属</w:t>
            </w:r>
            <w:r>
              <w:rPr>
                <w:color w:val="00B050"/>
                <w:sz w:val="24"/>
              </w:rPr>
              <w:t>应当依法进行环境应急预案备案</w:t>
            </w:r>
            <w:r>
              <w:rPr>
                <w:rFonts w:hint="eastAsia"/>
                <w:color w:val="00B050"/>
                <w:sz w:val="24"/>
              </w:rPr>
              <w:t>的行业类别。但考虑到项目存在火灾</w:t>
            </w:r>
            <w:r>
              <w:rPr>
                <w:rFonts w:hint="eastAsia"/>
                <w:color w:val="00B050"/>
                <w:sz w:val="24"/>
                <w:lang w:eastAsia="zh-CN"/>
              </w:rPr>
              <w:t>事故</w:t>
            </w:r>
            <w:r>
              <w:rPr>
                <w:rFonts w:hint="eastAsia"/>
                <w:color w:val="00B050"/>
                <w:sz w:val="24"/>
              </w:rPr>
              <w:t>和废气事故排放的风险，应鼓励其</w:t>
            </w:r>
            <w:r>
              <w:rPr>
                <w:color w:val="00B050"/>
                <w:sz w:val="24"/>
              </w:rPr>
              <w:t>制定单独的环境应急预案，或在突发事件应急预案中制定环境应急预案专章，并备案。</w:t>
            </w:r>
            <w:r>
              <w:rPr>
                <w:rFonts w:hint="eastAsia"/>
                <w:color w:val="00B050"/>
                <w:sz w:val="24"/>
              </w:rPr>
              <w:t>应急预案内容应包含：</w:t>
            </w:r>
          </w:p>
          <w:p>
            <w:pPr>
              <w:spacing w:line="360" w:lineRule="auto"/>
              <w:jc w:val="center"/>
              <w:rPr>
                <w:b/>
                <w:color w:val="00B050"/>
                <w:szCs w:val="21"/>
              </w:rPr>
            </w:pPr>
            <w:r>
              <w:rPr>
                <w:rFonts w:hint="eastAsia"/>
                <w:b/>
                <w:color w:val="00B050"/>
                <w:szCs w:val="21"/>
              </w:rPr>
              <w:t xml:space="preserve">表 </w:t>
            </w:r>
            <w:r>
              <w:rPr>
                <w:b/>
                <w:color w:val="00B050"/>
                <w:szCs w:val="21"/>
              </w:rPr>
              <w:t>7-</w:t>
            </w:r>
            <w:r>
              <w:rPr>
                <w:rFonts w:hint="eastAsia"/>
                <w:b/>
                <w:color w:val="00B050"/>
                <w:szCs w:val="21"/>
              </w:rPr>
              <w:t>1</w:t>
            </w:r>
            <w:r>
              <w:rPr>
                <w:rFonts w:hint="eastAsia"/>
                <w:b/>
                <w:color w:val="00B050"/>
                <w:szCs w:val="21"/>
                <w:lang w:val="en-US" w:eastAsia="zh-CN"/>
              </w:rPr>
              <w:t>1</w:t>
            </w:r>
            <w:r>
              <w:rPr>
                <w:rFonts w:hint="eastAsia"/>
                <w:b/>
                <w:color w:val="00B050"/>
                <w:szCs w:val="21"/>
              </w:rPr>
              <w:t>环境风险事故应急预案的主要内容</w:t>
            </w:r>
          </w:p>
          <w:tbl>
            <w:tblPr>
              <w:tblStyle w:val="31"/>
              <w:tblW w:w="8975" w:type="dxa"/>
              <w:jc w:val="center"/>
              <w:tblInd w:w="-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7"/>
              <w:gridCol w:w="2117"/>
              <w:gridCol w:w="6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6" w:hRule="atLeast"/>
                <w:jc w:val="center"/>
              </w:trPr>
              <w:tc>
                <w:tcPr>
                  <w:tcW w:w="637" w:type="dxa"/>
                  <w:noWrap w:val="0"/>
                  <w:vAlign w:val="center"/>
                </w:tcPr>
                <w:p>
                  <w:pPr>
                    <w:pStyle w:val="87"/>
                    <w:adjustRightInd w:val="0"/>
                    <w:snapToGrid w:val="0"/>
                    <w:jc w:val="center"/>
                    <w:rPr>
                      <w:rFonts w:ascii="宋体" w:hAnsi="宋体"/>
                      <w:color w:val="00B050"/>
                      <w:szCs w:val="21"/>
                    </w:rPr>
                  </w:pPr>
                  <w:r>
                    <w:rPr>
                      <w:rFonts w:hint="eastAsia" w:ascii="宋体" w:hAnsi="宋体"/>
                      <w:b/>
                      <w:bCs/>
                      <w:color w:val="00B050"/>
                      <w:spacing w:val="2"/>
                      <w:szCs w:val="21"/>
                    </w:rPr>
                    <w:t>序</w:t>
                  </w:r>
                  <w:r>
                    <w:rPr>
                      <w:rFonts w:hint="eastAsia" w:ascii="宋体" w:hAnsi="宋体"/>
                      <w:b/>
                      <w:bCs/>
                      <w:color w:val="00B050"/>
                      <w:szCs w:val="21"/>
                    </w:rPr>
                    <w:t>号</w:t>
                  </w:r>
                </w:p>
              </w:tc>
              <w:tc>
                <w:tcPr>
                  <w:tcW w:w="2117" w:type="dxa"/>
                  <w:noWrap w:val="0"/>
                  <w:vAlign w:val="center"/>
                </w:tcPr>
                <w:p>
                  <w:pPr>
                    <w:pStyle w:val="87"/>
                    <w:adjustRightInd w:val="0"/>
                    <w:snapToGrid w:val="0"/>
                    <w:ind w:firstLine="430"/>
                    <w:rPr>
                      <w:rFonts w:ascii="宋体" w:hAnsi="宋体"/>
                      <w:color w:val="00B050"/>
                      <w:szCs w:val="21"/>
                    </w:rPr>
                  </w:pPr>
                  <w:r>
                    <w:rPr>
                      <w:rFonts w:hint="eastAsia" w:ascii="宋体" w:hAnsi="宋体"/>
                      <w:b/>
                      <w:bCs/>
                      <w:color w:val="00B050"/>
                      <w:spacing w:val="2"/>
                      <w:szCs w:val="21"/>
                    </w:rPr>
                    <w:t>内容及</w:t>
                  </w:r>
                  <w:r>
                    <w:rPr>
                      <w:rFonts w:hint="eastAsia" w:ascii="宋体" w:hAnsi="宋体"/>
                      <w:b/>
                      <w:bCs/>
                      <w:color w:val="00B050"/>
                      <w:spacing w:val="-1"/>
                      <w:szCs w:val="21"/>
                    </w:rPr>
                    <w:t>要</w:t>
                  </w:r>
                  <w:r>
                    <w:rPr>
                      <w:rFonts w:hint="eastAsia" w:ascii="宋体" w:hAnsi="宋体"/>
                      <w:b/>
                      <w:bCs/>
                      <w:color w:val="00B050"/>
                      <w:szCs w:val="21"/>
                    </w:rPr>
                    <w:t>求</w:t>
                  </w:r>
                </w:p>
              </w:tc>
              <w:tc>
                <w:tcPr>
                  <w:tcW w:w="6221" w:type="dxa"/>
                  <w:noWrap w:val="0"/>
                  <w:vAlign w:val="center"/>
                </w:tcPr>
                <w:p>
                  <w:pPr>
                    <w:pStyle w:val="87"/>
                    <w:adjustRightInd w:val="0"/>
                    <w:snapToGrid w:val="0"/>
                    <w:ind w:firstLine="430"/>
                    <w:jc w:val="center"/>
                    <w:rPr>
                      <w:rFonts w:ascii="宋体" w:hAnsi="宋体"/>
                      <w:color w:val="00B050"/>
                      <w:szCs w:val="21"/>
                    </w:rPr>
                  </w:pPr>
                  <w:r>
                    <w:rPr>
                      <w:rFonts w:hint="eastAsia" w:ascii="宋体" w:hAnsi="宋体"/>
                      <w:b/>
                      <w:bCs/>
                      <w:color w:val="00B050"/>
                      <w:spacing w:val="2"/>
                      <w:szCs w:val="21"/>
                    </w:rPr>
                    <w:t>项</w:t>
                  </w:r>
                  <w:r>
                    <w:rPr>
                      <w:rFonts w:hint="eastAsia" w:ascii="宋体" w:hAnsi="宋体"/>
                      <w:b/>
                      <w:bCs/>
                      <w:color w:val="00B050"/>
                      <w:szCs w:val="21"/>
                    </w:rPr>
                    <w:t>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9" w:hRule="atLeast"/>
                <w:jc w:val="center"/>
              </w:trPr>
              <w:tc>
                <w:tcPr>
                  <w:tcW w:w="637" w:type="dxa"/>
                  <w:noWrap w:val="0"/>
                  <w:vAlign w:val="center"/>
                </w:tcPr>
                <w:p>
                  <w:pPr>
                    <w:pStyle w:val="87"/>
                    <w:adjustRightInd w:val="0"/>
                    <w:snapToGrid w:val="0"/>
                    <w:spacing w:before="15"/>
                    <w:jc w:val="center"/>
                    <w:rPr>
                      <w:color w:val="00B050"/>
                      <w:szCs w:val="21"/>
                    </w:rPr>
                  </w:pPr>
                  <w:r>
                    <w:rPr>
                      <w:color w:val="00B050"/>
                      <w:szCs w:val="21"/>
                    </w:rPr>
                    <w:t>1</w:t>
                  </w:r>
                </w:p>
              </w:tc>
              <w:tc>
                <w:tcPr>
                  <w:tcW w:w="2117" w:type="dxa"/>
                  <w:noWrap w:val="0"/>
                  <w:vAlign w:val="center"/>
                </w:tcPr>
                <w:p>
                  <w:pPr>
                    <w:pStyle w:val="87"/>
                    <w:adjustRightInd w:val="0"/>
                    <w:snapToGrid w:val="0"/>
                    <w:jc w:val="center"/>
                    <w:rPr>
                      <w:rFonts w:ascii="宋体" w:hAnsi="宋体"/>
                      <w:color w:val="00B050"/>
                      <w:szCs w:val="21"/>
                    </w:rPr>
                  </w:pPr>
                  <w:r>
                    <w:rPr>
                      <w:rFonts w:hint="eastAsia" w:ascii="宋体" w:hAnsi="宋体"/>
                      <w:color w:val="00B050"/>
                      <w:szCs w:val="21"/>
                    </w:rPr>
                    <w:t>应急计划区</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危险源（</w:t>
                  </w:r>
                  <w:r>
                    <w:rPr>
                      <w:rFonts w:hint="eastAsia" w:ascii="Times New Roman" w:hAnsi="Times New Roman"/>
                      <w:color w:val="00B050"/>
                      <w:szCs w:val="21"/>
                      <w:lang w:eastAsia="zh-CN"/>
                    </w:rPr>
                    <w:t>仓库</w:t>
                  </w:r>
                  <w:r>
                    <w:rPr>
                      <w:rFonts w:hint="eastAsia" w:ascii="Times New Roman" w:hAnsi="Times New Roman"/>
                      <w:color w:val="00B050"/>
                      <w:szCs w:val="21"/>
                    </w:rPr>
                    <w:t>），环境保护目标：附近村居、</w:t>
                  </w:r>
                  <w:r>
                    <w:rPr>
                      <w:rFonts w:hint="eastAsia" w:ascii="Times New Roman" w:hAnsi="Times New Roman"/>
                      <w:color w:val="00B050"/>
                      <w:szCs w:val="21"/>
                      <w:lang w:eastAsia="zh-CN"/>
                    </w:rPr>
                    <w:t>镇政府</w:t>
                  </w:r>
                  <w:r>
                    <w:rPr>
                      <w:rFonts w:hint="eastAsia" w:ascii="Times New Roman" w:hAnsi="Times New Roman"/>
                      <w:color w:val="00B05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74" w:hRule="atLeast"/>
                <w:jc w:val="center"/>
              </w:trPr>
              <w:tc>
                <w:tcPr>
                  <w:tcW w:w="637" w:type="dxa"/>
                  <w:noWrap w:val="0"/>
                  <w:vAlign w:val="center"/>
                </w:tcPr>
                <w:p>
                  <w:pPr>
                    <w:pStyle w:val="87"/>
                    <w:adjustRightInd w:val="0"/>
                    <w:snapToGrid w:val="0"/>
                    <w:jc w:val="center"/>
                    <w:rPr>
                      <w:color w:val="00B050"/>
                      <w:szCs w:val="21"/>
                    </w:rPr>
                  </w:pPr>
                  <w:r>
                    <w:rPr>
                      <w:color w:val="00B050"/>
                      <w:szCs w:val="21"/>
                    </w:rPr>
                    <w:t>2</w:t>
                  </w:r>
                </w:p>
              </w:tc>
              <w:tc>
                <w:tcPr>
                  <w:tcW w:w="2117" w:type="dxa"/>
                  <w:noWrap w:val="0"/>
                  <w:vAlign w:val="center"/>
                </w:tcPr>
                <w:p>
                  <w:pPr>
                    <w:pStyle w:val="87"/>
                    <w:adjustRightInd w:val="0"/>
                    <w:snapToGrid w:val="0"/>
                    <w:jc w:val="center"/>
                    <w:rPr>
                      <w:rFonts w:ascii="宋体" w:hAnsi="宋体"/>
                      <w:color w:val="00B050"/>
                      <w:szCs w:val="21"/>
                    </w:rPr>
                  </w:pPr>
                  <w:r>
                    <w:rPr>
                      <w:rFonts w:hint="eastAsia" w:ascii="宋体" w:hAnsi="宋体"/>
                      <w:color w:val="00B050"/>
                      <w:szCs w:val="21"/>
                    </w:rPr>
                    <w:t>应急组织机构、人员</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实施三级应急组织机构，各级别主要负责人为应急计划、协调第一人，应急人员必须为培训上岗熟练工；区域应急组织结构由当地政府、相关行业专家、卫生安全相关单位组成，并由当地政府进行统一调度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2"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3</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预案分级响应条件</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根据事故的严重程度制定相应级别的应急预案，以及适合相应情况的处理措施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8"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4</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应急救援保障</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事故应急池、应急设施、设备等；发现泄漏立即关闭项目厂内雨污管网。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09"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p>
                <w:p>
                  <w:pPr>
                    <w:pStyle w:val="87"/>
                    <w:adjustRightInd w:val="0"/>
                    <w:snapToGrid w:val="0"/>
                    <w:jc w:val="center"/>
                    <w:rPr>
                      <w:rFonts w:ascii="Times New Roman" w:hAnsi="Times New Roman"/>
                      <w:color w:val="00B050"/>
                      <w:szCs w:val="21"/>
                    </w:rPr>
                  </w:pPr>
                  <w:r>
                    <w:rPr>
                      <w:rFonts w:ascii="Times New Roman" w:hAnsi="Times New Roman"/>
                      <w:color w:val="00B050"/>
                      <w:szCs w:val="21"/>
                    </w:rPr>
                    <w:t>5</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报警、通讯联络方式</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逐一细化应急状态下各主要负责单位的报警通讯方式、地点、电话号码以及相关配套的交通保障、管制、消防联络方法，涉及跨区域的还应与相关区域环境保护部门和上级环保部门保持联系，及时通报事故处理情况，以获得区域性支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8"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6</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应急环境监测、抢险、救援及控制措施</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由专业队伍负责对事故现场进行侦查监测，对事故性质、参数与后果进行评估，为指挥部门提供决策依据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8"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7</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应急检测、防护措施、清除泄漏措施和器材</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事故现场邻近区域、控制防火区域，控制和清除污染措施及相应设备的数量、使用方法、使用人员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11"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8</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人员紧急撤离、疏散，撤离组织计划</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事故现场、邻近区、受事故影响的区域人员及公众对毒物应急剂量控制规定，撤离组织计划及救护，医疗救护与公众健康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5"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9</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事故应急救援关闭程序与恢复措施</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规定应急状态终止程序；事故现场善后处理，恢复措施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3"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10</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应急培训计划</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应急计划制定后，平时安排人员培训与演练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22" w:hRule="atLeast"/>
                <w:jc w:val="center"/>
              </w:trPr>
              <w:tc>
                <w:tcPr>
                  <w:tcW w:w="637" w:type="dxa"/>
                  <w:noWrap w:val="0"/>
                  <w:vAlign w:val="center"/>
                </w:tcPr>
                <w:p>
                  <w:pPr>
                    <w:pStyle w:val="87"/>
                    <w:adjustRightInd w:val="0"/>
                    <w:snapToGrid w:val="0"/>
                    <w:jc w:val="center"/>
                    <w:rPr>
                      <w:rFonts w:ascii="Times New Roman" w:hAnsi="Times New Roman"/>
                      <w:color w:val="00B050"/>
                      <w:szCs w:val="21"/>
                    </w:rPr>
                  </w:pPr>
                  <w:r>
                    <w:rPr>
                      <w:rFonts w:ascii="Times New Roman" w:hAnsi="Times New Roman"/>
                      <w:color w:val="00B050"/>
                      <w:szCs w:val="21"/>
                    </w:rPr>
                    <w:t>11</w:t>
                  </w:r>
                </w:p>
              </w:tc>
              <w:tc>
                <w:tcPr>
                  <w:tcW w:w="2117"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公众教育和信息</w:t>
                  </w:r>
                </w:p>
              </w:tc>
              <w:tc>
                <w:tcPr>
                  <w:tcW w:w="6221" w:type="dxa"/>
                  <w:noWrap w:val="0"/>
                  <w:vAlign w:val="center"/>
                </w:tcPr>
                <w:p>
                  <w:pPr>
                    <w:pStyle w:val="87"/>
                    <w:adjustRightInd w:val="0"/>
                    <w:snapToGrid w:val="0"/>
                    <w:jc w:val="center"/>
                    <w:rPr>
                      <w:rFonts w:ascii="Times New Roman" w:hAnsi="Times New Roman"/>
                      <w:color w:val="00B050"/>
                      <w:szCs w:val="21"/>
                    </w:rPr>
                  </w:pPr>
                  <w:r>
                    <w:rPr>
                      <w:rFonts w:hint="eastAsia" w:ascii="Times New Roman" w:hAnsi="Times New Roman"/>
                      <w:color w:val="00B050"/>
                      <w:szCs w:val="21"/>
                    </w:rPr>
                    <w:t>对邻近地区开展公众教育、培训和发布有关信息</w:t>
                  </w:r>
                </w:p>
              </w:tc>
            </w:tr>
          </w:tbl>
          <w:p>
            <w:pPr>
              <w:adjustRightInd w:val="0"/>
              <w:spacing w:line="360" w:lineRule="auto"/>
              <w:ind w:firstLine="480" w:firstLineChars="200"/>
              <w:rPr>
                <w:rFonts w:hint="default"/>
                <w:color w:val="FF0000"/>
                <w:sz w:val="24"/>
                <w:highlight w:val="none"/>
                <w:lang w:val="en-US" w:eastAsia="zh-CN"/>
              </w:rPr>
            </w:pPr>
            <w:r>
              <w:rPr>
                <w:rFonts w:hint="eastAsia"/>
                <w:color w:val="FF0000"/>
                <w:sz w:val="24"/>
                <w:highlight w:val="none"/>
                <w:lang w:val="en-US" w:eastAsia="zh-CN"/>
              </w:rPr>
              <w:t>5</w:t>
            </w:r>
            <w:r>
              <w:rPr>
                <w:rFonts w:hint="default"/>
                <w:color w:val="FF0000"/>
                <w:sz w:val="24"/>
                <w:highlight w:val="none"/>
                <w:lang w:val="en-US" w:eastAsia="zh-CN"/>
              </w:rPr>
              <w:t>、</w:t>
            </w:r>
            <w:r>
              <w:rPr>
                <w:rFonts w:hint="eastAsia"/>
                <w:color w:val="FF0000"/>
                <w:sz w:val="24"/>
                <w:highlight w:val="none"/>
                <w:lang w:val="en-US" w:eastAsia="zh-CN"/>
              </w:rPr>
              <w:t>风险评价结论</w:t>
            </w:r>
          </w:p>
          <w:p>
            <w:pPr>
              <w:snapToGrid w:val="0"/>
              <w:spacing w:line="360" w:lineRule="auto"/>
              <w:ind w:firstLine="480" w:firstLineChars="200"/>
              <w:rPr>
                <w:rFonts w:hint="eastAsia"/>
                <w:color w:val="FF0000"/>
                <w:sz w:val="24"/>
                <w:lang w:eastAsia="zh-CN"/>
              </w:rPr>
            </w:pPr>
            <w:r>
              <w:rPr>
                <w:color w:val="FF0000"/>
                <w:sz w:val="24"/>
              </w:rPr>
              <w:t>评价建议建设单位根据项目</w:t>
            </w:r>
            <w:r>
              <w:rPr>
                <w:rFonts w:hint="eastAsia"/>
                <w:color w:val="FF0000"/>
                <w:sz w:val="24"/>
              </w:rPr>
              <w:t>环</w:t>
            </w:r>
            <w:r>
              <w:rPr>
                <w:color w:val="FF0000"/>
                <w:sz w:val="24"/>
              </w:rPr>
              <w:t>境风险特征制定相应的环境风险防范措施，同时制定环境风险应急预案、应急环境监测、抢救、救援及控制措施，本着预防为主的原则，落实环境风险防范措施及环境风险应急预案后，项日建设环境风险事故容易得到控制，对环境影响较小</w:t>
            </w:r>
            <w:r>
              <w:rPr>
                <w:rFonts w:hint="eastAsia"/>
                <w:color w:val="FF0000"/>
                <w:sz w:val="24"/>
              </w:rPr>
              <w:t>。</w:t>
            </w:r>
            <w:r>
              <w:rPr>
                <w:rFonts w:hint="eastAsia"/>
                <w:color w:val="FF0000"/>
                <w:sz w:val="24"/>
                <w:lang w:eastAsia="zh-CN"/>
              </w:rPr>
              <w:t>综上，该项目不涉及重大危险源，生产过程中在严格按照风险防范措施处理情况下，该项目环境风险是可以接受的。</w:t>
            </w:r>
          </w:p>
          <w:p>
            <w:pPr>
              <w:pStyle w:val="119"/>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表7-</w:t>
            </w:r>
            <w:r>
              <w:rPr>
                <w:rFonts w:hint="eastAsia" w:cs="Times New Roman"/>
                <w:color w:val="00B050"/>
                <w:sz w:val="21"/>
                <w:szCs w:val="21"/>
                <w:lang w:val="en-US" w:eastAsia="zh-CN"/>
              </w:rPr>
              <w:t>12</w:t>
            </w:r>
            <w:r>
              <w:rPr>
                <w:rFonts w:hint="default" w:ascii="Times New Roman" w:hAnsi="Times New Roman" w:cs="Times New Roman"/>
                <w:color w:val="00B050"/>
                <w:sz w:val="21"/>
                <w:szCs w:val="21"/>
              </w:rPr>
              <w:t xml:space="preserve">  建设项目环境风险简单分析内容表</w:t>
            </w:r>
          </w:p>
          <w:tbl>
            <w:tblPr>
              <w:tblStyle w:val="31"/>
              <w:tblW w:w="8292" w:type="dxa"/>
              <w:jc w:val="center"/>
              <w:tblInd w:w="0" w:type="dxa"/>
              <w:tblLayout w:type="fixed"/>
              <w:tblCellMar>
                <w:top w:w="0" w:type="dxa"/>
                <w:left w:w="0" w:type="dxa"/>
                <w:bottom w:w="0" w:type="dxa"/>
                <w:right w:w="0" w:type="dxa"/>
              </w:tblCellMar>
            </w:tblPr>
            <w:tblGrid>
              <w:gridCol w:w="2423"/>
              <w:gridCol w:w="1021"/>
              <w:gridCol w:w="1491"/>
              <w:gridCol w:w="892"/>
              <w:gridCol w:w="833"/>
              <w:gridCol w:w="1632"/>
            </w:tblGrid>
            <w:tr>
              <w:tblPrEx>
                <w:tblLayout w:type="fixed"/>
                <w:tblCellMar>
                  <w:top w:w="0" w:type="dxa"/>
                  <w:left w:w="0" w:type="dxa"/>
                  <w:bottom w:w="0" w:type="dxa"/>
                  <w:right w:w="0" w:type="dxa"/>
                </w:tblCellMar>
              </w:tblPrEx>
              <w:trPr>
                <w:trHeight w:val="340" w:hRule="atLeast"/>
                <w:jc w:val="center"/>
              </w:trPr>
              <w:tc>
                <w:tcPr>
                  <w:tcW w:w="2423" w:type="dxa"/>
                  <w:tcBorders>
                    <w:top w:val="single" w:color="000000" w:sz="8" w:space="0"/>
                    <w:left w:val="single" w:color="000000" w:sz="8" w:space="0"/>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建设项目名称</w:t>
                  </w:r>
                </w:p>
              </w:tc>
              <w:tc>
                <w:tcPr>
                  <w:tcW w:w="5869" w:type="dxa"/>
                  <w:gridSpan w:val="5"/>
                  <w:tcBorders>
                    <w:top w:val="single" w:color="000000" w:sz="8" w:space="0"/>
                    <w:left w:val="nil"/>
                    <w:bottom w:val="single" w:color="000000" w:sz="4" w:space="0"/>
                    <w:right w:val="single" w:color="000000" w:sz="8"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bCs/>
                      <w:color w:val="00B050"/>
                      <w:kern w:val="2"/>
                    </w:rPr>
                    <w:t>年产</w:t>
                  </w:r>
                  <w:r>
                    <w:rPr>
                      <w:rFonts w:hint="default" w:ascii="Times New Roman" w:hAnsi="Times New Roman" w:cs="Times New Roman"/>
                      <w:bCs/>
                      <w:color w:val="00B050"/>
                      <w:kern w:val="2"/>
                      <w:lang w:val="en-US" w:eastAsia="zh-CN"/>
                    </w:rPr>
                    <w:t>200</w:t>
                  </w:r>
                  <w:r>
                    <w:rPr>
                      <w:rFonts w:hint="default" w:ascii="Times New Roman" w:hAnsi="Times New Roman" w:cs="Times New Roman"/>
                      <w:bCs/>
                      <w:color w:val="00B050"/>
                      <w:kern w:val="2"/>
                    </w:rPr>
                    <w:t>吨</w:t>
                  </w:r>
                  <w:r>
                    <w:rPr>
                      <w:rFonts w:hint="default" w:ascii="Times New Roman" w:hAnsi="Times New Roman" w:cs="Times New Roman"/>
                      <w:bCs/>
                      <w:color w:val="00B050"/>
                      <w:kern w:val="2"/>
                      <w:lang w:eastAsia="zh-CN"/>
                    </w:rPr>
                    <w:t>再生棉</w:t>
                  </w:r>
                  <w:r>
                    <w:rPr>
                      <w:rFonts w:hint="default" w:ascii="Times New Roman" w:hAnsi="Times New Roman" w:cs="Times New Roman"/>
                      <w:bCs/>
                      <w:color w:val="00B050"/>
                      <w:kern w:val="2"/>
                    </w:rPr>
                    <w:t>项目</w:t>
                  </w:r>
                </w:p>
              </w:tc>
            </w:tr>
            <w:tr>
              <w:tblPrEx>
                <w:tblLayout w:type="fixed"/>
                <w:tblCellMar>
                  <w:top w:w="0" w:type="dxa"/>
                  <w:left w:w="0" w:type="dxa"/>
                  <w:bottom w:w="0" w:type="dxa"/>
                  <w:right w:w="0" w:type="dxa"/>
                </w:tblCellMar>
              </w:tblPrEx>
              <w:trPr>
                <w:trHeight w:val="340" w:hRule="atLeast"/>
                <w:jc w:val="center"/>
              </w:trPr>
              <w:tc>
                <w:tcPr>
                  <w:tcW w:w="2423" w:type="dxa"/>
                  <w:tcBorders>
                    <w:top w:val="single" w:color="000000" w:sz="4" w:space="0"/>
                    <w:left w:val="single" w:color="000000" w:sz="8" w:space="0"/>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建设地点</w:t>
                  </w:r>
                </w:p>
              </w:tc>
              <w:tc>
                <w:tcPr>
                  <w:tcW w:w="1021"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（广东）省</w:t>
                  </w:r>
                </w:p>
              </w:tc>
              <w:tc>
                <w:tcPr>
                  <w:tcW w:w="1491"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（普宁）市</w:t>
                  </w:r>
                </w:p>
              </w:tc>
              <w:tc>
                <w:tcPr>
                  <w:tcW w:w="892"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 ）区</w:t>
                  </w:r>
                </w:p>
              </w:tc>
              <w:tc>
                <w:tcPr>
                  <w:tcW w:w="833"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 ）县</w:t>
                  </w:r>
                </w:p>
              </w:tc>
              <w:tc>
                <w:tcPr>
                  <w:tcW w:w="1632" w:type="dxa"/>
                  <w:tcBorders>
                    <w:top w:val="single" w:color="000000" w:sz="4" w:space="0"/>
                    <w:left w:val="nil"/>
                    <w:bottom w:val="single" w:color="000000" w:sz="4" w:space="0"/>
                    <w:right w:val="single" w:color="000000" w:sz="8" w:space="0"/>
                  </w:tcBorders>
                  <w:vAlign w:val="center"/>
                </w:tcPr>
                <w:p>
                  <w:pPr>
                    <w:pStyle w:val="120"/>
                    <w:keepNext w:val="0"/>
                    <w:keepLines w:val="0"/>
                    <w:widowControl/>
                    <w:suppressLineNumbers w:val="0"/>
                    <w:spacing w:before="0" w:beforeAutospacing="0" w:after="0" w:afterAutospacing="0"/>
                    <w:ind w:left="0" w:right="0"/>
                    <w:rPr>
                      <w:rFonts w:hint="eastAsia" w:ascii="Times New Roman" w:hAnsi="Times New Roman" w:eastAsia="宋体" w:cs="Times New Roman"/>
                      <w:color w:val="00B050"/>
                      <w:sz w:val="21"/>
                      <w:szCs w:val="21"/>
                      <w:lang w:eastAsia="zh-CN"/>
                    </w:rPr>
                  </w:pPr>
                  <w:r>
                    <w:rPr>
                      <w:rFonts w:hint="eastAsia" w:ascii="Times New Roman" w:hAnsi="Times New Roman" w:eastAsia="宋体" w:cs="Times New Roman"/>
                      <w:color w:val="00B050"/>
                      <w:sz w:val="21"/>
                      <w:szCs w:val="21"/>
                      <w:lang w:eastAsia="zh-CN"/>
                    </w:rPr>
                    <w:t>梅塘镇新光村镇政府西侧</w:t>
                  </w:r>
                </w:p>
              </w:tc>
            </w:tr>
            <w:tr>
              <w:tblPrEx>
                <w:tblLayout w:type="fixed"/>
                <w:tblCellMar>
                  <w:top w:w="0" w:type="dxa"/>
                  <w:left w:w="0" w:type="dxa"/>
                  <w:bottom w:w="0" w:type="dxa"/>
                  <w:right w:w="0" w:type="dxa"/>
                </w:tblCellMar>
              </w:tblPrEx>
              <w:trPr>
                <w:trHeight w:val="340" w:hRule="atLeast"/>
                <w:jc w:val="center"/>
              </w:trPr>
              <w:tc>
                <w:tcPr>
                  <w:tcW w:w="2423" w:type="dxa"/>
                  <w:tcBorders>
                    <w:top w:val="single" w:color="000000" w:sz="4" w:space="0"/>
                    <w:left w:val="single" w:color="000000" w:sz="8" w:space="0"/>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地理坐标</w:t>
                  </w:r>
                </w:p>
              </w:tc>
              <w:tc>
                <w:tcPr>
                  <w:tcW w:w="1021"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经度</w:t>
                  </w:r>
                </w:p>
              </w:tc>
              <w:tc>
                <w:tcPr>
                  <w:tcW w:w="1491"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东经11</w:t>
                  </w:r>
                  <w:r>
                    <w:rPr>
                      <w:rFonts w:hint="default" w:ascii="Times New Roman" w:hAnsi="Times New Roman" w:cs="Times New Roman"/>
                      <w:color w:val="00B050"/>
                      <w:sz w:val="21"/>
                      <w:szCs w:val="21"/>
                      <w:lang w:val="en-US" w:eastAsia="zh-CN"/>
                    </w:rPr>
                    <w:t>6</w:t>
                  </w:r>
                  <w:r>
                    <w:rPr>
                      <w:rFonts w:hint="default" w:ascii="Times New Roman" w:hAnsi="Times New Roman" w:cs="Times New Roman"/>
                      <w:color w:val="00B050"/>
                      <w:sz w:val="21"/>
                      <w:szCs w:val="21"/>
                    </w:rPr>
                    <w:t xml:space="preserve">° </w:t>
                  </w:r>
                  <w:r>
                    <w:rPr>
                      <w:rFonts w:hint="default" w:ascii="Times New Roman" w:hAnsi="Times New Roman" w:cs="Times New Roman"/>
                      <w:color w:val="00B050"/>
                      <w:sz w:val="21"/>
                      <w:szCs w:val="21"/>
                      <w:lang w:val="en-US" w:eastAsia="zh-CN"/>
                    </w:rPr>
                    <w:t>4</w:t>
                  </w:r>
                  <w:r>
                    <w:rPr>
                      <w:rFonts w:hint="default" w:ascii="Times New Roman" w:hAnsi="Times New Roman" w:cs="Times New Roman"/>
                      <w:color w:val="00B050"/>
                      <w:sz w:val="21"/>
                      <w:szCs w:val="21"/>
                    </w:rPr>
                    <w:t>'</w:t>
                  </w:r>
                  <w:r>
                    <w:rPr>
                      <w:rFonts w:hint="default" w:ascii="Times New Roman" w:hAnsi="Times New Roman" w:cs="Times New Roman"/>
                      <w:color w:val="00B050"/>
                      <w:sz w:val="21"/>
                      <w:szCs w:val="21"/>
                      <w:lang w:val="en-US" w:eastAsia="zh-CN"/>
                    </w:rPr>
                    <w:t>59</w:t>
                  </w:r>
                  <w:r>
                    <w:rPr>
                      <w:rFonts w:hint="default" w:ascii="Times New Roman" w:hAnsi="Times New Roman" w:cs="Times New Roman"/>
                      <w:color w:val="00B050"/>
                      <w:sz w:val="21"/>
                      <w:szCs w:val="21"/>
                    </w:rPr>
                    <w:t>"</w:t>
                  </w:r>
                </w:p>
              </w:tc>
              <w:tc>
                <w:tcPr>
                  <w:tcW w:w="892" w:type="dxa"/>
                  <w:tcBorders>
                    <w:top w:val="single" w:color="000000" w:sz="4" w:space="0"/>
                    <w:left w:val="nil"/>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纬度</w:t>
                  </w:r>
                </w:p>
              </w:tc>
              <w:tc>
                <w:tcPr>
                  <w:tcW w:w="2465" w:type="dxa"/>
                  <w:gridSpan w:val="2"/>
                  <w:tcBorders>
                    <w:top w:val="single" w:color="000000" w:sz="4" w:space="0"/>
                    <w:left w:val="nil"/>
                    <w:bottom w:val="single" w:color="000000" w:sz="4" w:space="0"/>
                    <w:right w:val="single" w:color="000000" w:sz="8"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北纬23°2</w:t>
                  </w:r>
                  <w:r>
                    <w:rPr>
                      <w:rFonts w:hint="default" w:ascii="Times New Roman" w:hAnsi="Times New Roman" w:cs="Times New Roman"/>
                      <w:color w:val="00B050"/>
                      <w:sz w:val="21"/>
                      <w:szCs w:val="21"/>
                      <w:lang w:val="en-US" w:eastAsia="zh-CN"/>
                    </w:rPr>
                    <w:t>1</w:t>
                  </w:r>
                  <w:r>
                    <w:rPr>
                      <w:rFonts w:hint="default" w:ascii="Times New Roman" w:hAnsi="Times New Roman" w:cs="Times New Roman"/>
                      <w:color w:val="00B050"/>
                      <w:sz w:val="21"/>
                      <w:szCs w:val="21"/>
                    </w:rPr>
                    <w:t>'25"</w:t>
                  </w:r>
                </w:p>
              </w:tc>
            </w:tr>
            <w:tr>
              <w:tblPrEx>
                <w:tblLayout w:type="fixed"/>
                <w:tblCellMar>
                  <w:top w:w="0" w:type="dxa"/>
                  <w:left w:w="0" w:type="dxa"/>
                  <w:bottom w:w="0" w:type="dxa"/>
                  <w:right w:w="0" w:type="dxa"/>
                </w:tblCellMar>
              </w:tblPrEx>
              <w:trPr>
                <w:trHeight w:val="340" w:hRule="atLeast"/>
                <w:jc w:val="center"/>
              </w:trPr>
              <w:tc>
                <w:tcPr>
                  <w:tcW w:w="2423" w:type="dxa"/>
                  <w:tcBorders>
                    <w:top w:val="single" w:color="000000" w:sz="4" w:space="0"/>
                    <w:left w:val="single" w:color="000000" w:sz="8" w:space="0"/>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主要危险物质及分布</w:t>
                  </w:r>
                </w:p>
              </w:tc>
              <w:tc>
                <w:tcPr>
                  <w:tcW w:w="5869" w:type="dxa"/>
                  <w:gridSpan w:val="5"/>
                  <w:tcBorders>
                    <w:top w:val="single" w:color="000000" w:sz="4" w:space="0"/>
                    <w:left w:val="nil"/>
                    <w:bottom w:val="single" w:color="000000" w:sz="4" w:space="0"/>
                    <w:right w:val="single" w:color="000000" w:sz="8"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lang w:val="en-US"/>
                    </w:rPr>
                  </w:pPr>
                  <w:r>
                    <w:rPr>
                      <w:rFonts w:hint="eastAsia" w:cs="Times New Roman"/>
                      <w:color w:val="00B050"/>
                      <w:sz w:val="21"/>
                      <w:szCs w:val="21"/>
                      <w:lang w:val="en-US" w:eastAsia="zh-CN"/>
                    </w:rPr>
                    <w:t>--</w:t>
                  </w:r>
                </w:p>
              </w:tc>
            </w:tr>
            <w:tr>
              <w:tblPrEx>
                <w:tblLayout w:type="fixed"/>
                <w:tblCellMar>
                  <w:top w:w="0" w:type="dxa"/>
                  <w:left w:w="0" w:type="dxa"/>
                  <w:bottom w:w="0" w:type="dxa"/>
                  <w:right w:w="0" w:type="dxa"/>
                </w:tblCellMar>
              </w:tblPrEx>
              <w:trPr>
                <w:trHeight w:val="340" w:hRule="atLeast"/>
                <w:jc w:val="center"/>
              </w:trPr>
              <w:tc>
                <w:tcPr>
                  <w:tcW w:w="2423" w:type="dxa"/>
                  <w:tcBorders>
                    <w:top w:val="single" w:color="000000" w:sz="4" w:space="0"/>
                    <w:left w:val="single" w:color="000000" w:sz="8" w:space="0"/>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环境影响途径及危害后果</w:t>
                  </w:r>
                </w:p>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（大气、地表水、地下水等）</w:t>
                  </w:r>
                </w:p>
              </w:tc>
              <w:tc>
                <w:tcPr>
                  <w:tcW w:w="5869" w:type="dxa"/>
                  <w:gridSpan w:val="5"/>
                  <w:tcBorders>
                    <w:top w:val="single" w:color="000000" w:sz="4" w:space="0"/>
                    <w:left w:val="nil"/>
                    <w:bottom w:val="single" w:color="000000" w:sz="4" w:space="0"/>
                    <w:right w:val="single" w:color="000000" w:sz="8" w:space="0"/>
                  </w:tcBorders>
                  <w:vAlign w:val="center"/>
                </w:tcPr>
                <w:p>
                  <w:pPr>
                    <w:pStyle w:val="12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color w:val="00B050"/>
                      <w:sz w:val="21"/>
                      <w:szCs w:val="21"/>
                      <w:lang w:eastAsia="zh-CN"/>
                    </w:rPr>
                  </w:pPr>
                  <w:r>
                    <w:rPr>
                      <w:rFonts w:hint="eastAsia" w:cs="Times New Roman"/>
                      <w:color w:val="00B050"/>
                    </w:rPr>
                    <w:t>原料燃烧发生火灾爆炸对大气环境造成较大的污染，产生消防废水；废气处理</w:t>
                  </w:r>
                  <w:r>
                    <w:rPr>
                      <w:rFonts w:hint="eastAsia" w:cs="Times New Roman"/>
                      <w:color w:val="00B050"/>
                      <w:lang w:eastAsia="zh-CN"/>
                    </w:rPr>
                    <w:t>设施</w:t>
                  </w:r>
                  <w:r>
                    <w:rPr>
                      <w:rFonts w:hint="eastAsia" w:cs="Times New Roman"/>
                      <w:color w:val="00B050"/>
                    </w:rPr>
                    <w:t>发生故障，导致</w:t>
                  </w:r>
                  <w:r>
                    <w:rPr>
                      <w:rFonts w:hint="eastAsia" w:cs="Times New Roman"/>
                      <w:color w:val="00B050"/>
                      <w:lang w:eastAsia="zh-CN"/>
                    </w:rPr>
                    <w:t>粉尘</w:t>
                  </w:r>
                  <w:r>
                    <w:rPr>
                      <w:rFonts w:hint="eastAsia" w:cs="Times New Roman"/>
                      <w:color w:val="00B050"/>
                    </w:rPr>
                    <w:t>未经处理直接排放对大气环境造成较大的污染</w:t>
                  </w:r>
                  <w:r>
                    <w:rPr>
                      <w:rFonts w:hint="eastAsia" w:cs="Times New Roman"/>
                      <w:color w:val="00B050"/>
                      <w:lang w:eastAsia="zh-CN"/>
                    </w:rPr>
                    <w:t>，废气收集系统故障，产生的粉尘属于可燃性粉尘，当产生的粉尘达到爆炸极限或形成粉尘云，遇明火可能发生爆炸事故。</w:t>
                  </w:r>
                </w:p>
              </w:tc>
            </w:tr>
            <w:tr>
              <w:tblPrEx>
                <w:tblLayout w:type="fixed"/>
                <w:tblCellMar>
                  <w:top w:w="0" w:type="dxa"/>
                  <w:left w:w="0" w:type="dxa"/>
                  <w:bottom w:w="0" w:type="dxa"/>
                  <w:right w:w="0" w:type="dxa"/>
                </w:tblCellMar>
              </w:tblPrEx>
              <w:trPr>
                <w:trHeight w:val="340" w:hRule="atLeast"/>
                <w:jc w:val="center"/>
              </w:trPr>
              <w:tc>
                <w:tcPr>
                  <w:tcW w:w="2423" w:type="dxa"/>
                  <w:tcBorders>
                    <w:top w:val="single" w:color="000000" w:sz="4" w:space="0"/>
                    <w:left w:val="single" w:color="000000" w:sz="8" w:space="0"/>
                    <w:bottom w:val="single" w:color="000000" w:sz="4" w:space="0"/>
                    <w:right w:val="single" w:color="000000" w:sz="4" w:space="0"/>
                  </w:tcBorders>
                  <w:vAlign w:val="center"/>
                </w:tcPr>
                <w:p>
                  <w:pPr>
                    <w:pStyle w:val="120"/>
                    <w:keepNext w:val="0"/>
                    <w:keepLines w:val="0"/>
                    <w:widowControl/>
                    <w:suppressLineNumbers w:val="0"/>
                    <w:spacing w:before="0" w:beforeAutospacing="0" w:after="0" w:afterAutospacing="0"/>
                    <w:ind w:left="0" w:right="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风险防范措施要求</w:t>
                  </w:r>
                </w:p>
              </w:tc>
              <w:tc>
                <w:tcPr>
                  <w:tcW w:w="5869" w:type="dxa"/>
                  <w:gridSpan w:val="5"/>
                  <w:tcBorders>
                    <w:top w:val="single" w:color="000000" w:sz="4" w:space="0"/>
                    <w:left w:val="nil"/>
                    <w:bottom w:val="single" w:color="000000" w:sz="4" w:space="0"/>
                    <w:right w:val="single" w:color="000000" w:sz="8" w:space="0"/>
                  </w:tcBorders>
                  <w:vAlign w:val="center"/>
                </w:tcPr>
                <w:p>
                  <w:pPr>
                    <w:pStyle w:val="120"/>
                    <w:keepNext w:val="0"/>
                    <w:keepLines w:val="0"/>
                    <w:widowControl/>
                    <w:suppressLineNumbers w:val="0"/>
                    <w:spacing w:before="0" w:beforeAutospacing="0" w:after="0" w:afterAutospacing="0"/>
                    <w:ind w:left="0" w:right="0"/>
                    <w:jc w:val="both"/>
                    <w:rPr>
                      <w:rFonts w:hint="default" w:ascii="Times New Roman" w:hAnsi="Times New Roman" w:cs="Times New Roman"/>
                      <w:color w:val="00B050"/>
                      <w:sz w:val="21"/>
                      <w:szCs w:val="21"/>
                    </w:rPr>
                  </w:pPr>
                  <w:r>
                    <w:rPr>
                      <w:rFonts w:hint="default" w:cs="Times New Roman"/>
                      <w:color w:val="00B050"/>
                    </w:rPr>
                    <w:t>加强废气治理设施日常管和维护，一旦发生事故性排放，应当立即停止生产线运行，直至废气治理设施恢复为止；</w:t>
                  </w:r>
                  <w:r>
                    <w:rPr>
                      <w:rFonts w:hint="default" w:ascii="Times New Roman" w:hAnsi="Times New Roman" w:cs="Times New Roman"/>
                      <w:color w:val="00B050"/>
                      <w:sz w:val="21"/>
                      <w:szCs w:val="21"/>
                    </w:rPr>
                    <w:t>落实事故应急池等环境风险防范措施。按照国家、地方和相关部门要求，编制企业突发环境事件应急预案，落实企业、区域、地方政府环境风险应急体系。</w:t>
                  </w:r>
                </w:p>
              </w:tc>
            </w:tr>
            <w:tr>
              <w:tblPrEx>
                <w:tblLayout w:type="fixed"/>
                <w:tblCellMar>
                  <w:top w:w="0" w:type="dxa"/>
                  <w:left w:w="0" w:type="dxa"/>
                  <w:bottom w:w="0" w:type="dxa"/>
                  <w:right w:w="0" w:type="dxa"/>
                </w:tblCellMar>
              </w:tblPrEx>
              <w:trPr>
                <w:trHeight w:val="90" w:hRule="atLeast"/>
                <w:jc w:val="center"/>
              </w:trPr>
              <w:tc>
                <w:tcPr>
                  <w:tcW w:w="8292" w:type="dxa"/>
                  <w:gridSpan w:val="6"/>
                  <w:tcBorders>
                    <w:top w:val="single" w:color="000000" w:sz="4" w:space="0"/>
                    <w:left w:val="single" w:color="000000" w:sz="8" w:space="0"/>
                    <w:bottom w:val="single" w:color="000000" w:sz="8" w:space="0"/>
                    <w:right w:val="single" w:color="000000" w:sz="8" w:space="0"/>
                  </w:tcBorders>
                  <w:vAlign w:val="center"/>
                </w:tcPr>
                <w:p>
                  <w:pPr>
                    <w:pStyle w:val="120"/>
                    <w:keepNext w:val="0"/>
                    <w:keepLines w:val="0"/>
                    <w:widowControl/>
                    <w:suppressLineNumbers w:val="0"/>
                    <w:spacing w:before="0" w:beforeAutospacing="0" w:after="0" w:afterAutospacing="0"/>
                    <w:ind w:left="0" w:right="0"/>
                    <w:jc w:val="both"/>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填表说明（列出项目相关信息及评价说明）：</w:t>
                  </w:r>
                </w:p>
                <w:p>
                  <w:pPr>
                    <w:pStyle w:val="120"/>
                    <w:keepNext w:val="0"/>
                    <w:keepLines w:val="0"/>
                    <w:widowControl/>
                    <w:suppressLineNumbers w:val="0"/>
                    <w:spacing w:before="0" w:beforeAutospacing="0" w:after="0" w:afterAutospacing="0"/>
                    <w:ind w:left="0" w:right="0" w:firstLine="420" w:firstLineChars="200"/>
                    <w:jc w:val="left"/>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根据风险识别和风险分析，本项目环境风险</w:t>
                  </w:r>
                  <w:r>
                    <w:rPr>
                      <w:rFonts w:hint="eastAsia" w:cs="Times New Roman"/>
                      <w:color w:val="00B050"/>
                      <w:sz w:val="21"/>
                      <w:szCs w:val="21"/>
                      <w:lang w:eastAsia="zh-CN"/>
                    </w:rPr>
                    <w:t>事故</w:t>
                  </w:r>
                  <w:r>
                    <w:rPr>
                      <w:rFonts w:hint="default" w:cs="Times New Roman"/>
                      <w:color w:val="00B050"/>
                    </w:rPr>
                    <w:t>有火灾事故</w:t>
                  </w:r>
                  <w:r>
                    <w:rPr>
                      <w:rFonts w:hint="eastAsia" w:cs="Times New Roman"/>
                      <w:color w:val="00B050"/>
                      <w:lang w:eastAsia="zh-CN"/>
                    </w:rPr>
                    <w:t>和</w:t>
                  </w:r>
                  <w:r>
                    <w:rPr>
                      <w:rFonts w:hint="default" w:cs="Times New Roman"/>
                      <w:color w:val="00B050"/>
                    </w:rPr>
                    <w:t>废气处理</w:t>
                  </w:r>
                  <w:r>
                    <w:rPr>
                      <w:rFonts w:hint="eastAsia" w:cs="Times New Roman"/>
                      <w:color w:val="00B050"/>
                      <w:lang w:eastAsia="zh-CN"/>
                    </w:rPr>
                    <w:t>设施</w:t>
                  </w:r>
                  <w:r>
                    <w:rPr>
                      <w:rFonts w:hint="default" w:cs="Times New Roman"/>
                      <w:color w:val="00B050"/>
                    </w:rPr>
                    <w:t>事故排放</w:t>
                  </w:r>
                  <w:r>
                    <w:rPr>
                      <w:rFonts w:hint="default" w:ascii="Times New Roman" w:hAnsi="Times New Roman" w:cs="Times New Roman"/>
                      <w:color w:val="00B050"/>
                      <w:sz w:val="21"/>
                      <w:szCs w:val="21"/>
                    </w:rPr>
                    <w:t>。建设单位应按照本报告做好各项风险的预防和应急措施，并制定完善的风险事故应急预案。在项目严格落实环评提出各项措施和要求的前提下，本项目运营期的环境风险在可接受范围之内。</w:t>
                  </w:r>
                </w:p>
              </w:tc>
            </w:tr>
          </w:tbl>
          <w:p>
            <w:pPr>
              <w:pStyle w:val="2"/>
              <w:rPr>
                <w:rFonts w:hint="eastAsia"/>
                <w:lang w:val="en-US" w:eastAsia="zh-CN"/>
              </w:rPr>
            </w:pPr>
          </w:p>
          <w:p>
            <w:pPr>
              <w:snapToGrid w:val="0"/>
              <w:spacing w:line="360" w:lineRule="auto"/>
              <w:ind w:firstLine="482" w:firstLineChars="200"/>
              <w:rPr>
                <w:rFonts w:hint="eastAsia" w:eastAsia="宋体"/>
                <w:b/>
                <w:color w:val="00B050"/>
                <w:sz w:val="24"/>
                <w:lang w:eastAsia="zh-CN"/>
              </w:rPr>
            </w:pPr>
            <w:r>
              <w:rPr>
                <w:rFonts w:hint="eastAsia"/>
                <w:b/>
                <w:color w:val="00B050"/>
                <w:sz w:val="24"/>
                <w:lang w:eastAsia="zh-CN"/>
              </w:rPr>
              <w:t>八</w:t>
            </w:r>
            <w:r>
              <w:rPr>
                <w:rFonts w:hint="eastAsia"/>
                <w:b/>
                <w:color w:val="00B050"/>
                <w:sz w:val="24"/>
              </w:rPr>
              <w:t>、</w:t>
            </w:r>
            <w:r>
              <w:rPr>
                <w:rFonts w:hint="eastAsia"/>
                <w:b/>
                <w:color w:val="00B050"/>
                <w:sz w:val="24"/>
                <w:lang w:eastAsia="zh-CN"/>
              </w:rPr>
              <w:t>清洁生产</w:t>
            </w:r>
          </w:p>
          <w:p>
            <w:pPr>
              <w:snapToGrid w:val="0"/>
              <w:spacing w:line="360" w:lineRule="auto"/>
              <w:ind w:firstLine="480" w:firstLineChars="200"/>
              <w:rPr>
                <w:rFonts w:hint="default"/>
                <w:color w:val="00B050"/>
                <w:sz w:val="24"/>
              </w:rPr>
            </w:pPr>
            <w:r>
              <w:rPr>
                <w:rFonts w:hint="default"/>
                <w:color w:val="00B050"/>
                <w:sz w:val="24"/>
              </w:rPr>
              <w:t xml:space="preserve">根据《中华人民共和国清洁生产促进法》对清洁生产的定义，清洁生产是指不断采取改进设计，使用清洁的能源和原料，采用先进的工艺技术与设备，改善管理、综合利用等措施，从源头削减污染，提高资料利用效率，减少或者避免生产、服务和产品使用过程中污染物的产生和排放，以减轻或者消除对人类健康和环境的危害。 </w:t>
            </w:r>
          </w:p>
          <w:p>
            <w:pPr>
              <w:snapToGrid w:val="0"/>
              <w:spacing w:line="360" w:lineRule="auto"/>
              <w:ind w:firstLine="480" w:firstLineChars="200"/>
              <w:rPr>
                <w:rFonts w:hint="eastAsia"/>
                <w:color w:val="00B050"/>
                <w:sz w:val="24"/>
                <w:lang w:eastAsia="zh-CN"/>
              </w:rPr>
            </w:pPr>
            <w:r>
              <w:rPr>
                <w:rFonts w:hint="default"/>
                <w:color w:val="00B050"/>
                <w:sz w:val="24"/>
              </w:rPr>
              <w:t>据检索《中国清洁生产网》、《</w:t>
            </w:r>
            <w:r>
              <w:rPr>
                <w:rFonts w:hint="eastAsia"/>
                <w:color w:val="00B050"/>
                <w:sz w:val="24"/>
                <w:lang w:eastAsia="zh-CN"/>
              </w:rPr>
              <w:t>生态环境</w:t>
            </w:r>
            <w:r>
              <w:rPr>
                <w:rFonts w:hint="default"/>
                <w:color w:val="00B050"/>
                <w:sz w:val="24"/>
              </w:rPr>
              <w:t>部清洁生产标准》等政府网站，尚无本行业清洁生产标准，因此本次评价将首先调查、收集国内同类行业清洁生产指标，再根据本项目采用的工艺设备和工程分析结果等情况，从原材料消耗、工艺设备、产品指标、污染物产生、废物回收利用等方面选取清洁生产指标进行简单分析，然后采用指标对比法提出清洁生产评价结论，最后根据建设项目存在的主要问题，提出相应的清洁生产方案和建议。</w:t>
            </w:r>
          </w:p>
          <w:p>
            <w:pPr>
              <w:snapToGrid w:val="0"/>
              <w:spacing w:line="360" w:lineRule="auto"/>
              <w:ind w:firstLine="480" w:firstLineChars="200"/>
              <w:rPr>
                <w:rFonts w:hint="default"/>
                <w:color w:val="00B050"/>
                <w:sz w:val="24"/>
              </w:rPr>
            </w:pPr>
            <w:r>
              <w:rPr>
                <w:rFonts w:hint="eastAsia"/>
                <w:color w:val="00B050"/>
                <w:sz w:val="24"/>
                <w:lang w:val="en-US" w:eastAsia="zh-CN"/>
              </w:rPr>
              <w:t>1、</w:t>
            </w:r>
            <w:r>
              <w:rPr>
                <w:rFonts w:hint="default"/>
                <w:color w:val="00B050"/>
                <w:sz w:val="24"/>
              </w:rPr>
              <w:t>原料及生产工艺清洁性分析</w:t>
            </w:r>
          </w:p>
          <w:p>
            <w:pPr>
              <w:snapToGrid w:val="0"/>
              <w:spacing w:line="360" w:lineRule="auto"/>
              <w:ind w:firstLine="480" w:firstLineChars="200"/>
              <w:rPr>
                <w:rFonts w:hint="default"/>
                <w:color w:val="00B050"/>
                <w:sz w:val="24"/>
              </w:rPr>
            </w:pPr>
            <w:r>
              <w:rPr>
                <w:rFonts w:hint="eastAsia"/>
                <w:color w:val="00B050"/>
                <w:sz w:val="24"/>
                <w:lang w:eastAsia="zh-CN"/>
              </w:rPr>
              <w:t>（</w:t>
            </w:r>
            <w:r>
              <w:rPr>
                <w:rFonts w:hint="eastAsia"/>
                <w:color w:val="00B050"/>
                <w:sz w:val="24"/>
                <w:lang w:val="en-US" w:eastAsia="zh-CN"/>
              </w:rPr>
              <w:t>1）</w:t>
            </w:r>
            <w:r>
              <w:rPr>
                <w:rFonts w:hint="default"/>
                <w:color w:val="00B050"/>
                <w:sz w:val="24"/>
              </w:rPr>
              <w:t xml:space="preserve">原辅材料和能源的选择 </w:t>
            </w:r>
          </w:p>
          <w:p>
            <w:pPr>
              <w:snapToGrid w:val="0"/>
              <w:spacing w:line="360" w:lineRule="auto"/>
              <w:ind w:firstLine="480" w:firstLineChars="200"/>
              <w:rPr>
                <w:rFonts w:hint="default"/>
                <w:color w:val="00B050"/>
                <w:sz w:val="24"/>
              </w:rPr>
            </w:pPr>
            <w:r>
              <w:rPr>
                <w:rFonts w:hint="default"/>
                <w:color w:val="00B050"/>
                <w:sz w:val="24"/>
              </w:rPr>
              <w:t>本项目所需的原料主要为</w:t>
            </w:r>
            <w:r>
              <w:rPr>
                <w:rFonts w:hint="eastAsia"/>
                <w:color w:val="00B050"/>
                <w:sz w:val="24"/>
                <w:lang w:eastAsia="zh-CN"/>
              </w:rPr>
              <w:t>废弃碎布，主要能源为电</w:t>
            </w:r>
            <w:r>
              <w:rPr>
                <w:rFonts w:hint="default"/>
                <w:color w:val="00B050"/>
                <w:sz w:val="24"/>
              </w:rPr>
              <w:t xml:space="preserve">，产污量小。 </w:t>
            </w:r>
          </w:p>
          <w:p>
            <w:pPr>
              <w:snapToGrid w:val="0"/>
              <w:spacing w:line="360" w:lineRule="auto"/>
              <w:ind w:firstLine="480" w:firstLineChars="200"/>
              <w:rPr>
                <w:rFonts w:hint="default"/>
                <w:color w:val="00B050"/>
                <w:sz w:val="24"/>
              </w:rPr>
            </w:pPr>
            <w:r>
              <w:rPr>
                <w:rFonts w:hint="eastAsia"/>
                <w:color w:val="00B050"/>
                <w:sz w:val="24"/>
                <w:lang w:eastAsia="zh-CN"/>
              </w:rPr>
              <w:t>（</w:t>
            </w:r>
            <w:r>
              <w:rPr>
                <w:rFonts w:hint="eastAsia"/>
                <w:color w:val="00B050"/>
                <w:sz w:val="24"/>
                <w:lang w:val="en-US" w:eastAsia="zh-CN"/>
              </w:rPr>
              <w:t>2）</w:t>
            </w:r>
            <w:r>
              <w:rPr>
                <w:rFonts w:hint="default"/>
                <w:color w:val="00B050"/>
                <w:sz w:val="24"/>
              </w:rPr>
              <w:t xml:space="preserve">产品指标 </w:t>
            </w:r>
          </w:p>
          <w:p>
            <w:pPr>
              <w:snapToGrid w:val="0"/>
              <w:spacing w:line="360" w:lineRule="auto"/>
              <w:ind w:firstLine="480" w:firstLineChars="200"/>
              <w:rPr>
                <w:rFonts w:hint="default"/>
                <w:color w:val="00B050"/>
                <w:sz w:val="24"/>
              </w:rPr>
            </w:pPr>
            <w:r>
              <w:rPr>
                <w:rFonts w:hint="eastAsia"/>
                <w:color w:val="00B050"/>
                <w:sz w:val="24"/>
                <w:lang w:eastAsia="zh-CN"/>
              </w:rPr>
              <w:t>碎布</w:t>
            </w:r>
            <w:r>
              <w:rPr>
                <w:rFonts w:hint="default"/>
                <w:color w:val="00B050"/>
                <w:sz w:val="24"/>
              </w:rPr>
              <w:t>经过处理之后，</w:t>
            </w:r>
            <w:r>
              <w:rPr>
                <w:rFonts w:hint="default"/>
                <w:color w:val="00B050"/>
                <w:sz w:val="24"/>
                <w:lang w:val="en-US" w:eastAsia="zh-CN"/>
              </w:rPr>
              <w:t>开松加棉加工成再生棉</w:t>
            </w:r>
            <w:r>
              <w:rPr>
                <w:rFonts w:hint="default"/>
                <w:color w:val="00B050"/>
                <w:sz w:val="24"/>
              </w:rPr>
              <w:t>，</w:t>
            </w:r>
            <w:r>
              <w:rPr>
                <w:rFonts w:hint="eastAsia"/>
                <w:color w:val="00B050"/>
                <w:sz w:val="24"/>
                <w:lang w:eastAsia="zh-CN"/>
              </w:rPr>
              <w:t>能回用于纺织行业，</w:t>
            </w:r>
            <w:r>
              <w:rPr>
                <w:rFonts w:hint="default"/>
                <w:color w:val="00B050"/>
                <w:sz w:val="24"/>
              </w:rPr>
              <w:t>符合国家对固废处理的无害化、减量化和资源化的处理方针。</w:t>
            </w:r>
          </w:p>
          <w:p>
            <w:pPr>
              <w:snapToGrid w:val="0"/>
              <w:spacing w:line="360" w:lineRule="auto"/>
              <w:ind w:firstLine="480" w:firstLineChars="200"/>
              <w:rPr>
                <w:rFonts w:hint="default"/>
                <w:color w:val="00B050"/>
                <w:sz w:val="24"/>
              </w:rPr>
            </w:pPr>
            <w:r>
              <w:rPr>
                <w:rFonts w:hint="eastAsia"/>
                <w:color w:val="00B050"/>
                <w:sz w:val="24"/>
                <w:lang w:eastAsia="zh-CN"/>
              </w:rPr>
              <w:t>（</w:t>
            </w:r>
            <w:r>
              <w:rPr>
                <w:rFonts w:hint="eastAsia"/>
                <w:color w:val="00B050"/>
                <w:sz w:val="24"/>
                <w:lang w:val="en-US" w:eastAsia="zh-CN"/>
              </w:rPr>
              <w:t>3）</w:t>
            </w:r>
            <w:r>
              <w:rPr>
                <w:rFonts w:hint="default"/>
                <w:color w:val="00B050"/>
                <w:sz w:val="24"/>
              </w:rPr>
              <w:t xml:space="preserve">生产工艺与设备先进性分析 </w:t>
            </w:r>
          </w:p>
          <w:p>
            <w:pPr>
              <w:snapToGrid w:val="0"/>
              <w:spacing w:line="360" w:lineRule="auto"/>
              <w:ind w:firstLine="480" w:firstLineChars="200"/>
              <w:rPr>
                <w:rFonts w:hint="default"/>
                <w:color w:val="00B050"/>
                <w:sz w:val="24"/>
              </w:rPr>
            </w:pPr>
            <w:r>
              <w:rPr>
                <w:rFonts w:hint="default"/>
                <w:color w:val="00B050"/>
                <w:sz w:val="24"/>
              </w:rPr>
              <w:t>项目采用的</w:t>
            </w:r>
            <w:r>
              <w:rPr>
                <w:rFonts w:hint="eastAsia"/>
                <w:color w:val="00B050"/>
                <w:sz w:val="24"/>
                <w:lang w:eastAsia="zh-CN"/>
              </w:rPr>
              <w:t>生产工艺和设备选型以先进性、可靠性、实用性为前提，保证高质量、高效率，满足生产的要求</w:t>
            </w:r>
            <w:r>
              <w:rPr>
                <w:rFonts w:hint="default"/>
                <w:color w:val="00B050"/>
                <w:sz w:val="24"/>
              </w:rPr>
              <w:t xml:space="preserve">。 </w:t>
            </w:r>
          </w:p>
          <w:p>
            <w:pPr>
              <w:snapToGrid w:val="0"/>
              <w:spacing w:line="360" w:lineRule="auto"/>
              <w:ind w:firstLine="480" w:firstLineChars="200"/>
              <w:rPr>
                <w:rFonts w:hint="default"/>
                <w:color w:val="00B050"/>
                <w:sz w:val="24"/>
                <w:lang w:val="en-US" w:eastAsia="zh-CN"/>
              </w:rPr>
            </w:pPr>
            <w:r>
              <w:rPr>
                <w:rFonts w:hint="eastAsia"/>
                <w:color w:val="00B050"/>
                <w:sz w:val="24"/>
                <w:lang w:val="en-US" w:eastAsia="zh-CN"/>
              </w:rPr>
              <w:t>2、</w:t>
            </w:r>
            <w:r>
              <w:rPr>
                <w:rFonts w:hint="default"/>
                <w:color w:val="00B050"/>
                <w:sz w:val="24"/>
                <w:lang w:val="en-US" w:eastAsia="zh-CN"/>
              </w:rPr>
              <w:t>污染物产生指标分析</w:t>
            </w:r>
          </w:p>
          <w:p>
            <w:pPr>
              <w:snapToGrid w:val="0"/>
              <w:spacing w:line="360" w:lineRule="auto"/>
              <w:ind w:firstLine="480" w:firstLineChars="200"/>
              <w:rPr>
                <w:rFonts w:hint="default"/>
                <w:color w:val="00B050"/>
                <w:sz w:val="24"/>
              </w:rPr>
            </w:pPr>
            <w:r>
              <w:rPr>
                <w:rFonts w:hint="default"/>
                <w:color w:val="00B050"/>
                <w:sz w:val="24"/>
              </w:rPr>
              <w:t xml:space="preserve">（1）废水产生指标 </w:t>
            </w:r>
          </w:p>
          <w:p>
            <w:pPr>
              <w:snapToGrid w:val="0"/>
              <w:spacing w:line="360" w:lineRule="auto"/>
              <w:ind w:firstLine="480" w:firstLineChars="200"/>
              <w:rPr>
                <w:rFonts w:hint="default"/>
                <w:color w:val="00B050"/>
                <w:sz w:val="24"/>
              </w:rPr>
            </w:pPr>
            <w:r>
              <w:rPr>
                <w:rFonts w:hint="default"/>
                <w:color w:val="00B050"/>
                <w:sz w:val="24"/>
              </w:rPr>
              <w:t>生产工艺过程中</w:t>
            </w:r>
            <w:r>
              <w:rPr>
                <w:rFonts w:hint="eastAsia"/>
                <w:color w:val="00B050"/>
                <w:sz w:val="24"/>
                <w:lang w:eastAsia="zh-CN"/>
              </w:rPr>
              <w:t>没有生产废水产生，生活污水经处理达到《城市污水再生利用 城市杂用水水质》（GB/T18920-2002）中城市绿化水质标准后用于厂区绿化灌溉，不外排</w:t>
            </w:r>
            <w:r>
              <w:rPr>
                <w:rFonts w:hint="default"/>
                <w:color w:val="00B050"/>
                <w:sz w:val="24"/>
              </w:rPr>
              <w:t xml:space="preserve">。 </w:t>
            </w:r>
          </w:p>
          <w:p>
            <w:pPr>
              <w:snapToGrid w:val="0"/>
              <w:spacing w:line="360" w:lineRule="auto"/>
              <w:ind w:firstLine="480" w:firstLineChars="200"/>
              <w:rPr>
                <w:rFonts w:hint="default"/>
                <w:color w:val="00B050"/>
                <w:sz w:val="24"/>
              </w:rPr>
            </w:pPr>
            <w:r>
              <w:rPr>
                <w:rFonts w:hint="default"/>
                <w:color w:val="00B050"/>
                <w:sz w:val="24"/>
              </w:rPr>
              <w:t xml:space="preserve">（2）废气产生指标 </w:t>
            </w:r>
          </w:p>
          <w:p>
            <w:pPr>
              <w:snapToGrid w:val="0"/>
              <w:spacing w:line="360" w:lineRule="auto"/>
              <w:ind w:firstLine="480" w:firstLineChars="200"/>
              <w:rPr>
                <w:rFonts w:hint="eastAsia" w:eastAsia="宋体"/>
                <w:color w:val="00B050"/>
                <w:sz w:val="24"/>
                <w:lang w:eastAsia="zh-CN"/>
              </w:rPr>
            </w:pPr>
            <w:r>
              <w:rPr>
                <w:rFonts w:hint="default"/>
                <w:color w:val="00B050"/>
                <w:sz w:val="24"/>
              </w:rPr>
              <w:t>单位产品</w:t>
            </w:r>
            <w:r>
              <w:rPr>
                <w:rFonts w:hint="eastAsia"/>
                <w:color w:val="00B050"/>
                <w:sz w:val="24"/>
                <w:lang w:eastAsia="zh-CN"/>
              </w:rPr>
              <w:t>颗粒物</w:t>
            </w:r>
            <w:r>
              <w:rPr>
                <w:rFonts w:hint="default"/>
                <w:color w:val="00B050"/>
                <w:sz w:val="24"/>
              </w:rPr>
              <w:t>产生指标为</w:t>
            </w:r>
            <w:r>
              <w:rPr>
                <w:rFonts w:hint="eastAsia"/>
                <w:color w:val="00B050"/>
                <w:sz w:val="24"/>
                <w:lang w:val="en-US" w:eastAsia="zh-CN"/>
              </w:rPr>
              <w:t>2</w:t>
            </w:r>
            <w:r>
              <w:rPr>
                <w:rFonts w:hint="default"/>
                <w:color w:val="00B050"/>
                <w:sz w:val="24"/>
              </w:rPr>
              <w:t>t/a÷</w:t>
            </w:r>
            <w:r>
              <w:rPr>
                <w:rFonts w:hint="eastAsia"/>
                <w:color w:val="00B050"/>
                <w:sz w:val="24"/>
                <w:lang w:val="en-US" w:eastAsia="zh-CN"/>
              </w:rPr>
              <w:t>200</w:t>
            </w:r>
            <w:r>
              <w:rPr>
                <w:rFonts w:hint="default"/>
                <w:color w:val="00B050"/>
                <w:sz w:val="24"/>
              </w:rPr>
              <w:t>t/a =</w:t>
            </w:r>
            <w:r>
              <w:rPr>
                <w:rFonts w:hint="eastAsia"/>
                <w:color w:val="00B050"/>
                <w:sz w:val="24"/>
                <w:lang w:val="en-US" w:eastAsia="zh-CN"/>
              </w:rPr>
              <w:t>10</w:t>
            </w:r>
            <w:r>
              <w:rPr>
                <w:rFonts w:hint="default"/>
                <w:color w:val="00B050"/>
                <w:sz w:val="24"/>
              </w:rPr>
              <w:t>kg/t</w:t>
            </w:r>
            <w:r>
              <w:rPr>
                <w:rFonts w:hint="eastAsia"/>
                <w:color w:val="00B050"/>
                <w:sz w:val="24"/>
                <w:lang w:eastAsia="zh-CN"/>
              </w:rPr>
              <w:t>。</w:t>
            </w:r>
          </w:p>
          <w:p>
            <w:pPr>
              <w:snapToGrid w:val="0"/>
              <w:spacing w:line="360" w:lineRule="auto"/>
              <w:ind w:firstLine="480" w:firstLineChars="200"/>
              <w:rPr>
                <w:rFonts w:hint="default"/>
                <w:color w:val="00B050"/>
                <w:sz w:val="24"/>
              </w:rPr>
            </w:pPr>
            <w:r>
              <w:rPr>
                <w:rFonts w:hint="default"/>
                <w:color w:val="00B050"/>
                <w:sz w:val="24"/>
              </w:rPr>
              <w:t xml:space="preserve">（3）固体废物产生指标 </w:t>
            </w:r>
          </w:p>
          <w:p>
            <w:pPr>
              <w:snapToGrid w:val="0"/>
              <w:spacing w:line="360" w:lineRule="auto"/>
              <w:ind w:firstLine="480" w:firstLineChars="200"/>
              <w:rPr>
                <w:rFonts w:hint="default"/>
                <w:color w:val="00B050"/>
                <w:sz w:val="24"/>
              </w:rPr>
            </w:pPr>
            <w:r>
              <w:rPr>
                <w:rFonts w:hint="default"/>
                <w:color w:val="00B050"/>
                <w:sz w:val="24"/>
              </w:rPr>
              <w:t>单位产品固体废物产生指标为</w:t>
            </w:r>
            <w:r>
              <w:rPr>
                <w:rFonts w:hint="eastAsia"/>
                <w:color w:val="00B050"/>
                <w:sz w:val="24"/>
                <w:lang w:val="en-US" w:eastAsia="zh-CN"/>
              </w:rPr>
              <w:t>1.62</w:t>
            </w:r>
            <w:r>
              <w:rPr>
                <w:rFonts w:hint="default"/>
                <w:color w:val="00B050"/>
                <w:sz w:val="24"/>
              </w:rPr>
              <w:t>t/a÷</w:t>
            </w:r>
            <w:r>
              <w:rPr>
                <w:rFonts w:hint="eastAsia"/>
                <w:color w:val="00B050"/>
                <w:sz w:val="24"/>
                <w:lang w:val="en-US" w:eastAsia="zh-CN"/>
              </w:rPr>
              <w:t>200</w:t>
            </w:r>
            <w:r>
              <w:rPr>
                <w:rFonts w:hint="default"/>
                <w:color w:val="00B050"/>
                <w:sz w:val="24"/>
              </w:rPr>
              <w:t>t/a =</w:t>
            </w:r>
            <w:r>
              <w:rPr>
                <w:rFonts w:hint="eastAsia"/>
                <w:color w:val="00B050"/>
                <w:sz w:val="24"/>
                <w:lang w:val="en-US" w:eastAsia="zh-CN"/>
              </w:rPr>
              <w:t>8.1</w:t>
            </w:r>
            <w:r>
              <w:rPr>
                <w:rFonts w:hint="default"/>
                <w:color w:val="00B050"/>
                <w:sz w:val="24"/>
              </w:rPr>
              <w:t>kg/t。</w:t>
            </w:r>
          </w:p>
          <w:p>
            <w:pPr>
              <w:snapToGrid w:val="0"/>
              <w:spacing w:line="360" w:lineRule="auto"/>
              <w:ind w:firstLine="480" w:firstLineChars="200"/>
              <w:rPr>
                <w:rFonts w:hint="default"/>
                <w:color w:val="00B050"/>
                <w:sz w:val="24"/>
                <w:lang w:val="en-US" w:eastAsia="zh-CN"/>
              </w:rPr>
            </w:pPr>
            <w:r>
              <w:rPr>
                <w:rFonts w:hint="eastAsia"/>
                <w:color w:val="00B050"/>
                <w:sz w:val="24"/>
                <w:lang w:val="en-US" w:eastAsia="zh-CN"/>
              </w:rPr>
              <w:t>3、</w:t>
            </w:r>
            <w:r>
              <w:rPr>
                <w:rFonts w:hint="default"/>
                <w:color w:val="00B050"/>
                <w:sz w:val="24"/>
                <w:lang w:val="en-US" w:eastAsia="zh-CN"/>
              </w:rPr>
              <w:t>废物回收利用指标分析</w:t>
            </w:r>
          </w:p>
          <w:p>
            <w:pPr>
              <w:snapToGrid w:val="0"/>
              <w:spacing w:line="360" w:lineRule="auto"/>
              <w:ind w:firstLine="480" w:firstLineChars="200"/>
              <w:rPr>
                <w:rFonts w:hint="default"/>
                <w:color w:val="00B050"/>
                <w:sz w:val="24"/>
                <w:lang w:val="en-US" w:eastAsia="zh-CN"/>
              </w:rPr>
            </w:pPr>
            <w:r>
              <w:rPr>
                <w:rFonts w:hint="default"/>
                <w:color w:val="00B050"/>
                <w:sz w:val="24"/>
                <w:lang w:val="en-US" w:eastAsia="zh-CN"/>
              </w:rPr>
              <w:t xml:space="preserve">针对生产过程中的各类废物，建设单位提出了多种形式的回收利用方案： </w:t>
            </w:r>
          </w:p>
          <w:p>
            <w:pPr>
              <w:snapToGrid w:val="0"/>
              <w:spacing w:line="360" w:lineRule="auto"/>
              <w:ind w:firstLine="480" w:firstLineChars="200"/>
              <w:rPr>
                <w:rFonts w:hint="default"/>
                <w:color w:val="00B050"/>
                <w:sz w:val="24"/>
                <w:lang w:val="en-US" w:eastAsia="zh-CN"/>
              </w:rPr>
            </w:pPr>
            <w:r>
              <w:rPr>
                <w:rFonts w:hint="default"/>
                <w:color w:val="00B050"/>
                <w:sz w:val="24"/>
                <w:lang w:val="en-US" w:eastAsia="zh-CN"/>
              </w:rPr>
              <w:t>（1）项目</w:t>
            </w:r>
            <w:r>
              <w:rPr>
                <w:rFonts w:hint="eastAsia"/>
                <w:color w:val="00B050"/>
                <w:sz w:val="24"/>
                <w:lang w:eastAsia="zh-CN"/>
              </w:rPr>
              <w:t>生活污水经处理达到《城市污水再生利用 城市杂用水水质》（GB/T18920-2002）中城市绿化水质标准后用于厂区绿化灌溉，不外排</w:t>
            </w:r>
            <w:r>
              <w:rPr>
                <w:rFonts w:hint="default"/>
                <w:color w:val="00B050"/>
                <w:sz w:val="24"/>
                <w:lang w:val="en-US" w:eastAsia="zh-CN"/>
              </w:rPr>
              <w:t xml:space="preserve">。 </w:t>
            </w:r>
          </w:p>
          <w:p>
            <w:pPr>
              <w:snapToGrid w:val="0"/>
              <w:spacing w:line="360" w:lineRule="auto"/>
              <w:ind w:firstLine="480" w:firstLineChars="200"/>
              <w:rPr>
                <w:rFonts w:hint="default"/>
                <w:color w:val="00B050"/>
                <w:sz w:val="24"/>
                <w:lang w:val="en-US" w:eastAsia="zh-CN"/>
              </w:rPr>
            </w:pPr>
            <w:r>
              <w:rPr>
                <w:rFonts w:hint="default"/>
                <w:color w:val="00B050"/>
                <w:sz w:val="24"/>
                <w:lang w:val="en-US" w:eastAsia="zh-CN"/>
              </w:rPr>
              <w:t>（2）边角料经回收后作为原料继续利用。</w:t>
            </w:r>
          </w:p>
          <w:p>
            <w:pPr>
              <w:snapToGrid w:val="0"/>
              <w:spacing w:line="360" w:lineRule="auto"/>
              <w:ind w:firstLine="480" w:firstLineChars="200"/>
              <w:rPr>
                <w:rFonts w:hint="default"/>
                <w:color w:val="00B050"/>
                <w:sz w:val="24"/>
              </w:rPr>
            </w:pPr>
            <w:r>
              <w:rPr>
                <w:rFonts w:hint="eastAsia"/>
                <w:color w:val="00B050"/>
                <w:sz w:val="24"/>
                <w:lang w:val="en-US" w:eastAsia="zh-CN"/>
              </w:rPr>
              <w:t>4、</w:t>
            </w:r>
            <w:r>
              <w:rPr>
                <w:rFonts w:hint="default"/>
                <w:color w:val="00B050"/>
                <w:sz w:val="24"/>
              </w:rPr>
              <w:t>评价指标分值评估</w:t>
            </w:r>
          </w:p>
          <w:p>
            <w:pPr>
              <w:snapToGrid w:val="0"/>
              <w:spacing w:line="360" w:lineRule="auto"/>
              <w:ind w:firstLine="480" w:firstLineChars="200"/>
              <w:rPr>
                <w:rFonts w:hint="default"/>
                <w:color w:val="00B050"/>
                <w:sz w:val="24"/>
              </w:rPr>
            </w:pPr>
            <w:r>
              <w:rPr>
                <w:rFonts w:hint="default"/>
                <w:color w:val="00B050"/>
                <w:sz w:val="24"/>
              </w:rPr>
              <w:t xml:space="preserve">（1）评价方法 </w:t>
            </w:r>
          </w:p>
          <w:p>
            <w:pPr>
              <w:snapToGrid w:val="0"/>
              <w:spacing w:line="360" w:lineRule="auto"/>
              <w:ind w:firstLine="480" w:firstLineChars="200"/>
              <w:rPr>
                <w:rFonts w:hint="default"/>
                <w:color w:val="00B050"/>
                <w:sz w:val="24"/>
              </w:rPr>
            </w:pPr>
            <w:r>
              <w:rPr>
                <w:rFonts w:hint="default"/>
                <w:color w:val="00B050"/>
                <w:sz w:val="24"/>
              </w:rPr>
              <w:t>评价方法参照《中国环境影响评价培训教材》（国家环保总局监督管理司编，化学工业出版社，2000 年 1 月）第三章《清洁生产评价》之规定。清洁生产指标的评价方法采用百分制，首先对原材料指标、产品指标、资源消耗指标和污染物产生指标按等级评分标准分别进行打分，若有分指标则按分指标打分，然后分别乘以各自的权重值，最后累加起来得到总分。通过总分值的比较可以基本判定项目整体所达到的清洁生产程度。</w:t>
            </w:r>
          </w:p>
          <w:p>
            <w:pPr>
              <w:snapToGrid w:val="0"/>
              <w:spacing w:line="360" w:lineRule="auto"/>
              <w:ind w:firstLine="480" w:firstLineChars="200"/>
              <w:rPr>
                <w:rFonts w:hint="default"/>
                <w:color w:val="00B050"/>
                <w:sz w:val="24"/>
              </w:rPr>
            </w:pPr>
            <w:r>
              <w:rPr>
                <w:rFonts w:hint="default"/>
                <w:color w:val="00B050"/>
                <w:sz w:val="24"/>
              </w:rPr>
              <w:t xml:space="preserve">（2）评价指标 </w:t>
            </w:r>
          </w:p>
          <w:p>
            <w:pPr>
              <w:snapToGrid w:val="0"/>
              <w:spacing w:line="360" w:lineRule="auto"/>
              <w:ind w:firstLine="480" w:firstLineChars="200"/>
              <w:rPr>
                <w:rFonts w:hint="default"/>
                <w:color w:val="00B050"/>
                <w:sz w:val="24"/>
              </w:rPr>
            </w:pPr>
            <w:r>
              <w:rPr>
                <w:rFonts w:hint="default"/>
                <w:color w:val="00B050"/>
                <w:sz w:val="24"/>
              </w:rPr>
              <w:t>清洁生产评价指标及权重值参照《中国环境影响评价培训教材》表 3.4.2 推荐的指标及其权重值，详见表</w:t>
            </w:r>
            <w:r>
              <w:rPr>
                <w:rFonts w:hint="eastAsia"/>
                <w:color w:val="00B050"/>
                <w:sz w:val="24"/>
                <w:lang w:val="en-US" w:eastAsia="zh-CN"/>
              </w:rPr>
              <w:t>7-13</w:t>
            </w:r>
            <w:r>
              <w:rPr>
                <w:rFonts w:hint="default"/>
                <w:color w:val="00B050"/>
                <w:sz w:val="24"/>
              </w:rPr>
              <w:t>。</w:t>
            </w:r>
          </w:p>
          <w:p>
            <w:pPr>
              <w:ind w:firstLine="0" w:firstLineChars="0"/>
              <w:jc w:val="center"/>
              <w:rPr>
                <w:rFonts w:hint="default" w:ascii="Times New Roman" w:hAnsi="Times New Roman" w:cs="Times New Roman"/>
                <w:color w:val="00B050"/>
              </w:rPr>
            </w:pPr>
            <w:r>
              <w:rPr>
                <w:rFonts w:hint="default" w:ascii="Times New Roman" w:hAnsi="Times New Roman" w:cs="Times New Roman"/>
                <w:b/>
                <w:color w:val="00B050"/>
                <w:sz w:val="21"/>
                <w:szCs w:val="21"/>
              </w:rPr>
              <w:t>表</w:t>
            </w:r>
            <w:r>
              <w:rPr>
                <w:rFonts w:hint="eastAsia" w:ascii="Times New Roman" w:hAnsi="Times New Roman" w:cs="Times New Roman"/>
                <w:b/>
                <w:color w:val="00B050"/>
                <w:sz w:val="21"/>
                <w:szCs w:val="21"/>
                <w:lang w:val="en-US" w:eastAsia="zh-CN"/>
              </w:rPr>
              <w:t>7-1</w:t>
            </w:r>
            <w:r>
              <w:rPr>
                <w:rFonts w:hint="eastAsia" w:cs="Times New Roman"/>
                <w:b/>
                <w:color w:val="00B050"/>
                <w:sz w:val="21"/>
                <w:szCs w:val="21"/>
                <w:lang w:val="en-US" w:eastAsia="zh-CN"/>
              </w:rPr>
              <w:t>3</w:t>
            </w:r>
            <w:r>
              <w:rPr>
                <w:rFonts w:hint="default" w:ascii="Times New Roman" w:hAnsi="Times New Roman" w:cs="Times New Roman"/>
                <w:b/>
                <w:color w:val="00B050"/>
                <w:sz w:val="21"/>
                <w:szCs w:val="21"/>
              </w:rPr>
              <w:t xml:space="preserve"> 清洁生产指标及权重值一览表</w:t>
            </w:r>
          </w:p>
          <w:tbl>
            <w:tblPr>
              <w:tblStyle w:val="31"/>
              <w:tblW w:w="8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1"/>
              <w:gridCol w:w="2831"/>
              <w:gridCol w:w="2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清洁生产评价指标</w:t>
                  </w:r>
                </w:p>
              </w:tc>
              <w:tc>
                <w:tcPr>
                  <w:tcW w:w="5663" w:type="dxa"/>
                  <w:gridSpan w:val="2"/>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权重值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1、原材料指标</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（1）毒性</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（2）生态影响</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（3）可再生性</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（4）能源强度</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（5）可回收利用性</w:t>
                  </w:r>
                </w:p>
              </w:tc>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7</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6</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4</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4</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4</w:t>
                  </w:r>
                </w:p>
              </w:tc>
              <w:tc>
                <w:tcPr>
                  <w:tcW w:w="2832"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2、产品指标</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（1）销售</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（2）使用</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（3）报废</w:t>
                  </w:r>
                </w:p>
              </w:tc>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6</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8</w:t>
                  </w:r>
                </w:p>
              </w:tc>
              <w:tc>
                <w:tcPr>
                  <w:tcW w:w="2832"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3、资源指标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（1）能耗</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（2）水耗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（3）其他物耗</w:t>
                  </w:r>
                </w:p>
              </w:tc>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11</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10</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8</w:t>
                  </w:r>
                </w:p>
              </w:tc>
              <w:tc>
                <w:tcPr>
                  <w:tcW w:w="2832"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4、污染物产生指标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（1）废水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（2）废气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（3）固体废物</w:t>
                  </w:r>
                </w:p>
              </w:tc>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12</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12</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5</w:t>
                  </w:r>
                </w:p>
              </w:tc>
              <w:tc>
                <w:tcPr>
                  <w:tcW w:w="2832"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合计</w:t>
                  </w:r>
                </w:p>
              </w:tc>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100</w:t>
                  </w:r>
                </w:p>
              </w:tc>
              <w:tc>
                <w:tcPr>
                  <w:tcW w:w="2832"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100</w:t>
                  </w:r>
                </w:p>
              </w:tc>
            </w:tr>
          </w:tbl>
          <w:p>
            <w:pPr>
              <w:snapToGrid w:val="0"/>
              <w:spacing w:line="360" w:lineRule="auto"/>
              <w:ind w:firstLine="480" w:firstLineChars="200"/>
              <w:rPr>
                <w:rFonts w:hint="default"/>
                <w:color w:val="00B050"/>
                <w:sz w:val="24"/>
              </w:rPr>
            </w:pPr>
            <w:r>
              <w:rPr>
                <w:rFonts w:hint="default"/>
                <w:color w:val="00B050"/>
                <w:sz w:val="24"/>
              </w:rPr>
              <w:t xml:space="preserve">（3）评价标准 </w:t>
            </w:r>
          </w:p>
          <w:p>
            <w:pPr>
              <w:snapToGrid w:val="0"/>
              <w:spacing w:line="360" w:lineRule="auto"/>
              <w:ind w:firstLine="480" w:firstLineChars="200"/>
              <w:rPr>
                <w:rFonts w:hint="default"/>
                <w:color w:val="00B050"/>
                <w:sz w:val="24"/>
              </w:rPr>
            </w:pPr>
            <w:r>
              <w:rPr>
                <w:rFonts w:hint="default"/>
                <w:color w:val="00B050"/>
                <w:sz w:val="24"/>
              </w:rPr>
              <w:t xml:space="preserve">按《清洁生产评价》方法，分定性和定量评价两类。 </w:t>
            </w:r>
          </w:p>
          <w:p>
            <w:pPr>
              <w:snapToGrid w:val="0"/>
              <w:spacing w:line="360" w:lineRule="auto"/>
              <w:ind w:firstLine="480" w:firstLineChars="200"/>
              <w:rPr>
                <w:rFonts w:hint="default"/>
                <w:color w:val="00B050"/>
                <w:sz w:val="24"/>
              </w:rPr>
            </w:pPr>
            <w:r>
              <w:rPr>
                <w:rFonts w:hint="default"/>
                <w:color w:val="00B050"/>
                <w:sz w:val="24"/>
              </w:rPr>
              <w:t xml:space="preserve">◆定性评价 </w:t>
            </w:r>
          </w:p>
          <w:p>
            <w:pPr>
              <w:snapToGrid w:val="0"/>
              <w:spacing w:line="360" w:lineRule="auto"/>
              <w:ind w:firstLine="480" w:firstLineChars="200"/>
              <w:rPr>
                <w:rFonts w:hint="default"/>
                <w:color w:val="00B050"/>
                <w:sz w:val="24"/>
              </w:rPr>
            </w:pPr>
            <w:r>
              <w:rPr>
                <w:rFonts w:hint="default"/>
                <w:color w:val="00B050"/>
                <w:sz w:val="24"/>
              </w:rPr>
              <w:t xml:space="preserve">原材料指标和产品指标在目前数据条件下难以量化，可粗略分为高中低三个档次，其评分标准如下： </w:t>
            </w:r>
          </w:p>
          <w:p>
            <w:pPr>
              <w:snapToGrid w:val="0"/>
              <w:spacing w:line="360" w:lineRule="auto"/>
              <w:ind w:firstLine="480" w:firstLineChars="200"/>
              <w:rPr>
                <w:rFonts w:hint="default"/>
                <w:color w:val="00B050"/>
                <w:sz w:val="24"/>
              </w:rPr>
            </w:pPr>
            <w:r>
              <w:rPr>
                <w:rFonts w:hint="default"/>
                <w:color w:val="00B050"/>
                <w:sz w:val="24"/>
              </w:rPr>
              <w:t xml:space="preserve">高，表示原材料和产品对环境的有害影响较小，评 0.7～1.0 分； </w:t>
            </w:r>
          </w:p>
          <w:p>
            <w:pPr>
              <w:snapToGrid w:val="0"/>
              <w:spacing w:line="360" w:lineRule="auto"/>
              <w:ind w:firstLine="480" w:firstLineChars="200"/>
              <w:rPr>
                <w:rFonts w:hint="default"/>
                <w:color w:val="00B050"/>
                <w:sz w:val="24"/>
              </w:rPr>
            </w:pPr>
            <w:r>
              <w:rPr>
                <w:rFonts w:hint="default"/>
                <w:color w:val="00B050"/>
                <w:sz w:val="24"/>
              </w:rPr>
              <w:t>中，表示原材料和产品对环境的有害影响中等，评 0.3～0.7 分；</w:t>
            </w:r>
          </w:p>
          <w:p>
            <w:pPr>
              <w:snapToGrid w:val="0"/>
              <w:spacing w:line="360" w:lineRule="auto"/>
              <w:ind w:firstLine="480" w:firstLineChars="200"/>
              <w:rPr>
                <w:rFonts w:hint="default"/>
                <w:color w:val="00B050"/>
                <w:sz w:val="24"/>
              </w:rPr>
            </w:pPr>
            <w:r>
              <w:rPr>
                <w:rFonts w:hint="default"/>
                <w:color w:val="00B050"/>
                <w:sz w:val="24"/>
              </w:rPr>
              <w:t xml:space="preserve">低，表示原材料和产品对环境的有害影响较大，评 0～0.3 分。 </w:t>
            </w:r>
          </w:p>
          <w:p>
            <w:pPr>
              <w:snapToGrid w:val="0"/>
              <w:spacing w:line="360" w:lineRule="auto"/>
              <w:ind w:firstLine="480" w:firstLineChars="200"/>
              <w:rPr>
                <w:rFonts w:hint="default"/>
                <w:color w:val="00B050"/>
                <w:sz w:val="24"/>
              </w:rPr>
            </w:pPr>
            <w:r>
              <w:rPr>
                <w:rFonts w:hint="default"/>
                <w:color w:val="00B050"/>
                <w:sz w:val="24"/>
              </w:rPr>
              <w:t xml:space="preserve">◆定量评价 </w:t>
            </w:r>
          </w:p>
          <w:p>
            <w:pPr>
              <w:snapToGrid w:val="0"/>
              <w:spacing w:line="360" w:lineRule="auto"/>
              <w:ind w:firstLine="480" w:firstLineChars="200"/>
              <w:rPr>
                <w:rFonts w:hint="default"/>
                <w:color w:val="00B050"/>
                <w:sz w:val="24"/>
              </w:rPr>
            </w:pPr>
            <w:r>
              <w:rPr>
                <w:rFonts w:hint="default"/>
                <w:color w:val="00B050"/>
                <w:sz w:val="24"/>
              </w:rPr>
              <w:t>资源消耗指标和污染物产生指标较易于量化，可细分为五个等级，评分标准如下：</w:t>
            </w:r>
          </w:p>
          <w:p>
            <w:pPr>
              <w:snapToGrid w:val="0"/>
              <w:spacing w:line="360" w:lineRule="auto"/>
              <w:ind w:firstLine="480" w:firstLineChars="200"/>
              <w:rPr>
                <w:rFonts w:hint="default"/>
                <w:color w:val="00B050"/>
                <w:sz w:val="24"/>
              </w:rPr>
            </w:pPr>
            <w:r>
              <w:rPr>
                <w:rFonts w:hint="default"/>
                <w:color w:val="00B050"/>
                <w:sz w:val="24"/>
              </w:rPr>
              <w:t xml:space="preserve">清洁，有关指标达到本行业国际先进水平，评 0.8～1.0 分； </w:t>
            </w:r>
          </w:p>
          <w:p>
            <w:pPr>
              <w:snapToGrid w:val="0"/>
              <w:spacing w:line="360" w:lineRule="auto"/>
              <w:ind w:firstLine="480" w:firstLineChars="200"/>
              <w:rPr>
                <w:rFonts w:hint="default"/>
                <w:color w:val="00B050"/>
                <w:sz w:val="24"/>
              </w:rPr>
            </w:pPr>
            <w:r>
              <w:rPr>
                <w:rFonts w:hint="default"/>
                <w:color w:val="00B050"/>
                <w:sz w:val="24"/>
              </w:rPr>
              <w:t xml:space="preserve">较清洁，有关指标达到本行业国内先进水平，评 0.6～0.8 分； </w:t>
            </w:r>
          </w:p>
          <w:p>
            <w:pPr>
              <w:snapToGrid w:val="0"/>
              <w:spacing w:line="360" w:lineRule="auto"/>
              <w:ind w:firstLine="480" w:firstLineChars="200"/>
              <w:rPr>
                <w:rFonts w:hint="default"/>
                <w:color w:val="00B050"/>
                <w:sz w:val="24"/>
              </w:rPr>
            </w:pPr>
            <w:r>
              <w:rPr>
                <w:rFonts w:hint="default"/>
                <w:color w:val="00B050"/>
                <w:sz w:val="24"/>
              </w:rPr>
              <w:t xml:space="preserve">一般，有关指标达到本行业国内平均水平，评 0.4～0.6 分； </w:t>
            </w:r>
          </w:p>
          <w:p>
            <w:pPr>
              <w:snapToGrid w:val="0"/>
              <w:spacing w:line="360" w:lineRule="auto"/>
              <w:ind w:firstLine="480" w:firstLineChars="200"/>
              <w:rPr>
                <w:rFonts w:hint="default"/>
                <w:color w:val="00B050"/>
                <w:sz w:val="24"/>
              </w:rPr>
            </w:pPr>
            <w:r>
              <w:rPr>
                <w:rFonts w:hint="default"/>
                <w:color w:val="00B050"/>
                <w:sz w:val="24"/>
              </w:rPr>
              <w:t xml:space="preserve">较差，有关指标达到本行业国内中下水平，评 0.2～0.4 分； </w:t>
            </w:r>
          </w:p>
          <w:p>
            <w:pPr>
              <w:snapToGrid w:val="0"/>
              <w:spacing w:line="360" w:lineRule="auto"/>
              <w:ind w:firstLine="480" w:firstLineChars="200"/>
              <w:rPr>
                <w:rFonts w:hint="default"/>
                <w:color w:val="00B050"/>
                <w:sz w:val="24"/>
              </w:rPr>
            </w:pPr>
            <w:r>
              <w:rPr>
                <w:rFonts w:hint="default"/>
                <w:color w:val="00B050"/>
                <w:sz w:val="24"/>
              </w:rPr>
              <w:t xml:space="preserve">差，有关指标达到本行业国内较差水平，评 0～0.2 分。 </w:t>
            </w:r>
          </w:p>
          <w:p>
            <w:pPr>
              <w:snapToGrid w:val="0"/>
              <w:spacing w:line="360" w:lineRule="auto"/>
              <w:ind w:firstLine="480" w:firstLineChars="200"/>
              <w:rPr>
                <w:rFonts w:hint="default"/>
                <w:color w:val="00B050"/>
                <w:sz w:val="24"/>
              </w:rPr>
            </w:pPr>
            <w:r>
              <w:rPr>
                <w:rFonts w:hint="default"/>
                <w:color w:val="00B050"/>
                <w:sz w:val="24"/>
              </w:rPr>
              <w:t xml:space="preserve">（4）分值评估 </w:t>
            </w:r>
          </w:p>
          <w:p>
            <w:pPr>
              <w:snapToGrid w:val="0"/>
              <w:spacing w:line="360" w:lineRule="auto"/>
              <w:ind w:firstLine="480" w:firstLineChars="200"/>
              <w:rPr>
                <w:rFonts w:hint="default"/>
                <w:color w:val="00B050"/>
                <w:sz w:val="24"/>
              </w:rPr>
            </w:pPr>
            <w:r>
              <w:rPr>
                <w:rFonts w:hint="default"/>
                <w:color w:val="00B050"/>
                <w:sz w:val="24"/>
              </w:rPr>
              <w:t>根据上述分析结果，评估各评价指标得分值如表</w:t>
            </w:r>
            <w:r>
              <w:rPr>
                <w:rFonts w:hint="eastAsia"/>
                <w:color w:val="00B050"/>
                <w:sz w:val="24"/>
                <w:lang w:val="en-US" w:eastAsia="zh-CN"/>
              </w:rPr>
              <w:t>7-14</w:t>
            </w:r>
            <w:r>
              <w:rPr>
                <w:rFonts w:hint="default"/>
                <w:color w:val="00B050"/>
                <w:sz w:val="24"/>
              </w:rPr>
              <w:t>所列。</w:t>
            </w:r>
          </w:p>
          <w:p>
            <w:pPr>
              <w:ind w:firstLine="0" w:firstLineChars="0"/>
              <w:jc w:val="center"/>
              <w:rPr>
                <w:rFonts w:hint="default" w:ascii="Times New Roman" w:hAnsi="Times New Roman" w:cs="Times New Roman"/>
                <w:color w:val="00B050"/>
              </w:rPr>
            </w:pPr>
            <w:r>
              <w:rPr>
                <w:rFonts w:hint="default" w:ascii="Times New Roman" w:hAnsi="Times New Roman" w:cs="Times New Roman"/>
                <w:b/>
                <w:color w:val="00B050"/>
                <w:sz w:val="21"/>
                <w:szCs w:val="21"/>
              </w:rPr>
              <w:t>表</w:t>
            </w:r>
            <w:r>
              <w:rPr>
                <w:rFonts w:hint="eastAsia" w:ascii="Times New Roman" w:hAnsi="Times New Roman" w:cs="Times New Roman"/>
                <w:b/>
                <w:color w:val="00B050"/>
                <w:sz w:val="21"/>
                <w:szCs w:val="21"/>
                <w:lang w:val="en-US" w:eastAsia="zh-CN"/>
              </w:rPr>
              <w:t>7-1</w:t>
            </w:r>
            <w:r>
              <w:rPr>
                <w:rFonts w:hint="eastAsia" w:cs="Times New Roman"/>
                <w:b/>
                <w:color w:val="00B050"/>
                <w:sz w:val="21"/>
                <w:szCs w:val="21"/>
                <w:lang w:val="en-US" w:eastAsia="zh-CN"/>
              </w:rPr>
              <w:t>4</w:t>
            </w:r>
            <w:r>
              <w:rPr>
                <w:rFonts w:hint="default" w:ascii="Times New Roman" w:hAnsi="Times New Roman" w:cs="Times New Roman"/>
                <w:b/>
                <w:color w:val="00B050"/>
                <w:sz w:val="21"/>
                <w:szCs w:val="21"/>
              </w:rPr>
              <w:t xml:space="preserve"> 各评价指标得分值一览表</w:t>
            </w:r>
          </w:p>
          <w:tbl>
            <w:tblPr>
              <w:tblStyle w:val="31"/>
              <w:tblW w:w="8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1"/>
              <w:gridCol w:w="1105"/>
              <w:gridCol w:w="4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清洁生产评价指标</w:t>
                  </w:r>
                </w:p>
              </w:tc>
              <w:tc>
                <w:tcPr>
                  <w:tcW w:w="1105" w:type="dxa"/>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得分</w:t>
                  </w:r>
                </w:p>
              </w:tc>
              <w:tc>
                <w:tcPr>
                  <w:tcW w:w="4558" w:type="dxa"/>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评价理由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1、原材料指标</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（1）毒性</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（2）生态影响</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（3）可再生性</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（4）能源强度</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（5）可回收利用性</w:t>
                  </w:r>
                </w:p>
              </w:tc>
              <w:tc>
                <w:tcPr>
                  <w:tcW w:w="1105"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w:t>
                  </w:r>
                </w:p>
              </w:tc>
              <w:tc>
                <w:tcPr>
                  <w:tcW w:w="4558" w:type="dxa"/>
                  <w:noWrap w:val="0"/>
                  <w:vAlign w:val="center"/>
                </w:tcPr>
                <w:p>
                  <w:pPr>
                    <w:spacing w:line="240" w:lineRule="auto"/>
                    <w:ind w:firstLine="0" w:firstLineChars="0"/>
                    <w:rPr>
                      <w:rFonts w:hint="default" w:ascii="Times New Roman" w:hAnsi="Times New Roman" w:cs="Times New Roman"/>
                      <w:color w:val="00B050"/>
                      <w:sz w:val="21"/>
                      <w:szCs w:val="21"/>
                    </w:rPr>
                  </w:pP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原辅材料无毒性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对生态影响影响较小 </w:t>
                  </w:r>
                </w:p>
                <w:p>
                  <w:pPr>
                    <w:spacing w:line="240" w:lineRule="auto"/>
                    <w:ind w:firstLine="0" w:firstLineChars="0"/>
                    <w:rPr>
                      <w:rFonts w:hint="default" w:ascii="Times New Roman" w:hAnsi="Times New Roman" w:cs="Times New Roman"/>
                      <w:color w:val="00B050"/>
                      <w:sz w:val="21"/>
                      <w:szCs w:val="21"/>
                    </w:rPr>
                  </w:pPr>
                  <w:r>
                    <w:rPr>
                      <w:rFonts w:hint="eastAsia" w:ascii="Times New Roman" w:hAnsi="Times New Roman" w:cs="Times New Roman"/>
                      <w:color w:val="00B050"/>
                      <w:sz w:val="21"/>
                      <w:szCs w:val="21"/>
                      <w:lang w:eastAsia="zh-CN"/>
                    </w:rPr>
                    <w:t>碎布</w:t>
                  </w:r>
                  <w:r>
                    <w:rPr>
                      <w:rFonts w:hint="default" w:ascii="Times New Roman" w:hAnsi="Times New Roman" w:cs="Times New Roman"/>
                      <w:color w:val="00B050"/>
                      <w:sz w:val="21"/>
                      <w:szCs w:val="21"/>
                    </w:rPr>
                    <w:t xml:space="preserve">可再生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原材料的生产将耗用能源，强度较小 </w:t>
                  </w:r>
                </w:p>
                <w:p>
                  <w:pPr>
                    <w:spacing w:line="240" w:lineRule="auto"/>
                    <w:ind w:firstLine="0" w:firstLineChars="0"/>
                    <w:rPr>
                      <w:rFonts w:hint="default" w:ascii="Times New Roman" w:hAnsi="Times New Roman" w:cs="Times New Roman"/>
                      <w:color w:val="00B050"/>
                      <w:sz w:val="21"/>
                      <w:szCs w:val="21"/>
                    </w:rPr>
                  </w:pPr>
                  <w:r>
                    <w:rPr>
                      <w:rFonts w:hint="eastAsia" w:ascii="Times New Roman" w:hAnsi="Times New Roman" w:cs="Times New Roman"/>
                      <w:color w:val="00B050"/>
                      <w:sz w:val="21"/>
                      <w:szCs w:val="21"/>
                      <w:lang w:eastAsia="zh-CN"/>
                    </w:rPr>
                    <w:t>边角料</w:t>
                  </w:r>
                  <w:r>
                    <w:rPr>
                      <w:rFonts w:hint="default" w:ascii="Times New Roman" w:hAnsi="Times New Roman" w:cs="Times New Roman"/>
                      <w:color w:val="00B050"/>
                      <w:sz w:val="21"/>
                      <w:szCs w:val="21"/>
                    </w:rPr>
                    <w:t>可回收利用性大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2、产品指标</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（1）销售</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（2）使用</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（3）报废</w:t>
                  </w:r>
                </w:p>
              </w:tc>
              <w:tc>
                <w:tcPr>
                  <w:tcW w:w="1105"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w:t>
                  </w:r>
                </w:p>
              </w:tc>
              <w:tc>
                <w:tcPr>
                  <w:tcW w:w="4558" w:type="dxa"/>
                  <w:noWrap w:val="0"/>
                  <w:vAlign w:val="center"/>
                </w:tcPr>
                <w:p>
                  <w:pPr>
                    <w:spacing w:line="240" w:lineRule="auto"/>
                    <w:ind w:firstLine="0" w:firstLineChars="0"/>
                    <w:rPr>
                      <w:rFonts w:hint="default" w:ascii="Times New Roman" w:hAnsi="Times New Roman" w:cs="Times New Roman"/>
                      <w:color w:val="00B050"/>
                      <w:sz w:val="21"/>
                      <w:szCs w:val="21"/>
                    </w:rPr>
                  </w:pP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销售过程对环境没有影响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使用过程产生污染较小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报废后可回收利用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3、资源指标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（1）能耗</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（2）水耗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（3）其他物耗</w:t>
                  </w:r>
                </w:p>
              </w:tc>
              <w:tc>
                <w:tcPr>
                  <w:tcW w:w="1105"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w:t>
                  </w:r>
                </w:p>
              </w:tc>
              <w:tc>
                <w:tcPr>
                  <w:tcW w:w="4558" w:type="dxa"/>
                  <w:noWrap w:val="0"/>
                  <w:vAlign w:val="center"/>
                </w:tcPr>
                <w:p>
                  <w:pPr>
                    <w:spacing w:line="240" w:lineRule="auto"/>
                    <w:ind w:firstLine="0" w:firstLineChars="0"/>
                    <w:rPr>
                      <w:rFonts w:hint="default" w:ascii="Times New Roman" w:hAnsi="Times New Roman" w:cs="Times New Roman"/>
                      <w:color w:val="00B050"/>
                      <w:sz w:val="21"/>
                      <w:szCs w:val="21"/>
                    </w:rPr>
                  </w:pPr>
                </w:p>
                <w:p>
                  <w:pPr>
                    <w:spacing w:line="240" w:lineRule="auto"/>
                    <w:ind w:firstLine="0" w:firstLineChars="0"/>
                    <w:rPr>
                      <w:rFonts w:hint="default" w:ascii="Times New Roman" w:hAnsi="Times New Roman" w:cs="Times New Roman"/>
                      <w:color w:val="00B050"/>
                      <w:sz w:val="21"/>
                      <w:szCs w:val="21"/>
                    </w:rPr>
                  </w:pPr>
                  <w:r>
                    <w:rPr>
                      <w:rFonts w:hint="eastAsia" w:ascii="Times New Roman" w:hAnsi="Times New Roman" w:cs="Times New Roman"/>
                      <w:color w:val="00B050"/>
                      <w:sz w:val="21"/>
                      <w:szCs w:val="21"/>
                      <w:lang w:eastAsia="zh-CN"/>
                    </w:rPr>
                    <w:t>耗能</w:t>
                  </w:r>
                  <w:r>
                    <w:rPr>
                      <w:rFonts w:hint="default" w:ascii="Times New Roman" w:hAnsi="Times New Roman" w:cs="Times New Roman"/>
                      <w:color w:val="00B050"/>
                      <w:sz w:val="21"/>
                      <w:szCs w:val="21"/>
                    </w:rPr>
                    <w:t xml:space="preserve">较低 </w:t>
                  </w:r>
                </w:p>
                <w:p>
                  <w:pPr>
                    <w:spacing w:line="240" w:lineRule="auto"/>
                    <w:ind w:firstLine="0" w:firstLineChars="0"/>
                    <w:rPr>
                      <w:rFonts w:hint="eastAsia" w:ascii="Times New Roman" w:hAnsi="Times New Roman" w:cs="Times New Roman"/>
                      <w:color w:val="00B050"/>
                      <w:sz w:val="21"/>
                      <w:szCs w:val="21"/>
                      <w:lang w:eastAsia="zh-CN"/>
                    </w:rPr>
                  </w:pPr>
                  <w:r>
                    <w:rPr>
                      <w:rFonts w:hint="eastAsia" w:ascii="Times New Roman" w:hAnsi="Times New Roman" w:cs="Times New Roman"/>
                      <w:color w:val="00B050"/>
                      <w:sz w:val="21"/>
                      <w:szCs w:val="21"/>
                      <w:lang w:eastAsia="zh-CN"/>
                    </w:rPr>
                    <w:t>生产过程不需生产用水</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物料利用率高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4、污染物产生指标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（1）废水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（2）废气 </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（3）固体废物</w:t>
                  </w:r>
                </w:p>
              </w:tc>
              <w:tc>
                <w:tcPr>
                  <w:tcW w:w="1105"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0.3</w:t>
                  </w:r>
                </w:p>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w:t>
                  </w:r>
                </w:p>
              </w:tc>
              <w:tc>
                <w:tcPr>
                  <w:tcW w:w="4558" w:type="dxa"/>
                  <w:noWrap w:val="0"/>
                  <w:vAlign w:val="center"/>
                </w:tcPr>
                <w:p>
                  <w:pPr>
                    <w:spacing w:line="240" w:lineRule="auto"/>
                    <w:ind w:firstLine="0" w:firstLineChars="0"/>
                    <w:rPr>
                      <w:rFonts w:hint="default" w:ascii="Times New Roman" w:hAnsi="Times New Roman" w:cs="Times New Roman"/>
                      <w:color w:val="00B050"/>
                      <w:sz w:val="21"/>
                      <w:szCs w:val="21"/>
                    </w:rPr>
                  </w:pPr>
                </w:p>
                <w:p>
                  <w:pPr>
                    <w:spacing w:line="240" w:lineRule="auto"/>
                    <w:ind w:firstLine="0" w:firstLineChars="0"/>
                    <w:rPr>
                      <w:rFonts w:hint="default" w:ascii="Times New Roman" w:hAnsi="Times New Roman" w:cs="Times New Roman"/>
                      <w:color w:val="00B050"/>
                      <w:sz w:val="21"/>
                      <w:szCs w:val="21"/>
                    </w:rPr>
                  </w:pPr>
                  <w:r>
                    <w:rPr>
                      <w:rFonts w:hint="eastAsia" w:ascii="Times New Roman" w:hAnsi="Times New Roman" w:cs="Times New Roman"/>
                      <w:color w:val="00B050"/>
                      <w:sz w:val="21"/>
                      <w:szCs w:val="21"/>
                      <w:lang w:eastAsia="zh-CN"/>
                    </w:rPr>
                    <w:t>没有生产废水产生</w:t>
                  </w:r>
                  <w:r>
                    <w:rPr>
                      <w:rFonts w:hint="default" w:ascii="Times New Roman" w:hAnsi="Times New Roman" w:cs="Times New Roman"/>
                      <w:color w:val="00B050"/>
                      <w:sz w:val="21"/>
                      <w:szCs w:val="21"/>
                    </w:rPr>
                    <w:t xml:space="preserve"> </w:t>
                  </w:r>
                </w:p>
                <w:p>
                  <w:pPr>
                    <w:spacing w:line="240" w:lineRule="auto"/>
                    <w:ind w:firstLine="0" w:firstLineChars="0"/>
                    <w:rPr>
                      <w:rFonts w:hint="eastAsia" w:ascii="Times New Roman" w:hAnsi="Times New Roman" w:eastAsia="宋体" w:cs="Times New Roman"/>
                      <w:color w:val="00B050"/>
                      <w:sz w:val="21"/>
                      <w:szCs w:val="21"/>
                      <w:lang w:eastAsia="zh-CN"/>
                    </w:rPr>
                  </w:pPr>
                  <w:r>
                    <w:rPr>
                      <w:rFonts w:hint="default" w:ascii="Times New Roman" w:hAnsi="Times New Roman" w:cs="Times New Roman"/>
                      <w:color w:val="00B050"/>
                      <w:sz w:val="21"/>
                      <w:szCs w:val="21"/>
                    </w:rPr>
                    <w:t>废气产生量</w:t>
                  </w:r>
                  <w:r>
                    <w:rPr>
                      <w:rFonts w:hint="eastAsia" w:ascii="Times New Roman" w:hAnsi="Times New Roman" w:cs="Times New Roman"/>
                      <w:color w:val="00B050"/>
                      <w:sz w:val="21"/>
                      <w:szCs w:val="21"/>
                      <w:lang w:eastAsia="zh-CN"/>
                    </w:rPr>
                    <w:t>小</w:t>
                  </w:r>
                  <w:r>
                    <w:rPr>
                      <w:rFonts w:hint="default" w:ascii="Times New Roman" w:hAnsi="Times New Roman" w:cs="Times New Roman"/>
                      <w:color w:val="00B050"/>
                      <w:sz w:val="21"/>
                      <w:szCs w:val="21"/>
                    </w:rPr>
                    <w:t>，对环境影响大</w:t>
                  </w:r>
                  <w:r>
                    <w:rPr>
                      <w:rFonts w:hint="eastAsia" w:ascii="Times New Roman" w:hAnsi="Times New Roman" w:cs="Times New Roman"/>
                      <w:color w:val="00B050"/>
                      <w:sz w:val="21"/>
                      <w:szCs w:val="21"/>
                      <w:lang w:eastAsia="zh-CN"/>
                    </w:rPr>
                    <w:t>小</w:t>
                  </w:r>
                </w:p>
                <w:p>
                  <w:pPr>
                    <w:spacing w:line="240" w:lineRule="auto"/>
                    <w:ind w:firstLine="0" w:firstLineChars="0"/>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 xml:space="preserve">生产固废可回收利用 </w:t>
                  </w:r>
                </w:p>
              </w:tc>
            </w:tr>
          </w:tbl>
          <w:p>
            <w:pPr>
              <w:snapToGrid w:val="0"/>
              <w:spacing w:line="360" w:lineRule="auto"/>
              <w:ind w:firstLine="480" w:firstLineChars="200"/>
              <w:rPr>
                <w:rFonts w:hint="default"/>
                <w:color w:val="00B050"/>
                <w:sz w:val="24"/>
              </w:rPr>
            </w:pPr>
            <w:r>
              <w:rPr>
                <w:rFonts w:hint="default"/>
                <w:color w:val="00B050"/>
                <w:sz w:val="24"/>
              </w:rPr>
              <w:t>将各项指标的得分值加权相加，结果如表</w:t>
            </w:r>
            <w:r>
              <w:rPr>
                <w:rFonts w:hint="eastAsia"/>
                <w:color w:val="00B050"/>
                <w:sz w:val="24"/>
                <w:lang w:val="en-US" w:eastAsia="zh-CN"/>
              </w:rPr>
              <w:t>7-15</w:t>
            </w:r>
            <w:r>
              <w:rPr>
                <w:rFonts w:hint="default"/>
                <w:color w:val="00B050"/>
                <w:sz w:val="24"/>
              </w:rPr>
              <w:t>。</w:t>
            </w:r>
          </w:p>
          <w:p>
            <w:pPr>
              <w:ind w:firstLine="0" w:firstLineChars="0"/>
              <w:jc w:val="center"/>
              <w:rPr>
                <w:rFonts w:hint="default" w:ascii="Times New Roman" w:hAnsi="Times New Roman" w:cs="Times New Roman"/>
                <w:color w:val="00B050"/>
              </w:rPr>
            </w:pPr>
            <w:r>
              <w:rPr>
                <w:rFonts w:hint="default" w:ascii="Times New Roman" w:hAnsi="Times New Roman" w:cs="Times New Roman"/>
                <w:b/>
                <w:color w:val="00B050"/>
                <w:sz w:val="21"/>
                <w:szCs w:val="21"/>
              </w:rPr>
              <w:t>表</w:t>
            </w:r>
            <w:r>
              <w:rPr>
                <w:rFonts w:hint="eastAsia" w:ascii="Times New Roman" w:hAnsi="Times New Roman" w:cs="Times New Roman"/>
                <w:b/>
                <w:color w:val="00B050"/>
                <w:sz w:val="21"/>
                <w:szCs w:val="21"/>
                <w:lang w:val="en-US" w:eastAsia="zh-CN"/>
              </w:rPr>
              <w:t>7-1</w:t>
            </w:r>
            <w:r>
              <w:rPr>
                <w:rFonts w:hint="eastAsia" w:cs="Times New Roman"/>
                <w:b/>
                <w:color w:val="00B050"/>
                <w:sz w:val="21"/>
                <w:szCs w:val="21"/>
                <w:lang w:val="en-US" w:eastAsia="zh-CN"/>
              </w:rPr>
              <w:t xml:space="preserve">5 </w:t>
            </w:r>
            <w:r>
              <w:rPr>
                <w:rFonts w:hint="default" w:ascii="Times New Roman" w:hAnsi="Times New Roman" w:cs="Times New Roman"/>
                <w:b/>
                <w:color w:val="00B050"/>
                <w:sz w:val="21"/>
                <w:szCs w:val="21"/>
              </w:rPr>
              <w:t>清洁生产水平评价结果一览表</w:t>
            </w:r>
          </w:p>
          <w:tbl>
            <w:tblPr>
              <w:tblStyle w:val="31"/>
              <w:tblW w:w="73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1"/>
              <w:gridCol w:w="4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清洁生产评价指标</w:t>
                  </w:r>
                </w:p>
              </w:tc>
              <w:tc>
                <w:tcPr>
                  <w:tcW w:w="4558" w:type="dxa"/>
                  <w:noWrap w:val="0"/>
                  <w:vAlign w:val="center"/>
                </w:tcPr>
                <w:p>
                  <w:pPr>
                    <w:spacing w:line="240" w:lineRule="auto"/>
                    <w:ind w:firstLine="0" w:firstLineChars="0"/>
                    <w:jc w:val="center"/>
                    <w:rPr>
                      <w:rFonts w:hint="default" w:ascii="Times New Roman" w:hAnsi="Times New Roman" w:cs="Times New Roman"/>
                      <w:b/>
                      <w:color w:val="00B050"/>
                      <w:sz w:val="21"/>
                      <w:szCs w:val="21"/>
                    </w:rPr>
                  </w:pPr>
                  <w:r>
                    <w:rPr>
                      <w:rFonts w:hint="default" w:ascii="Times New Roman" w:hAnsi="Times New Roman" w:cs="Times New Roman"/>
                      <w:b/>
                      <w:color w:val="00B050"/>
                      <w:sz w:val="21"/>
                      <w:szCs w:val="21"/>
                    </w:rPr>
                    <w:t>加权得分值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原材料指标</w:t>
                  </w:r>
                </w:p>
              </w:tc>
              <w:tc>
                <w:tcPr>
                  <w:tcW w:w="4558"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0.8×7+0.9×6+0.8×4+0.9×4=18.4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产品指标</w:t>
                  </w:r>
                </w:p>
              </w:tc>
              <w:tc>
                <w:tcPr>
                  <w:tcW w:w="4558"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0.9×3+0.9×6+0.9×8=15.3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资源指标</w:t>
                  </w:r>
                </w:p>
              </w:tc>
              <w:tc>
                <w:tcPr>
                  <w:tcW w:w="4558"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0.8×11+0.8×10+0.9×8=24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污染物产生指标</w:t>
                  </w:r>
                </w:p>
              </w:tc>
              <w:tc>
                <w:tcPr>
                  <w:tcW w:w="4558"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0.8×12+0.3×12+0.8×5=17.2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31"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综合评分</w:t>
                  </w:r>
                </w:p>
              </w:tc>
              <w:tc>
                <w:tcPr>
                  <w:tcW w:w="4558" w:type="dxa"/>
                  <w:noWrap w:val="0"/>
                  <w:vAlign w:val="center"/>
                </w:tcPr>
                <w:p>
                  <w:pPr>
                    <w:spacing w:line="240" w:lineRule="auto"/>
                    <w:ind w:firstLine="0" w:firstLineChars="0"/>
                    <w:jc w:val="center"/>
                    <w:rPr>
                      <w:rFonts w:hint="default" w:ascii="Times New Roman" w:hAnsi="Times New Roman" w:cs="Times New Roman"/>
                      <w:color w:val="00B050"/>
                      <w:sz w:val="21"/>
                      <w:szCs w:val="21"/>
                    </w:rPr>
                  </w:pPr>
                  <w:r>
                    <w:rPr>
                      <w:rFonts w:hint="default" w:ascii="Times New Roman" w:hAnsi="Times New Roman" w:cs="Times New Roman"/>
                      <w:color w:val="00B050"/>
                      <w:sz w:val="21"/>
                      <w:szCs w:val="21"/>
                    </w:rPr>
                    <w:t>18.4+15.3+24+17.2=74.9</w:t>
                  </w:r>
                </w:p>
              </w:tc>
            </w:tr>
          </w:tbl>
          <w:p>
            <w:pPr>
              <w:snapToGrid w:val="0"/>
              <w:spacing w:line="360" w:lineRule="auto"/>
              <w:ind w:firstLine="480" w:firstLineChars="200"/>
              <w:rPr>
                <w:rFonts w:hint="default"/>
                <w:color w:val="00B050"/>
                <w:sz w:val="24"/>
              </w:rPr>
            </w:pPr>
            <w:bookmarkStart w:id="10" w:name="_Toc1893"/>
            <w:r>
              <w:rPr>
                <w:rFonts w:hint="eastAsia"/>
                <w:color w:val="00B050"/>
                <w:sz w:val="24"/>
                <w:lang w:val="en-US" w:eastAsia="zh-CN"/>
              </w:rPr>
              <w:t>5、</w:t>
            </w:r>
            <w:r>
              <w:rPr>
                <w:rFonts w:hint="default"/>
                <w:color w:val="00B050"/>
                <w:sz w:val="24"/>
              </w:rPr>
              <w:t>清洁生产水平综合评价</w:t>
            </w:r>
            <w:bookmarkEnd w:id="10"/>
          </w:p>
          <w:p>
            <w:pPr>
              <w:snapToGrid w:val="0"/>
              <w:spacing w:line="360" w:lineRule="auto"/>
              <w:ind w:firstLine="480" w:firstLineChars="200"/>
              <w:rPr>
                <w:rFonts w:hint="default"/>
                <w:color w:val="00B050"/>
                <w:sz w:val="24"/>
              </w:rPr>
            </w:pPr>
            <w:r>
              <w:rPr>
                <w:rFonts w:hint="default"/>
                <w:color w:val="00B050"/>
                <w:sz w:val="24"/>
              </w:rPr>
              <w:t>根据清洁生产的要求，其中一级要求：企业的生产行为，各项要求均达到国际上同行业先进水平；二级要求：各项要求均达到国内同行业先进水平；三级要求：企业的生产行为的各项要求均达到国内同行业平均水平。该项目的清洁生产得分为74.9，在70～80之间，可以达到二级要求，即企业各项目指标基本可以达到国内同行业的先进水平。</w:t>
            </w:r>
          </w:p>
          <w:p>
            <w:pPr>
              <w:snapToGrid w:val="0"/>
              <w:spacing w:line="360" w:lineRule="auto"/>
              <w:ind w:firstLine="480" w:firstLineChars="200"/>
              <w:rPr>
                <w:rFonts w:hint="default"/>
                <w:color w:val="00B050"/>
                <w:sz w:val="24"/>
              </w:rPr>
            </w:pPr>
            <w:bookmarkStart w:id="11" w:name="_Toc28092"/>
            <w:r>
              <w:rPr>
                <w:rFonts w:hint="eastAsia"/>
                <w:color w:val="00B050"/>
                <w:sz w:val="24"/>
                <w:lang w:val="en-US" w:eastAsia="zh-CN"/>
              </w:rPr>
              <w:t>6、</w:t>
            </w:r>
            <w:r>
              <w:rPr>
                <w:rFonts w:hint="default"/>
                <w:color w:val="00B050"/>
                <w:sz w:val="24"/>
              </w:rPr>
              <w:t>清洁生产建议</w:t>
            </w:r>
            <w:bookmarkEnd w:id="11"/>
          </w:p>
          <w:p>
            <w:pPr>
              <w:snapToGrid w:val="0"/>
              <w:spacing w:line="360" w:lineRule="auto"/>
              <w:ind w:firstLine="480" w:firstLineChars="200"/>
              <w:rPr>
                <w:rFonts w:hint="default"/>
                <w:color w:val="00B050"/>
                <w:sz w:val="24"/>
              </w:rPr>
            </w:pPr>
            <w:r>
              <w:rPr>
                <w:rFonts w:hint="default"/>
                <w:color w:val="00B050"/>
                <w:sz w:val="24"/>
              </w:rPr>
              <w:t xml:space="preserve">为使项目生产中始终都能贯彻清洁生产的指导思想，进一步提高清洁生产水平，对本项目的清洁生产方面建议如下： </w:t>
            </w:r>
          </w:p>
          <w:p>
            <w:pPr>
              <w:snapToGrid w:val="0"/>
              <w:spacing w:line="360" w:lineRule="auto"/>
              <w:ind w:firstLine="480" w:firstLineChars="200"/>
              <w:rPr>
                <w:rFonts w:hint="default"/>
                <w:color w:val="00B050"/>
                <w:sz w:val="24"/>
              </w:rPr>
            </w:pPr>
            <w:r>
              <w:rPr>
                <w:rFonts w:hint="default"/>
                <w:color w:val="00B050"/>
                <w:sz w:val="24"/>
              </w:rPr>
              <w:t xml:space="preserve">（1）借鉴国内外同行的成熟新工艺，对现有生产工艺进行进一步的提高和完善，将清洁生产水平再上一个台阶。 </w:t>
            </w:r>
          </w:p>
          <w:p>
            <w:pPr>
              <w:snapToGrid w:val="0"/>
              <w:spacing w:line="360" w:lineRule="auto"/>
              <w:ind w:firstLine="480" w:firstLineChars="200"/>
              <w:rPr>
                <w:rFonts w:hint="default"/>
                <w:color w:val="00B050"/>
                <w:sz w:val="24"/>
              </w:rPr>
            </w:pPr>
            <w:r>
              <w:rPr>
                <w:rFonts w:hint="default"/>
                <w:color w:val="00B050"/>
                <w:sz w:val="24"/>
              </w:rPr>
              <w:t xml:space="preserve">（2）项目建成后尽快实施清洁生产审核，制定消除污染物产生的方案，为以后的扩大再生产提供借鉴，为企业尽早获得 ISO14000 国际环境管理体系认证创造条件。 </w:t>
            </w:r>
          </w:p>
          <w:p>
            <w:pPr>
              <w:snapToGrid w:val="0"/>
              <w:spacing w:line="360" w:lineRule="auto"/>
              <w:ind w:firstLine="480" w:firstLineChars="200"/>
              <w:rPr>
                <w:rFonts w:hint="default"/>
                <w:color w:val="00B050"/>
                <w:sz w:val="24"/>
              </w:rPr>
            </w:pPr>
            <w:r>
              <w:rPr>
                <w:rFonts w:hint="default"/>
                <w:color w:val="00B050"/>
                <w:sz w:val="24"/>
              </w:rPr>
              <w:t xml:space="preserve">（3）强化生产过程中的自控水平，提高效率，减少能耗，尽力做到合理利用和节约能耗。严格控制跑、冒、滴、漏，最大限度地减少物耗，减少社会资源的浪费。 </w:t>
            </w:r>
          </w:p>
          <w:p>
            <w:pPr>
              <w:snapToGrid w:val="0"/>
              <w:spacing w:line="360" w:lineRule="auto"/>
              <w:ind w:firstLine="480" w:firstLineChars="200"/>
              <w:rPr>
                <w:rFonts w:hint="default"/>
                <w:color w:val="00B050"/>
                <w:sz w:val="24"/>
              </w:rPr>
            </w:pPr>
            <w:r>
              <w:rPr>
                <w:rFonts w:hint="default"/>
                <w:color w:val="00B050"/>
                <w:sz w:val="24"/>
              </w:rPr>
              <w:t>加强管理力度，严格物耗、能耗考核制度和奖惩制度。加强职工对节能降耗、提高企业经济效益的教育，使职工形成共识，提高责任感，并将奖惩制度与单位产品消耗结合起来，使节能降耗者有奖，甚至重奖，增加消耗者受罚。加强设备的监控，杜绝事故性无组织排放，严禁超标排放。</w:t>
            </w:r>
          </w:p>
          <w:p>
            <w:pPr>
              <w:snapToGrid w:val="0"/>
              <w:spacing w:line="360" w:lineRule="auto"/>
              <w:ind w:firstLine="482" w:firstLineChars="200"/>
              <w:rPr>
                <w:b/>
                <w:color w:val="auto"/>
                <w:sz w:val="24"/>
              </w:rPr>
            </w:pPr>
            <w:r>
              <w:rPr>
                <w:rFonts w:hint="eastAsia"/>
                <w:b/>
                <w:color w:val="auto"/>
                <w:sz w:val="24"/>
                <w:lang w:eastAsia="zh-CN"/>
              </w:rPr>
              <w:t>八</w:t>
            </w:r>
            <w:r>
              <w:rPr>
                <w:rFonts w:hint="eastAsia"/>
                <w:b/>
                <w:color w:val="auto"/>
                <w:sz w:val="24"/>
              </w:rPr>
              <w:t>、建设项目环保“三同时”工程验收</w:t>
            </w:r>
          </w:p>
          <w:p>
            <w:pPr>
              <w:snapToGrid w:val="0"/>
              <w:spacing w:line="360" w:lineRule="auto"/>
              <w:ind w:firstLine="480" w:firstLineChars="200"/>
              <w:rPr>
                <w:color w:val="auto"/>
                <w:sz w:val="24"/>
              </w:rPr>
            </w:pPr>
            <w:r>
              <w:rPr>
                <w:color w:val="auto"/>
                <w:sz w:val="24"/>
              </w:rPr>
              <w:t>依据建设项目管理办法，环境保护设施必须与主体工程同时设计、同时施工、同时投入使用，在建设项目完成后，应对环境保护设施进行验收。运营期环境保护“三同时”验收一览表见表7-</w:t>
            </w:r>
            <w:r>
              <w:rPr>
                <w:rFonts w:hint="eastAsia"/>
                <w:color w:val="auto"/>
                <w:sz w:val="24"/>
                <w:lang w:val="en-US" w:eastAsia="zh-CN"/>
              </w:rPr>
              <w:t>16</w:t>
            </w:r>
            <w:r>
              <w:rPr>
                <w:color w:val="auto"/>
                <w:sz w:val="24"/>
              </w:rPr>
              <w:t xml:space="preserve">。 </w:t>
            </w:r>
          </w:p>
          <w:p>
            <w:pPr>
              <w:pStyle w:val="103"/>
              <w:ind w:firstLine="422"/>
              <w:rPr>
                <w:rFonts w:eastAsia="宋体"/>
                <w:b/>
                <w:color w:val="auto"/>
                <w:sz w:val="21"/>
                <w:szCs w:val="21"/>
              </w:rPr>
            </w:pPr>
            <w:r>
              <w:rPr>
                <w:rFonts w:eastAsia="宋体"/>
                <w:b/>
                <w:color w:val="auto"/>
                <w:sz w:val="21"/>
                <w:szCs w:val="21"/>
              </w:rPr>
              <w:t>表7-</w:t>
            </w:r>
            <w:r>
              <w:rPr>
                <w:rFonts w:hint="eastAsia" w:eastAsia="宋体"/>
                <w:b/>
                <w:color w:val="auto"/>
                <w:sz w:val="21"/>
                <w:szCs w:val="21"/>
                <w:lang w:val="en-US" w:eastAsia="zh-CN"/>
              </w:rPr>
              <w:t>16</w:t>
            </w:r>
            <w:r>
              <w:rPr>
                <w:rFonts w:eastAsia="宋体"/>
                <w:b/>
                <w:color w:val="auto"/>
                <w:sz w:val="21"/>
                <w:szCs w:val="21"/>
              </w:rPr>
              <w:t xml:space="preserve"> 环境保护“三同时”验收一览表</w:t>
            </w:r>
          </w:p>
          <w:tbl>
            <w:tblPr>
              <w:tblStyle w:val="31"/>
              <w:tblW w:w="8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910"/>
              <w:gridCol w:w="3091"/>
              <w:gridCol w:w="3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b/>
                      <w:color w:val="auto"/>
                      <w:szCs w:val="21"/>
                    </w:rPr>
                  </w:pPr>
                  <w:r>
                    <w:rPr>
                      <w:b/>
                      <w:color w:val="auto"/>
                      <w:szCs w:val="21"/>
                    </w:rPr>
                    <w:t>类别</w:t>
                  </w:r>
                </w:p>
              </w:tc>
              <w:tc>
                <w:tcPr>
                  <w:tcW w:w="1910" w:type="dxa"/>
                  <w:vAlign w:val="center"/>
                </w:tcPr>
                <w:p>
                  <w:pPr>
                    <w:jc w:val="center"/>
                    <w:rPr>
                      <w:b/>
                      <w:color w:val="auto"/>
                      <w:szCs w:val="21"/>
                    </w:rPr>
                  </w:pPr>
                  <w:r>
                    <w:rPr>
                      <w:b/>
                      <w:color w:val="auto"/>
                      <w:szCs w:val="21"/>
                    </w:rPr>
                    <w:t>监测/检查地点</w:t>
                  </w:r>
                </w:p>
              </w:tc>
              <w:tc>
                <w:tcPr>
                  <w:tcW w:w="3091" w:type="dxa"/>
                  <w:vAlign w:val="center"/>
                </w:tcPr>
                <w:p>
                  <w:pPr>
                    <w:jc w:val="center"/>
                    <w:rPr>
                      <w:b/>
                      <w:color w:val="auto"/>
                      <w:szCs w:val="21"/>
                    </w:rPr>
                  </w:pPr>
                  <w:r>
                    <w:rPr>
                      <w:b/>
                      <w:color w:val="auto"/>
                      <w:szCs w:val="21"/>
                    </w:rPr>
                    <w:t>监测/检查内容</w:t>
                  </w:r>
                </w:p>
              </w:tc>
              <w:tc>
                <w:tcPr>
                  <w:tcW w:w="3128" w:type="dxa"/>
                  <w:vAlign w:val="center"/>
                </w:tcPr>
                <w:p>
                  <w:pPr>
                    <w:jc w:val="center"/>
                    <w:rPr>
                      <w:b/>
                      <w:color w:val="auto"/>
                      <w:szCs w:val="21"/>
                    </w:rPr>
                  </w:pPr>
                  <w:r>
                    <w:rPr>
                      <w:b/>
                      <w:color w:val="auto"/>
                      <w:szCs w:val="21"/>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4" w:hRule="atLeast"/>
                <w:jc w:val="center"/>
              </w:trPr>
              <w:tc>
                <w:tcPr>
                  <w:tcW w:w="759" w:type="dxa"/>
                  <w:vAlign w:val="center"/>
                </w:tcPr>
                <w:p>
                  <w:pPr>
                    <w:jc w:val="center"/>
                    <w:rPr>
                      <w:color w:val="auto"/>
                      <w:szCs w:val="21"/>
                    </w:rPr>
                  </w:pPr>
                  <w:r>
                    <w:rPr>
                      <w:color w:val="auto"/>
                      <w:szCs w:val="21"/>
                    </w:rPr>
                    <w:t>废气</w:t>
                  </w:r>
                </w:p>
              </w:tc>
              <w:tc>
                <w:tcPr>
                  <w:tcW w:w="1910" w:type="dxa"/>
                  <w:vAlign w:val="center"/>
                </w:tcPr>
                <w:p>
                  <w:pPr>
                    <w:jc w:val="center"/>
                    <w:rPr>
                      <w:color w:val="auto"/>
                      <w:szCs w:val="21"/>
                    </w:rPr>
                  </w:pPr>
                  <w:r>
                    <w:rPr>
                      <w:rFonts w:hint="eastAsia"/>
                      <w:color w:val="auto"/>
                      <w:szCs w:val="21"/>
                      <w:lang w:eastAsia="zh-CN"/>
                    </w:rPr>
                    <w:t>开松、疏散过程</w:t>
                  </w:r>
                  <w:r>
                    <w:rPr>
                      <w:rFonts w:hint="eastAsia"/>
                      <w:color w:val="auto"/>
                      <w:szCs w:val="21"/>
                    </w:rPr>
                    <w:t>废气</w:t>
                  </w:r>
                </w:p>
              </w:tc>
              <w:tc>
                <w:tcPr>
                  <w:tcW w:w="3091" w:type="dxa"/>
                  <w:vAlign w:val="center"/>
                </w:tcPr>
                <w:p>
                  <w:pPr>
                    <w:jc w:val="both"/>
                    <w:rPr>
                      <w:color w:val="FF0000"/>
                    </w:rPr>
                  </w:pPr>
                  <w:r>
                    <w:rPr>
                      <w:color w:val="FF0000"/>
                    </w:rPr>
                    <w:t>监测项目：</w:t>
                  </w:r>
                  <w:r>
                    <w:rPr>
                      <w:rFonts w:hint="eastAsia"/>
                      <w:color w:val="FF0000"/>
                    </w:rPr>
                    <w:t xml:space="preserve"> </w:t>
                  </w:r>
                  <w:r>
                    <w:rPr>
                      <w:rFonts w:hint="eastAsia"/>
                      <w:color w:val="FF0000"/>
                      <w:lang w:eastAsia="zh-CN"/>
                    </w:rPr>
                    <w:t>颗粒物</w:t>
                  </w:r>
                  <w:r>
                    <w:rPr>
                      <w:rFonts w:hint="eastAsia"/>
                      <w:color w:val="FF0000"/>
                    </w:rPr>
                    <w:t>；</w:t>
                  </w:r>
                </w:p>
                <w:p>
                  <w:pPr>
                    <w:rPr>
                      <w:rFonts w:hint="eastAsia"/>
                      <w:color w:val="FF0000"/>
                    </w:rPr>
                  </w:pPr>
                  <w:r>
                    <w:rPr>
                      <w:color w:val="FF0000"/>
                    </w:rPr>
                    <w:t>处理设施：</w:t>
                  </w:r>
                  <w:r>
                    <w:rPr>
                      <w:rFonts w:hint="eastAsia"/>
                      <w:color w:val="FF0000"/>
                      <w:lang w:eastAsia="zh-CN"/>
                    </w:rPr>
                    <w:t>经</w:t>
                  </w:r>
                  <w:r>
                    <w:rPr>
                      <w:rFonts w:hint="eastAsia"/>
                      <w:color w:val="FF0000"/>
                      <w:lang w:val="en-US" w:eastAsia="zh-CN"/>
                    </w:rPr>
                    <w:t>2台</w:t>
                  </w:r>
                  <w:r>
                    <w:rPr>
                      <w:rFonts w:hint="eastAsia"/>
                      <w:color w:val="FF0000"/>
                      <w:lang w:eastAsia="zh-CN"/>
                    </w:rPr>
                    <w:t>多筒式除尘机处理后由</w:t>
                  </w:r>
                  <w:r>
                    <w:rPr>
                      <w:rFonts w:hint="eastAsia"/>
                      <w:color w:val="FF0000"/>
                      <w:lang w:val="en-US" w:eastAsia="zh-CN"/>
                    </w:rPr>
                    <w:t>2根15m高排气筒高空排放</w:t>
                  </w:r>
                  <w:r>
                    <w:rPr>
                      <w:rFonts w:hint="eastAsia"/>
                      <w:color w:val="FF0000"/>
                    </w:rPr>
                    <w:t>等</w:t>
                  </w:r>
                </w:p>
                <w:p>
                  <w:pPr>
                    <w:pStyle w:val="2"/>
                    <w:ind w:left="0" w:leftChars="0" w:firstLine="0" w:firstLineChars="0"/>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kern w:val="2"/>
                      <w:sz w:val="21"/>
                      <w:szCs w:val="24"/>
                      <w:lang w:val="en-US" w:eastAsia="zh-CN" w:bidi="ar-SA"/>
                    </w:rPr>
                    <w:t>监测位置：排气筒、厂界</w:t>
                  </w:r>
                </w:p>
                <w:p>
                  <w:pPr>
                    <w:pStyle w:val="2"/>
                    <w:ind w:left="0" w:leftChars="0" w:firstLine="0" w:firstLineChars="0"/>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cs="Times New Roman"/>
                      <w:color w:val="FF0000"/>
                      <w:kern w:val="2"/>
                      <w:sz w:val="21"/>
                      <w:szCs w:val="24"/>
                      <w:lang w:val="en-US" w:eastAsia="zh-CN" w:bidi="ar-SA"/>
                    </w:rPr>
                    <w:t>监测频次：每半年一次</w:t>
                  </w:r>
                </w:p>
              </w:tc>
              <w:tc>
                <w:tcPr>
                  <w:tcW w:w="3128" w:type="dxa"/>
                  <w:vAlign w:val="center"/>
                </w:tcPr>
                <w:p>
                  <w:pPr>
                    <w:pStyle w:val="105"/>
                    <w:ind w:firstLine="420"/>
                    <w:jc w:val="both"/>
                    <w:rPr>
                      <w:rFonts w:hint="eastAsia" w:eastAsia="宋体"/>
                      <w:color w:val="FF0000"/>
                      <w:szCs w:val="21"/>
                      <w:lang w:eastAsia="zh-CN"/>
                    </w:rPr>
                  </w:pPr>
                  <w:r>
                    <w:rPr>
                      <w:rFonts w:hint="eastAsia"/>
                      <w:color w:val="FF0000"/>
                      <w:szCs w:val="21"/>
                      <w:lang w:eastAsia="zh-CN"/>
                    </w:rPr>
                    <w:t>有组织废气</w:t>
                  </w:r>
                  <w:r>
                    <w:rPr>
                      <w:rFonts w:hint="eastAsia"/>
                      <w:color w:val="FF0000"/>
                      <w:szCs w:val="21"/>
                    </w:rPr>
                    <w:t>达到</w:t>
                  </w:r>
                  <w:r>
                    <w:rPr>
                      <w:color w:val="FF0000"/>
                    </w:rPr>
                    <w:t>广东省地方标准《大气污染物排放限值》（DB44/27-2001）第二时段</w:t>
                  </w:r>
                  <w:r>
                    <w:rPr>
                      <w:rFonts w:hint="eastAsia"/>
                      <w:color w:val="FF0000"/>
                      <w:lang w:eastAsia="zh-CN"/>
                    </w:rPr>
                    <w:t>二级标准</w:t>
                  </w:r>
                  <w:r>
                    <w:rPr>
                      <w:rFonts w:hint="eastAsia"/>
                      <w:color w:val="FF0000"/>
                      <w:szCs w:val="21"/>
                    </w:rPr>
                    <w:t>的要求</w:t>
                  </w:r>
                  <w:r>
                    <w:rPr>
                      <w:rFonts w:hint="eastAsia"/>
                      <w:color w:val="FF0000"/>
                      <w:szCs w:val="21"/>
                      <w:lang w:eastAsia="zh-CN"/>
                    </w:rPr>
                    <w:t>，无组织废气达到该标准第二时段</w:t>
                  </w:r>
                  <w:r>
                    <w:rPr>
                      <w:color w:val="FF0000"/>
                    </w:rPr>
                    <w:t>无组织排放监控浓度限值</w:t>
                  </w:r>
                  <w:r>
                    <w:rPr>
                      <w:rFonts w:hint="eastAsia"/>
                      <w:color w:val="FF0000"/>
                      <w:lang w:eastAsia="zh-CN"/>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color w:val="auto"/>
                      <w:szCs w:val="21"/>
                    </w:rPr>
                  </w:pPr>
                  <w:r>
                    <w:rPr>
                      <w:color w:val="auto"/>
                      <w:szCs w:val="21"/>
                    </w:rPr>
                    <w:t>废水</w:t>
                  </w:r>
                </w:p>
              </w:tc>
              <w:tc>
                <w:tcPr>
                  <w:tcW w:w="1910" w:type="dxa"/>
                  <w:vAlign w:val="center"/>
                </w:tcPr>
                <w:p>
                  <w:pPr>
                    <w:jc w:val="center"/>
                    <w:rPr>
                      <w:color w:val="auto"/>
                      <w:szCs w:val="21"/>
                    </w:rPr>
                  </w:pPr>
                  <w:r>
                    <w:rPr>
                      <w:rFonts w:hint="eastAsia"/>
                      <w:color w:val="auto"/>
                      <w:szCs w:val="21"/>
                    </w:rPr>
                    <w:t>生活</w:t>
                  </w:r>
                  <w:r>
                    <w:rPr>
                      <w:color w:val="auto"/>
                      <w:szCs w:val="21"/>
                    </w:rPr>
                    <w:t>污水收集及处理系统</w:t>
                  </w:r>
                </w:p>
              </w:tc>
              <w:tc>
                <w:tcPr>
                  <w:tcW w:w="3091" w:type="dxa"/>
                  <w:vAlign w:val="center"/>
                </w:tcPr>
                <w:p>
                  <w:pPr>
                    <w:jc w:val="center"/>
                    <w:rPr>
                      <w:color w:val="FF0000"/>
                    </w:rPr>
                  </w:pPr>
                  <w:r>
                    <w:rPr>
                      <w:color w:val="FF0000"/>
                    </w:rPr>
                    <w:t>监测项目：COD</w:t>
                  </w:r>
                  <w:r>
                    <w:rPr>
                      <w:color w:val="FF0000"/>
                      <w:vertAlign w:val="subscript"/>
                    </w:rPr>
                    <w:t>Cr</w:t>
                  </w:r>
                  <w:r>
                    <w:rPr>
                      <w:color w:val="FF0000"/>
                    </w:rPr>
                    <w:t>、</w:t>
                  </w:r>
                  <w:r>
                    <w:rPr>
                      <w:rFonts w:hint="eastAsia"/>
                      <w:color w:val="FF0000"/>
                    </w:rPr>
                    <w:t>B</w:t>
                  </w:r>
                  <w:r>
                    <w:rPr>
                      <w:color w:val="FF0000"/>
                    </w:rPr>
                    <w:t>OD</w:t>
                  </w:r>
                  <w:r>
                    <w:rPr>
                      <w:color w:val="FF0000"/>
                      <w:vertAlign w:val="subscript"/>
                    </w:rPr>
                    <w:t>5</w:t>
                  </w:r>
                  <w:r>
                    <w:rPr>
                      <w:rFonts w:hint="eastAsia"/>
                      <w:color w:val="FF0000"/>
                    </w:rPr>
                    <w:t>、</w:t>
                  </w:r>
                  <w:r>
                    <w:rPr>
                      <w:color w:val="FF0000"/>
                    </w:rPr>
                    <w:t>SS、NH</w:t>
                  </w:r>
                  <w:r>
                    <w:rPr>
                      <w:color w:val="FF0000"/>
                      <w:vertAlign w:val="subscript"/>
                    </w:rPr>
                    <w:t>3</w:t>
                  </w:r>
                  <w:r>
                    <w:rPr>
                      <w:color w:val="FF0000"/>
                    </w:rPr>
                    <w:t>-N，</w:t>
                  </w:r>
                </w:p>
                <w:p>
                  <w:pPr>
                    <w:jc w:val="center"/>
                    <w:rPr>
                      <w:rFonts w:hint="eastAsia"/>
                      <w:color w:val="FF0000"/>
                    </w:rPr>
                  </w:pPr>
                  <w:r>
                    <w:rPr>
                      <w:color w:val="FF0000"/>
                    </w:rPr>
                    <w:t>处理设施：</w:t>
                  </w:r>
                  <w:r>
                    <w:rPr>
                      <w:rFonts w:hint="eastAsia"/>
                      <w:color w:val="FF0000"/>
                      <w:lang w:eastAsia="zh-CN"/>
                    </w:rPr>
                    <w:t>生化池</w:t>
                  </w:r>
                  <w:r>
                    <w:rPr>
                      <w:rFonts w:hint="eastAsia"/>
                      <w:color w:val="FF0000"/>
                    </w:rPr>
                    <w:t>、</w:t>
                  </w:r>
                  <w:r>
                    <w:rPr>
                      <w:rFonts w:hint="eastAsia"/>
                      <w:color w:val="FF0000"/>
                      <w:lang w:eastAsia="zh-CN"/>
                    </w:rPr>
                    <w:t>污水</w:t>
                  </w:r>
                  <w:r>
                    <w:rPr>
                      <w:rFonts w:hint="eastAsia"/>
                      <w:color w:val="FF0000"/>
                    </w:rPr>
                    <w:t>暂存池</w:t>
                  </w:r>
                </w:p>
                <w:p>
                  <w:pPr>
                    <w:pStyle w:val="2"/>
                    <w:ind w:left="0" w:leftChars="0" w:firstLine="0" w:firstLineChars="0"/>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kern w:val="2"/>
                      <w:sz w:val="21"/>
                      <w:szCs w:val="24"/>
                      <w:lang w:val="en-US" w:eastAsia="zh-CN" w:bidi="ar-SA"/>
                    </w:rPr>
                    <w:t>监测位置：</w:t>
                  </w:r>
                  <w:r>
                    <w:rPr>
                      <w:rFonts w:hint="eastAsia" w:ascii="Times New Roman" w:hAnsi="Times New Roman" w:cs="Times New Roman"/>
                      <w:color w:val="FF0000"/>
                      <w:kern w:val="2"/>
                      <w:sz w:val="21"/>
                      <w:szCs w:val="24"/>
                      <w:lang w:val="en-US" w:eastAsia="zh-CN" w:bidi="ar-SA"/>
                    </w:rPr>
                    <w:t>生活污水出水口</w:t>
                  </w:r>
                </w:p>
                <w:p>
                  <w:pPr>
                    <w:pStyle w:val="2"/>
                    <w:ind w:left="0" w:leftChars="0" w:firstLine="0" w:firstLineChars="0"/>
                    <w:rPr>
                      <w:color w:val="FF0000"/>
                    </w:rPr>
                  </w:pPr>
                  <w:r>
                    <w:rPr>
                      <w:rFonts w:hint="eastAsia" w:ascii="Times New Roman" w:hAnsi="Times New Roman" w:cs="Times New Roman"/>
                      <w:color w:val="FF0000"/>
                      <w:kern w:val="2"/>
                      <w:sz w:val="21"/>
                      <w:szCs w:val="24"/>
                      <w:lang w:val="en-US" w:eastAsia="zh-CN" w:bidi="ar-SA"/>
                    </w:rPr>
                    <w:t>监测频次：每半年一次</w:t>
                  </w:r>
                </w:p>
              </w:tc>
              <w:tc>
                <w:tcPr>
                  <w:tcW w:w="3128" w:type="dxa"/>
                  <w:vAlign w:val="center"/>
                </w:tcPr>
                <w:p>
                  <w:pPr>
                    <w:jc w:val="center"/>
                    <w:rPr>
                      <w:color w:val="FF0000"/>
                      <w:szCs w:val="21"/>
                    </w:rPr>
                  </w:pPr>
                  <w:r>
                    <w:rPr>
                      <w:color w:val="FF0000"/>
                      <w:szCs w:val="21"/>
                    </w:rPr>
                    <w:t>达到《城市污水再生利用 城市杂用水水质》（GB/T18920-2002）中城市绿化水质标准</w:t>
                  </w:r>
                  <w:r>
                    <w:rPr>
                      <w:rFonts w:hint="eastAsia"/>
                      <w:bCs/>
                      <w:color w:val="FF0000"/>
                      <w:szCs w:val="21"/>
                    </w:rPr>
                    <w:t>后用于厂区绿化灌溉</w:t>
                  </w:r>
                  <w:r>
                    <w:rPr>
                      <w:color w:val="FF0000"/>
                      <w:szCs w:val="21"/>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color w:val="auto"/>
                      <w:szCs w:val="21"/>
                    </w:rPr>
                  </w:pPr>
                  <w:r>
                    <w:rPr>
                      <w:color w:val="auto"/>
                      <w:szCs w:val="21"/>
                    </w:rPr>
                    <w:t>噪声</w:t>
                  </w:r>
                </w:p>
              </w:tc>
              <w:tc>
                <w:tcPr>
                  <w:tcW w:w="1910" w:type="dxa"/>
                  <w:vAlign w:val="center"/>
                </w:tcPr>
                <w:p>
                  <w:pPr>
                    <w:jc w:val="center"/>
                    <w:rPr>
                      <w:color w:val="auto"/>
                      <w:szCs w:val="21"/>
                    </w:rPr>
                  </w:pPr>
                  <w:r>
                    <w:rPr>
                      <w:color w:val="auto"/>
                      <w:szCs w:val="21"/>
                    </w:rPr>
                    <w:t>采用低噪声设备、隔声</w:t>
                  </w:r>
                </w:p>
              </w:tc>
              <w:tc>
                <w:tcPr>
                  <w:tcW w:w="3091" w:type="dxa"/>
                  <w:vAlign w:val="center"/>
                </w:tcPr>
                <w:p>
                  <w:pPr>
                    <w:rPr>
                      <w:color w:val="FF0000"/>
                    </w:rPr>
                  </w:pPr>
                  <w:r>
                    <w:rPr>
                      <w:rFonts w:hint="eastAsia"/>
                      <w:color w:val="FF0000"/>
                      <w:lang w:eastAsia="zh-CN"/>
                    </w:rPr>
                    <w:t>监测项目：</w:t>
                  </w:r>
                  <w:r>
                    <w:rPr>
                      <w:color w:val="FF0000"/>
                    </w:rPr>
                    <w:t>等效连续A声级Leq</w:t>
                  </w:r>
                </w:p>
                <w:p>
                  <w:pPr>
                    <w:pStyle w:val="2"/>
                    <w:ind w:left="0" w:leftChars="0" w:firstLine="0" w:firstLineChars="0"/>
                    <w:rPr>
                      <w:rFonts w:hint="eastAsia" w:ascii="Times New Roman" w:hAnsi="Times New Roman" w:eastAsia="宋体" w:cs="Times New Roman"/>
                      <w:color w:val="FF0000"/>
                      <w:kern w:val="2"/>
                      <w:sz w:val="21"/>
                      <w:szCs w:val="24"/>
                      <w:lang w:val="en-US" w:eastAsia="zh-CN" w:bidi="ar-SA"/>
                    </w:rPr>
                  </w:pPr>
                  <w:r>
                    <w:rPr>
                      <w:rFonts w:hint="eastAsia" w:ascii="Times New Roman" w:hAnsi="Times New Roman" w:eastAsia="宋体" w:cs="Times New Roman"/>
                      <w:color w:val="FF0000"/>
                      <w:kern w:val="2"/>
                      <w:sz w:val="21"/>
                      <w:szCs w:val="24"/>
                      <w:lang w:val="en-US" w:eastAsia="zh-CN" w:bidi="ar-SA"/>
                    </w:rPr>
                    <w:t>监测位置：厂界</w:t>
                  </w:r>
                </w:p>
                <w:p>
                  <w:pPr>
                    <w:pStyle w:val="2"/>
                    <w:ind w:left="0" w:leftChars="0" w:firstLine="0" w:firstLineChars="0"/>
                    <w:rPr>
                      <w:color w:val="FF0000"/>
                    </w:rPr>
                  </w:pPr>
                  <w:r>
                    <w:rPr>
                      <w:rFonts w:hint="eastAsia" w:ascii="Times New Roman" w:hAnsi="Times New Roman" w:cs="Times New Roman"/>
                      <w:color w:val="FF0000"/>
                      <w:kern w:val="2"/>
                      <w:sz w:val="21"/>
                      <w:szCs w:val="24"/>
                      <w:lang w:val="en-US" w:eastAsia="zh-CN" w:bidi="ar-SA"/>
                    </w:rPr>
                    <w:t>监测频次：每半年一次</w:t>
                  </w:r>
                </w:p>
              </w:tc>
              <w:tc>
                <w:tcPr>
                  <w:tcW w:w="3128" w:type="dxa"/>
                  <w:vAlign w:val="center"/>
                </w:tcPr>
                <w:p>
                  <w:pPr>
                    <w:rPr>
                      <w:color w:val="FF0000"/>
                      <w:szCs w:val="21"/>
                    </w:rPr>
                  </w:pPr>
                  <w:r>
                    <w:rPr>
                      <w:color w:val="FF0000"/>
                      <w:szCs w:val="21"/>
                    </w:rPr>
                    <w:t>厂界噪声排放满足《工业企业厂界环境噪声排放标准》（GB12348-2008）中的2类标准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color w:val="auto"/>
                      <w:szCs w:val="21"/>
                    </w:rPr>
                  </w:pPr>
                  <w:r>
                    <w:rPr>
                      <w:color w:val="auto"/>
                      <w:szCs w:val="21"/>
                    </w:rPr>
                    <w:t>固废</w:t>
                  </w:r>
                </w:p>
              </w:tc>
              <w:tc>
                <w:tcPr>
                  <w:tcW w:w="1910" w:type="dxa"/>
                  <w:vAlign w:val="center"/>
                </w:tcPr>
                <w:p>
                  <w:pPr>
                    <w:jc w:val="center"/>
                    <w:rPr>
                      <w:color w:val="auto"/>
                      <w:szCs w:val="21"/>
                    </w:rPr>
                  </w:pPr>
                  <w:r>
                    <w:rPr>
                      <w:color w:val="auto"/>
                      <w:szCs w:val="21"/>
                    </w:rPr>
                    <w:t>一般工业固体废物</w:t>
                  </w:r>
                </w:p>
              </w:tc>
              <w:tc>
                <w:tcPr>
                  <w:tcW w:w="3091" w:type="dxa"/>
                  <w:vAlign w:val="center"/>
                </w:tcPr>
                <w:p>
                  <w:pPr>
                    <w:jc w:val="center"/>
                    <w:rPr>
                      <w:color w:val="auto"/>
                      <w:szCs w:val="21"/>
                    </w:rPr>
                  </w:pPr>
                  <w:r>
                    <w:rPr>
                      <w:color w:val="auto"/>
                      <w:szCs w:val="21"/>
                    </w:rPr>
                    <w:t>符合相关废物贮存的要求</w:t>
                  </w:r>
                </w:p>
              </w:tc>
              <w:tc>
                <w:tcPr>
                  <w:tcW w:w="3128" w:type="dxa"/>
                  <w:vAlign w:val="center"/>
                </w:tcPr>
                <w:p>
                  <w:pPr>
                    <w:jc w:val="center"/>
                    <w:rPr>
                      <w:color w:val="auto"/>
                      <w:szCs w:val="21"/>
                    </w:rPr>
                  </w:pPr>
                  <w:r>
                    <w:rPr>
                      <w:color w:val="auto"/>
                      <w:szCs w:val="21"/>
                    </w:rPr>
                    <w:t>符合相关废物贮存的要求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Align w:val="center"/>
                </w:tcPr>
                <w:p>
                  <w:pPr>
                    <w:jc w:val="center"/>
                    <w:rPr>
                      <w:color w:val="auto"/>
                      <w:szCs w:val="21"/>
                    </w:rPr>
                  </w:pPr>
                  <w:r>
                    <w:rPr>
                      <w:rFonts w:hint="eastAsia"/>
                      <w:color w:val="auto"/>
                      <w:szCs w:val="21"/>
                    </w:rPr>
                    <w:t>环境风险</w:t>
                  </w:r>
                </w:p>
              </w:tc>
              <w:tc>
                <w:tcPr>
                  <w:tcW w:w="1910" w:type="dxa"/>
                  <w:vAlign w:val="center"/>
                </w:tcPr>
                <w:p>
                  <w:pPr>
                    <w:jc w:val="center"/>
                    <w:rPr>
                      <w:color w:val="auto"/>
                      <w:szCs w:val="21"/>
                    </w:rPr>
                  </w:pPr>
                  <w:r>
                    <w:rPr>
                      <w:rFonts w:hint="eastAsia"/>
                      <w:color w:val="auto"/>
                      <w:szCs w:val="21"/>
                    </w:rPr>
                    <w:t>环境风险</w:t>
                  </w:r>
                </w:p>
              </w:tc>
              <w:tc>
                <w:tcPr>
                  <w:tcW w:w="3091" w:type="dxa"/>
                  <w:vAlign w:val="center"/>
                </w:tcPr>
                <w:p>
                  <w:pPr>
                    <w:jc w:val="center"/>
                    <w:rPr>
                      <w:rFonts w:hint="eastAsia" w:eastAsia="宋体"/>
                      <w:color w:val="00B050"/>
                      <w:szCs w:val="21"/>
                      <w:lang w:eastAsia="zh-CN"/>
                    </w:rPr>
                  </w:pPr>
                  <w:r>
                    <w:rPr>
                      <w:rFonts w:hint="eastAsia"/>
                      <w:color w:val="00B050"/>
                      <w:szCs w:val="21"/>
                    </w:rPr>
                    <w:t>编制并备案应急预案</w:t>
                  </w:r>
                  <w:r>
                    <w:rPr>
                      <w:rFonts w:hint="eastAsia"/>
                      <w:color w:val="00B050"/>
                      <w:szCs w:val="21"/>
                      <w:lang w:eastAsia="zh-CN"/>
                    </w:rPr>
                    <w:t>，设一个</w:t>
                  </w:r>
                  <w:r>
                    <w:rPr>
                      <w:rFonts w:hint="eastAsia"/>
                      <w:color w:val="00B050"/>
                      <w:szCs w:val="21"/>
                      <w:lang w:val="en-US" w:eastAsia="zh-CN"/>
                    </w:rPr>
                    <w:t>40</w:t>
                  </w:r>
                  <w:r>
                    <w:rPr>
                      <w:rFonts w:hint="eastAsia"/>
                      <w:color w:val="00B050"/>
                      <w:szCs w:val="21"/>
                      <w:lang w:eastAsia="zh-CN"/>
                    </w:rPr>
                    <w:t>m</w:t>
                  </w:r>
                  <w:r>
                    <w:rPr>
                      <w:rFonts w:hint="eastAsia"/>
                      <w:color w:val="00B050"/>
                      <w:szCs w:val="21"/>
                      <w:vertAlign w:val="superscript"/>
                      <w:lang w:eastAsia="zh-CN"/>
                    </w:rPr>
                    <w:t>3</w:t>
                  </w:r>
                  <w:r>
                    <w:rPr>
                      <w:rFonts w:hint="eastAsia"/>
                      <w:color w:val="00B050"/>
                      <w:szCs w:val="21"/>
                      <w:lang w:eastAsia="zh-CN"/>
                    </w:rPr>
                    <w:t>应急事故池</w:t>
                  </w:r>
                </w:p>
              </w:tc>
              <w:tc>
                <w:tcPr>
                  <w:tcW w:w="3128" w:type="dxa"/>
                  <w:vAlign w:val="center"/>
                </w:tcPr>
                <w:p>
                  <w:pPr>
                    <w:jc w:val="center"/>
                    <w:rPr>
                      <w:color w:val="00B050"/>
                      <w:szCs w:val="21"/>
                    </w:rPr>
                  </w:pPr>
                  <w:r>
                    <w:rPr>
                      <w:rFonts w:hint="eastAsia"/>
                      <w:color w:val="00B050"/>
                      <w:szCs w:val="21"/>
                    </w:rPr>
                    <w:t>备案应急预案</w:t>
                  </w:r>
                  <w:r>
                    <w:rPr>
                      <w:rFonts w:hint="eastAsia"/>
                      <w:color w:val="00B050"/>
                      <w:szCs w:val="21"/>
                      <w:lang w:eastAsia="zh-CN"/>
                    </w:rPr>
                    <w:t>，设一个</w:t>
                  </w:r>
                  <w:r>
                    <w:rPr>
                      <w:rFonts w:hint="eastAsia"/>
                      <w:color w:val="00B050"/>
                      <w:szCs w:val="21"/>
                      <w:lang w:val="en-US" w:eastAsia="zh-CN"/>
                    </w:rPr>
                    <w:t>40</w:t>
                  </w:r>
                  <w:r>
                    <w:rPr>
                      <w:rFonts w:hint="eastAsia"/>
                      <w:color w:val="00B050"/>
                      <w:szCs w:val="21"/>
                      <w:lang w:eastAsia="zh-CN"/>
                    </w:rPr>
                    <w:t>m</w:t>
                  </w:r>
                  <w:r>
                    <w:rPr>
                      <w:rFonts w:hint="eastAsia"/>
                      <w:color w:val="00B050"/>
                      <w:szCs w:val="21"/>
                      <w:vertAlign w:val="superscript"/>
                      <w:lang w:eastAsia="zh-CN"/>
                    </w:rPr>
                    <w:t>3</w:t>
                  </w:r>
                  <w:r>
                    <w:rPr>
                      <w:rFonts w:hint="eastAsia"/>
                      <w:color w:val="00B050"/>
                      <w:szCs w:val="21"/>
                      <w:lang w:eastAsia="zh-CN"/>
                    </w:rPr>
                    <w:t>应急事故池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restart"/>
                  <w:vAlign w:val="center"/>
                </w:tcPr>
                <w:p>
                  <w:pPr>
                    <w:jc w:val="center"/>
                    <w:rPr>
                      <w:color w:val="auto"/>
                      <w:szCs w:val="21"/>
                    </w:rPr>
                  </w:pPr>
                  <w:r>
                    <w:rPr>
                      <w:color w:val="auto"/>
                      <w:szCs w:val="21"/>
                    </w:rPr>
                    <w:t>环境管理</w:t>
                  </w:r>
                </w:p>
              </w:tc>
              <w:tc>
                <w:tcPr>
                  <w:tcW w:w="1910" w:type="dxa"/>
                  <w:vAlign w:val="center"/>
                </w:tcPr>
                <w:p>
                  <w:pPr>
                    <w:jc w:val="center"/>
                    <w:rPr>
                      <w:color w:val="auto"/>
                      <w:szCs w:val="21"/>
                    </w:rPr>
                  </w:pPr>
                  <w:r>
                    <w:rPr>
                      <w:color w:val="auto"/>
                      <w:szCs w:val="21"/>
                    </w:rPr>
                    <w:t>日常管理</w:t>
                  </w:r>
                </w:p>
              </w:tc>
              <w:tc>
                <w:tcPr>
                  <w:tcW w:w="3091" w:type="dxa"/>
                  <w:vAlign w:val="center"/>
                </w:tcPr>
                <w:p>
                  <w:pPr>
                    <w:jc w:val="center"/>
                    <w:rPr>
                      <w:color w:val="auto"/>
                      <w:szCs w:val="21"/>
                    </w:rPr>
                  </w:pPr>
                  <w:r>
                    <w:rPr>
                      <w:rFonts w:hint="eastAsia"/>
                      <w:color w:val="auto"/>
                      <w:szCs w:val="21"/>
                    </w:rPr>
                    <w:t>/</w:t>
                  </w:r>
                </w:p>
              </w:tc>
              <w:tc>
                <w:tcPr>
                  <w:tcW w:w="3128" w:type="dxa"/>
                  <w:vAlign w:val="center"/>
                </w:tcPr>
                <w:p>
                  <w:pPr>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continue"/>
                  <w:vAlign w:val="center"/>
                </w:tcPr>
                <w:p>
                  <w:pPr>
                    <w:jc w:val="center"/>
                    <w:rPr>
                      <w:color w:val="auto"/>
                      <w:szCs w:val="21"/>
                    </w:rPr>
                  </w:pPr>
                </w:p>
              </w:tc>
              <w:tc>
                <w:tcPr>
                  <w:tcW w:w="1910" w:type="dxa"/>
                  <w:vAlign w:val="center"/>
                </w:tcPr>
                <w:p>
                  <w:pPr>
                    <w:jc w:val="center"/>
                    <w:rPr>
                      <w:color w:val="auto"/>
                      <w:szCs w:val="21"/>
                    </w:rPr>
                  </w:pPr>
                  <w:r>
                    <w:rPr>
                      <w:color w:val="auto"/>
                      <w:szCs w:val="21"/>
                    </w:rPr>
                    <w:t>各类产品台账系统</w:t>
                  </w:r>
                </w:p>
              </w:tc>
              <w:tc>
                <w:tcPr>
                  <w:tcW w:w="3091" w:type="dxa"/>
                  <w:vAlign w:val="center"/>
                </w:tcPr>
                <w:p>
                  <w:pPr>
                    <w:jc w:val="center"/>
                    <w:rPr>
                      <w:color w:val="auto"/>
                      <w:szCs w:val="21"/>
                    </w:rPr>
                  </w:pPr>
                  <w:r>
                    <w:rPr>
                      <w:rFonts w:hint="eastAsia"/>
                      <w:color w:val="auto"/>
                      <w:szCs w:val="21"/>
                    </w:rPr>
                    <w:t>/</w:t>
                  </w:r>
                </w:p>
              </w:tc>
              <w:tc>
                <w:tcPr>
                  <w:tcW w:w="3128" w:type="dxa"/>
                  <w:vAlign w:val="center"/>
                </w:tcPr>
                <w:p>
                  <w:pPr>
                    <w:ind w:firstLine="420"/>
                    <w:rPr>
                      <w:color w:val="auto"/>
                      <w:szCs w:val="21"/>
                    </w:rPr>
                  </w:pPr>
                  <w:r>
                    <w:rPr>
                      <w:color w:val="auto"/>
                      <w:szCs w:val="21"/>
                    </w:rPr>
                    <w:t>清晰的台账系统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59" w:type="dxa"/>
                  <w:vMerge w:val="continue"/>
                  <w:vAlign w:val="center"/>
                </w:tcPr>
                <w:p>
                  <w:pPr>
                    <w:jc w:val="center"/>
                    <w:rPr>
                      <w:color w:val="auto"/>
                      <w:szCs w:val="21"/>
                    </w:rPr>
                  </w:pPr>
                </w:p>
              </w:tc>
              <w:tc>
                <w:tcPr>
                  <w:tcW w:w="1910" w:type="dxa"/>
                  <w:vAlign w:val="center"/>
                </w:tcPr>
                <w:p>
                  <w:pPr>
                    <w:jc w:val="center"/>
                    <w:rPr>
                      <w:rFonts w:hint="eastAsia" w:eastAsia="宋体"/>
                      <w:color w:val="FF0000"/>
                      <w:szCs w:val="21"/>
                      <w:lang w:eastAsia="zh-CN"/>
                    </w:rPr>
                  </w:pPr>
                  <w:r>
                    <w:rPr>
                      <w:rFonts w:hint="eastAsia"/>
                      <w:color w:val="FF0000"/>
                      <w:szCs w:val="21"/>
                      <w:lang w:eastAsia="zh-CN"/>
                    </w:rPr>
                    <w:t>环境管理</w:t>
                  </w:r>
                </w:p>
              </w:tc>
              <w:tc>
                <w:tcPr>
                  <w:tcW w:w="3091" w:type="dxa"/>
                  <w:vAlign w:val="center"/>
                </w:tcPr>
                <w:p>
                  <w:pPr>
                    <w:jc w:val="center"/>
                    <w:rPr>
                      <w:rFonts w:hint="eastAsia" w:eastAsia="宋体"/>
                      <w:color w:val="FF0000"/>
                      <w:szCs w:val="21"/>
                      <w:lang w:eastAsia="zh-CN"/>
                    </w:rPr>
                  </w:pPr>
                  <w:r>
                    <w:rPr>
                      <w:rFonts w:hint="eastAsia"/>
                      <w:color w:val="FF0000"/>
                      <w:szCs w:val="21"/>
                      <w:lang w:eastAsia="zh-CN"/>
                    </w:rPr>
                    <w:t>执行环境管理制度等相关制度</w:t>
                  </w:r>
                </w:p>
              </w:tc>
              <w:tc>
                <w:tcPr>
                  <w:tcW w:w="3128" w:type="dxa"/>
                  <w:vAlign w:val="center"/>
                </w:tcPr>
                <w:p>
                  <w:pPr>
                    <w:jc w:val="center"/>
                    <w:rPr>
                      <w:rFonts w:hint="eastAsia" w:eastAsia="宋体"/>
                      <w:color w:val="auto"/>
                      <w:szCs w:val="21"/>
                      <w:lang w:val="en-US" w:eastAsia="zh-CN"/>
                    </w:rPr>
                  </w:pPr>
                  <w:r>
                    <w:rPr>
                      <w:rFonts w:hint="eastAsia"/>
                      <w:color w:val="auto"/>
                      <w:szCs w:val="21"/>
                      <w:lang w:val="en-US" w:eastAsia="zh-CN"/>
                    </w:rPr>
                    <w:t>/</w:t>
                  </w:r>
                </w:p>
              </w:tc>
            </w:tr>
          </w:tbl>
          <w:p>
            <w:pPr>
              <w:adjustRightInd w:val="0"/>
              <w:snapToGrid w:val="0"/>
              <w:spacing w:line="360" w:lineRule="auto"/>
              <w:ind w:firstLine="482" w:firstLineChars="200"/>
              <w:rPr>
                <w:b/>
                <w:color w:val="auto"/>
                <w:sz w:val="24"/>
              </w:rPr>
            </w:pPr>
            <w:r>
              <w:rPr>
                <w:rFonts w:hint="eastAsia"/>
                <w:b/>
                <w:color w:val="auto"/>
                <w:sz w:val="24"/>
                <w:lang w:eastAsia="zh-CN"/>
              </w:rPr>
              <w:t>九</w:t>
            </w:r>
            <w:r>
              <w:rPr>
                <w:rFonts w:hint="eastAsia"/>
                <w:b/>
                <w:color w:val="auto"/>
                <w:sz w:val="24"/>
              </w:rPr>
              <w:t>、环境保护设施投资</w:t>
            </w:r>
          </w:p>
          <w:p>
            <w:pPr>
              <w:snapToGrid w:val="0"/>
              <w:spacing w:line="360" w:lineRule="auto"/>
              <w:ind w:firstLine="480" w:firstLineChars="200"/>
              <w:rPr>
                <w:color w:val="auto"/>
                <w:sz w:val="24"/>
              </w:rPr>
            </w:pPr>
            <w:r>
              <w:rPr>
                <w:color w:val="auto"/>
                <w:sz w:val="24"/>
              </w:rPr>
              <w:t>依据国家有关环境保护的法律、法规、制度的规定，对项目产生的废水、废气、噪声</w:t>
            </w:r>
            <w:r>
              <w:rPr>
                <w:rFonts w:hint="eastAsia"/>
                <w:color w:val="auto"/>
                <w:sz w:val="24"/>
              </w:rPr>
              <w:t>、固废</w:t>
            </w:r>
            <w:r>
              <w:rPr>
                <w:color w:val="auto"/>
                <w:sz w:val="24"/>
              </w:rPr>
              <w:t>等各种污染，必须采用有效治理措施，保证污染物排放达到相关的污染物排放标准和污染物总量控制要求。</w:t>
            </w:r>
          </w:p>
          <w:p>
            <w:pPr>
              <w:snapToGrid w:val="0"/>
              <w:spacing w:line="360" w:lineRule="auto"/>
              <w:ind w:firstLine="480" w:firstLineChars="200"/>
              <w:rPr>
                <w:color w:val="auto"/>
                <w:sz w:val="24"/>
              </w:rPr>
            </w:pPr>
            <w:r>
              <w:rPr>
                <w:color w:val="auto"/>
                <w:sz w:val="24"/>
              </w:rPr>
              <w:t>本工程投资总计为</w:t>
            </w:r>
            <w:r>
              <w:rPr>
                <w:rFonts w:hint="eastAsia"/>
                <w:color w:val="auto"/>
                <w:sz w:val="24"/>
                <w:lang w:val="en-US" w:eastAsia="zh-CN"/>
              </w:rPr>
              <w:t>2</w:t>
            </w:r>
            <w:r>
              <w:rPr>
                <w:color w:val="auto"/>
                <w:sz w:val="24"/>
              </w:rPr>
              <w:t>0</w:t>
            </w:r>
            <w:r>
              <w:rPr>
                <w:rFonts w:hint="eastAsia"/>
                <w:color w:val="auto"/>
                <w:sz w:val="24"/>
              </w:rPr>
              <w:t>0</w:t>
            </w:r>
            <w:r>
              <w:rPr>
                <w:color w:val="auto"/>
                <w:sz w:val="24"/>
              </w:rPr>
              <w:t>万元。凡属污染治理和环境保护所需的装置、设备、工程设施均属环保设施，其投资全部计入环保投资共计</w:t>
            </w:r>
            <w:r>
              <w:rPr>
                <w:rFonts w:hint="eastAsia"/>
                <w:color w:val="auto"/>
                <w:sz w:val="24"/>
                <w:lang w:val="en-US" w:eastAsia="zh-CN"/>
              </w:rPr>
              <w:t>2</w:t>
            </w:r>
            <w:r>
              <w:rPr>
                <w:rFonts w:hint="eastAsia"/>
                <w:color w:val="auto"/>
                <w:sz w:val="24"/>
              </w:rPr>
              <w:t>0</w:t>
            </w:r>
            <w:r>
              <w:rPr>
                <w:color w:val="auto"/>
                <w:sz w:val="24"/>
              </w:rPr>
              <w:t>万元。工程环保设施及环保投资详见表7-</w:t>
            </w:r>
            <w:r>
              <w:rPr>
                <w:rFonts w:hint="eastAsia"/>
                <w:color w:val="auto"/>
                <w:sz w:val="24"/>
                <w:lang w:val="en-US" w:eastAsia="zh-CN"/>
              </w:rPr>
              <w:t>17</w:t>
            </w:r>
            <w:r>
              <w:rPr>
                <w:color w:val="auto"/>
                <w:sz w:val="24"/>
              </w:rPr>
              <w:t>，环保投资占工程总投资</w:t>
            </w:r>
            <w:r>
              <w:rPr>
                <w:rFonts w:hint="eastAsia"/>
                <w:color w:val="auto"/>
                <w:sz w:val="24"/>
              </w:rPr>
              <w:t>10</w:t>
            </w:r>
            <w:r>
              <w:rPr>
                <w:color w:val="auto"/>
                <w:sz w:val="24"/>
              </w:rPr>
              <w:t>%。</w:t>
            </w:r>
          </w:p>
          <w:p>
            <w:pPr>
              <w:pStyle w:val="103"/>
              <w:ind w:firstLine="422"/>
              <w:rPr>
                <w:rFonts w:eastAsia="宋体"/>
                <w:b/>
                <w:color w:val="auto"/>
                <w:sz w:val="21"/>
                <w:szCs w:val="21"/>
              </w:rPr>
            </w:pPr>
            <w:r>
              <w:rPr>
                <w:rFonts w:eastAsia="宋体"/>
                <w:b/>
                <w:color w:val="auto"/>
                <w:sz w:val="21"/>
                <w:szCs w:val="21"/>
              </w:rPr>
              <w:t>表7-</w:t>
            </w:r>
            <w:r>
              <w:rPr>
                <w:rFonts w:hint="eastAsia" w:eastAsia="宋体"/>
                <w:b/>
                <w:color w:val="auto"/>
                <w:sz w:val="21"/>
                <w:szCs w:val="21"/>
                <w:lang w:val="en-US" w:eastAsia="zh-CN"/>
              </w:rPr>
              <w:t xml:space="preserve">17 </w:t>
            </w:r>
            <w:r>
              <w:rPr>
                <w:rFonts w:eastAsia="宋体"/>
                <w:b/>
                <w:color w:val="auto"/>
                <w:sz w:val="21"/>
                <w:szCs w:val="21"/>
              </w:rPr>
              <w:t>环保投资概算一览表</w:t>
            </w:r>
          </w:p>
          <w:tbl>
            <w:tblPr>
              <w:tblStyle w:val="31"/>
              <w:tblW w:w="874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79"/>
              <w:gridCol w:w="1599"/>
              <w:gridCol w:w="2815"/>
              <w:gridCol w:w="1302"/>
              <w:gridCol w:w="15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479" w:type="dxa"/>
                  <w:vAlign w:val="center"/>
                </w:tcPr>
                <w:p>
                  <w:pPr>
                    <w:pStyle w:val="8"/>
                    <w:ind w:firstLine="0"/>
                    <w:jc w:val="center"/>
                    <w:rPr>
                      <w:b/>
                      <w:bCs/>
                      <w:color w:val="auto"/>
                      <w:szCs w:val="21"/>
                    </w:rPr>
                  </w:pPr>
                  <w:r>
                    <w:rPr>
                      <w:b/>
                      <w:bCs/>
                      <w:color w:val="auto"/>
                      <w:szCs w:val="21"/>
                    </w:rPr>
                    <w:t>措施</w:t>
                  </w:r>
                </w:p>
              </w:tc>
              <w:tc>
                <w:tcPr>
                  <w:tcW w:w="1599" w:type="dxa"/>
                  <w:vAlign w:val="center"/>
                </w:tcPr>
                <w:p>
                  <w:pPr>
                    <w:pStyle w:val="8"/>
                    <w:ind w:firstLine="0"/>
                    <w:jc w:val="center"/>
                    <w:rPr>
                      <w:b/>
                      <w:bCs/>
                      <w:color w:val="auto"/>
                      <w:szCs w:val="21"/>
                    </w:rPr>
                  </w:pPr>
                  <w:r>
                    <w:rPr>
                      <w:b/>
                      <w:bCs/>
                      <w:color w:val="auto"/>
                      <w:szCs w:val="21"/>
                    </w:rPr>
                    <w:t>污染源</w:t>
                  </w:r>
                </w:p>
              </w:tc>
              <w:tc>
                <w:tcPr>
                  <w:tcW w:w="2815" w:type="dxa"/>
                  <w:vAlign w:val="center"/>
                </w:tcPr>
                <w:p>
                  <w:pPr>
                    <w:pStyle w:val="8"/>
                    <w:ind w:firstLine="0"/>
                    <w:jc w:val="center"/>
                    <w:rPr>
                      <w:b/>
                      <w:bCs/>
                      <w:color w:val="auto"/>
                      <w:szCs w:val="21"/>
                    </w:rPr>
                  </w:pPr>
                  <w:r>
                    <w:rPr>
                      <w:b/>
                      <w:bCs/>
                      <w:color w:val="auto"/>
                      <w:szCs w:val="21"/>
                    </w:rPr>
                    <w:t>内容</w:t>
                  </w:r>
                </w:p>
              </w:tc>
              <w:tc>
                <w:tcPr>
                  <w:tcW w:w="1302" w:type="dxa"/>
                  <w:vAlign w:val="center"/>
                </w:tcPr>
                <w:p>
                  <w:pPr>
                    <w:pStyle w:val="8"/>
                    <w:ind w:firstLine="0"/>
                    <w:jc w:val="center"/>
                    <w:rPr>
                      <w:b/>
                      <w:bCs/>
                      <w:color w:val="auto"/>
                      <w:szCs w:val="21"/>
                    </w:rPr>
                  </w:pPr>
                  <w:r>
                    <w:rPr>
                      <w:b/>
                      <w:bCs/>
                      <w:color w:val="auto"/>
                      <w:szCs w:val="21"/>
                    </w:rPr>
                    <w:t>投资（万元）</w:t>
                  </w:r>
                </w:p>
              </w:tc>
              <w:tc>
                <w:tcPr>
                  <w:tcW w:w="1554" w:type="dxa"/>
                  <w:vAlign w:val="center"/>
                </w:tcPr>
                <w:p>
                  <w:pPr>
                    <w:pStyle w:val="8"/>
                    <w:ind w:firstLine="0"/>
                    <w:jc w:val="center"/>
                    <w:rPr>
                      <w:b/>
                      <w:bCs/>
                      <w:color w:val="auto"/>
                      <w:szCs w:val="21"/>
                    </w:rPr>
                  </w:pPr>
                  <w:r>
                    <w:rPr>
                      <w:rFonts w:hint="eastAsia"/>
                      <w:b/>
                      <w:bCs/>
                      <w:color w:val="auto"/>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479" w:type="dxa"/>
                  <w:vAlign w:val="center"/>
                </w:tcPr>
                <w:p>
                  <w:pPr>
                    <w:pStyle w:val="8"/>
                    <w:ind w:firstLine="0"/>
                    <w:jc w:val="center"/>
                    <w:rPr>
                      <w:color w:val="auto"/>
                      <w:szCs w:val="21"/>
                    </w:rPr>
                  </w:pPr>
                  <w:r>
                    <w:rPr>
                      <w:color w:val="auto"/>
                      <w:szCs w:val="21"/>
                    </w:rPr>
                    <w:t>废/污水治理措施</w:t>
                  </w:r>
                </w:p>
              </w:tc>
              <w:tc>
                <w:tcPr>
                  <w:tcW w:w="1599" w:type="dxa"/>
                  <w:vAlign w:val="center"/>
                </w:tcPr>
                <w:p>
                  <w:pPr>
                    <w:pStyle w:val="8"/>
                    <w:ind w:firstLine="0"/>
                    <w:jc w:val="center"/>
                    <w:rPr>
                      <w:color w:val="auto"/>
                      <w:szCs w:val="21"/>
                    </w:rPr>
                  </w:pPr>
                  <w:r>
                    <w:rPr>
                      <w:color w:val="auto"/>
                      <w:szCs w:val="21"/>
                    </w:rPr>
                    <w:t>生活污水</w:t>
                  </w:r>
                </w:p>
              </w:tc>
              <w:tc>
                <w:tcPr>
                  <w:tcW w:w="2815" w:type="dxa"/>
                  <w:vAlign w:val="center"/>
                </w:tcPr>
                <w:p>
                  <w:pPr>
                    <w:pStyle w:val="8"/>
                    <w:ind w:firstLine="0"/>
                    <w:jc w:val="center"/>
                    <w:rPr>
                      <w:color w:val="auto"/>
                      <w:szCs w:val="21"/>
                    </w:rPr>
                  </w:pPr>
                  <w:r>
                    <w:rPr>
                      <w:rFonts w:hint="eastAsia"/>
                      <w:color w:val="auto"/>
                      <w:kern w:val="0"/>
                      <w:szCs w:val="21"/>
                      <w:lang w:eastAsia="zh-CN"/>
                    </w:rPr>
                    <w:t>生化池、污水暂存池</w:t>
                  </w:r>
                  <w:r>
                    <w:rPr>
                      <w:rFonts w:hint="eastAsia"/>
                      <w:color w:val="auto"/>
                      <w:szCs w:val="21"/>
                    </w:rPr>
                    <w:t>等</w:t>
                  </w:r>
                  <w:r>
                    <w:rPr>
                      <w:color w:val="auto"/>
                      <w:szCs w:val="21"/>
                    </w:rPr>
                    <w:t>。</w:t>
                  </w:r>
                </w:p>
              </w:tc>
              <w:tc>
                <w:tcPr>
                  <w:tcW w:w="1302" w:type="dxa"/>
                  <w:vAlign w:val="center"/>
                </w:tcPr>
                <w:p>
                  <w:pPr>
                    <w:pStyle w:val="8"/>
                    <w:ind w:firstLine="0"/>
                    <w:jc w:val="center"/>
                    <w:rPr>
                      <w:rFonts w:hint="eastAsia" w:eastAsia="宋体"/>
                      <w:color w:val="auto"/>
                      <w:szCs w:val="21"/>
                      <w:lang w:val="en-US" w:eastAsia="zh-CN"/>
                    </w:rPr>
                  </w:pPr>
                  <w:r>
                    <w:rPr>
                      <w:rFonts w:hint="eastAsia"/>
                      <w:color w:val="auto"/>
                      <w:szCs w:val="21"/>
                      <w:lang w:val="en-US" w:eastAsia="zh-CN"/>
                    </w:rPr>
                    <w:t>6</w:t>
                  </w:r>
                </w:p>
              </w:tc>
              <w:tc>
                <w:tcPr>
                  <w:tcW w:w="1554" w:type="dxa"/>
                  <w:vAlign w:val="center"/>
                </w:tcPr>
                <w:p>
                  <w:pPr>
                    <w:pStyle w:val="8"/>
                    <w:ind w:firstLine="0"/>
                    <w:jc w:val="center"/>
                    <w:rPr>
                      <w:color w:val="auto"/>
                      <w:szCs w:val="21"/>
                    </w:rPr>
                  </w:pPr>
                  <w:r>
                    <w:rPr>
                      <w:rFonts w:hint="eastAsia"/>
                      <w:color w:val="auto"/>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81" w:hRule="atLeast"/>
                <w:jc w:val="center"/>
              </w:trPr>
              <w:tc>
                <w:tcPr>
                  <w:tcW w:w="1479" w:type="dxa"/>
                  <w:vAlign w:val="center"/>
                </w:tcPr>
                <w:p>
                  <w:pPr>
                    <w:pStyle w:val="8"/>
                    <w:ind w:firstLine="0"/>
                    <w:jc w:val="center"/>
                    <w:rPr>
                      <w:color w:val="auto"/>
                      <w:szCs w:val="21"/>
                    </w:rPr>
                  </w:pPr>
                  <w:r>
                    <w:rPr>
                      <w:color w:val="auto"/>
                      <w:szCs w:val="21"/>
                    </w:rPr>
                    <w:t>废气治理措施</w:t>
                  </w:r>
                </w:p>
              </w:tc>
              <w:tc>
                <w:tcPr>
                  <w:tcW w:w="1599" w:type="dxa"/>
                  <w:vAlign w:val="center"/>
                </w:tcPr>
                <w:p>
                  <w:pPr>
                    <w:pStyle w:val="8"/>
                    <w:ind w:firstLine="0"/>
                    <w:jc w:val="center"/>
                    <w:rPr>
                      <w:color w:val="auto"/>
                      <w:szCs w:val="21"/>
                    </w:rPr>
                  </w:pPr>
                  <w:r>
                    <w:rPr>
                      <w:rFonts w:hint="eastAsia"/>
                      <w:color w:val="auto"/>
                      <w:szCs w:val="21"/>
                      <w:lang w:eastAsia="zh-CN"/>
                    </w:rPr>
                    <w:t>打松、梳棉过程产生的</w:t>
                  </w:r>
                  <w:r>
                    <w:rPr>
                      <w:rFonts w:hint="eastAsia"/>
                      <w:color w:val="auto"/>
                      <w:szCs w:val="21"/>
                    </w:rPr>
                    <w:t>粉尘</w:t>
                  </w:r>
                </w:p>
              </w:tc>
              <w:tc>
                <w:tcPr>
                  <w:tcW w:w="2815" w:type="dxa"/>
                  <w:vAlign w:val="center"/>
                </w:tcPr>
                <w:p>
                  <w:pPr>
                    <w:pStyle w:val="8"/>
                    <w:ind w:firstLine="0"/>
                    <w:jc w:val="center"/>
                    <w:rPr>
                      <w:color w:val="auto"/>
                      <w:szCs w:val="21"/>
                    </w:rPr>
                  </w:pPr>
                  <w:r>
                    <w:rPr>
                      <w:rFonts w:hint="eastAsia"/>
                      <w:color w:val="auto"/>
                      <w:szCs w:val="21"/>
                      <w:lang w:eastAsia="zh-CN"/>
                    </w:rPr>
                    <w:t>多筒式除尘机、日常管理</w:t>
                  </w:r>
                  <w:r>
                    <w:rPr>
                      <w:rFonts w:hint="eastAsia"/>
                      <w:color w:val="auto"/>
                      <w:szCs w:val="21"/>
                    </w:rPr>
                    <w:t>等</w:t>
                  </w:r>
                </w:p>
              </w:tc>
              <w:tc>
                <w:tcPr>
                  <w:tcW w:w="1302" w:type="dxa"/>
                  <w:vAlign w:val="center"/>
                </w:tcPr>
                <w:p>
                  <w:pPr>
                    <w:pStyle w:val="8"/>
                    <w:ind w:firstLine="0"/>
                    <w:jc w:val="center"/>
                    <w:rPr>
                      <w:rFonts w:hint="default" w:eastAsia="宋体"/>
                      <w:color w:val="auto"/>
                      <w:szCs w:val="21"/>
                      <w:lang w:val="en-US" w:eastAsia="zh-CN"/>
                    </w:rPr>
                  </w:pPr>
                  <w:r>
                    <w:rPr>
                      <w:rFonts w:hint="eastAsia"/>
                      <w:color w:val="auto"/>
                      <w:szCs w:val="21"/>
                      <w:lang w:val="en-US" w:eastAsia="zh-CN"/>
                    </w:rPr>
                    <w:t>10</w:t>
                  </w:r>
                </w:p>
              </w:tc>
              <w:tc>
                <w:tcPr>
                  <w:tcW w:w="1554" w:type="dxa"/>
                  <w:vAlign w:val="center"/>
                </w:tcPr>
                <w:p>
                  <w:pPr>
                    <w:pStyle w:val="8"/>
                    <w:ind w:firstLine="0"/>
                    <w:jc w:val="center"/>
                    <w:rPr>
                      <w:color w:val="auto"/>
                      <w:szCs w:val="21"/>
                    </w:rPr>
                  </w:pPr>
                  <w:r>
                    <w:rPr>
                      <w:rFonts w:hint="eastAsia"/>
                      <w:color w:val="auto"/>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479" w:type="dxa"/>
                  <w:vAlign w:val="center"/>
                </w:tcPr>
                <w:p>
                  <w:pPr>
                    <w:pStyle w:val="8"/>
                    <w:ind w:firstLine="0"/>
                    <w:jc w:val="center"/>
                    <w:rPr>
                      <w:color w:val="auto"/>
                      <w:szCs w:val="21"/>
                    </w:rPr>
                  </w:pPr>
                  <w:r>
                    <w:rPr>
                      <w:color w:val="auto"/>
                      <w:szCs w:val="21"/>
                    </w:rPr>
                    <w:t>噪声治理措施</w:t>
                  </w:r>
                </w:p>
              </w:tc>
              <w:tc>
                <w:tcPr>
                  <w:tcW w:w="1599" w:type="dxa"/>
                  <w:vAlign w:val="center"/>
                </w:tcPr>
                <w:p>
                  <w:pPr>
                    <w:pStyle w:val="8"/>
                    <w:ind w:firstLine="0"/>
                    <w:jc w:val="center"/>
                    <w:rPr>
                      <w:color w:val="auto"/>
                      <w:szCs w:val="21"/>
                    </w:rPr>
                  </w:pPr>
                  <w:r>
                    <w:rPr>
                      <w:color w:val="auto"/>
                      <w:szCs w:val="21"/>
                    </w:rPr>
                    <w:t>设备噪声</w:t>
                  </w:r>
                </w:p>
              </w:tc>
              <w:tc>
                <w:tcPr>
                  <w:tcW w:w="2815" w:type="dxa"/>
                  <w:vAlign w:val="center"/>
                </w:tcPr>
                <w:p>
                  <w:pPr>
                    <w:pStyle w:val="8"/>
                    <w:ind w:firstLine="0"/>
                    <w:jc w:val="center"/>
                    <w:rPr>
                      <w:color w:val="auto"/>
                      <w:szCs w:val="21"/>
                    </w:rPr>
                  </w:pPr>
                  <w:r>
                    <w:rPr>
                      <w:rFonts w:hint="eastAsia"/>
                      <w:color w:val="auto"/>
                      <w:szCs w:val="21"/>
                    </w:rPr>
                    <w:t>采用低噪声设备、</w:t>
                  </w:r>
                  <w:r>
                    <w:rPr>
                      <w:color w:val="auto"/>
                      <w:szCs w:val="21"/>
                    </w:rPr>
                    <w:t>隔声罩、绿化等。</w:t>
                  </w:r>
                </w:p>
              </w:tc>
              <w:tc>
                <w:tcPr>
                  <w:tcW w:w="1302" w:type="dxa"/>
                  <w:vAlign w:val="center"/>
                </w:tcPr>
                <w:p>
                  <w:pPr>
                    <w:pStyle w:val="8"/>
                    <w:ind w:firstLine="0"/>
                    <w:jc w:val="center"/>
                    <w:rPr>
                      <w:rFonts w:hint="eastAsia" w:eastAsia="宋体"/>
                      <w:color w:val="auto"/>
                      <w:szCs w:val="21"/>
                      <w:lang w:eastAsia="zh-CN"/>
                    </w:rPr>
                  </w:pPr>
                  <w:r>
                    <w:rPr>
                      <w:rFonts w:hint="eastAsia"/>
                      <w:color w:val="auto"/>
                      <w:szCs w:val="21"/>
                      <w:lang w:val="en-US" w:eastAsia="zh-CN"/>
                    </w:rPr>
                    <w:t>2</w:t>
                  </w:r>
                </w:p>
              </w:tc>
              <w:tc>
                <w:tcPr>
                  <w:tcW w:w="1554" w:type="dxa"/>
                  <w:vAlign w:val="center"/>
                </w:tcPr>
                <w:p>
                  <w:pPr>
                    <w:pStyle w:val="8"/>
                    <w:ind w:firstLine="0"/>
                    <w:jc w:val="center"/>
                    <w:rPr>
                      <w:color w:val="auto"/>
                      <w:szCs w:val="21"/>
                    </w:rPr>
                  </w:pPr>
                  <w:r>
                    <w:rPr>
                      <w:rFonts w:hint="eastAsia"/>
                      <w:color w:val="auto"/>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7" w:hRule="atLeast"/>
                <w:jc w:val="center"/>
              </w:trPr>
              <w:tc>
                <w:tcPr>
                  <w:tcW w:w="1479" w:type="dxa"/>
                  <w:vAlign w:val="center"/>
                </w:tcPr>
                <w:p>
                  <w:pPr>
                    <w:pStyle w:val="8"/>
                    <w:ind w:firstLine="0"/>
                    <w:jc w:val="center"/>
                    <w:rPr>
                      <w:color w:val="auto"/>
                      <w:szCs w:val="21"/>
                    </w:rPr>
                  </w:pPr>
                  <w:r>
                    <w:rPr>
                      <w:color w:val="auto"/>
                      <w:szCs w:val="21"/>
                    </w:rPr>
                    <w:t>固废处理措施</w:t>
                  </w:r>
                </w:p>
              </w:tc>
              <w:tc>
                <w:tcPr>
                  <w:tcW w:w="1599" w:type="dxa"/>
                  <w:vAlign w:val="center"/>
                </w:tcPr>
                <w:p>
                  <w:pPr>
                    <w:pStyle w:val="8"/>
                    <w:ind w:firstLine="0"/>
                    <w:jc w:val="center"/>
                    <w:rPr>
                      <w:color w:val="auto"/>
                      <w:szCs w:val="21"/>
                    </w:rPr>
                  </w:pPr>
                  <w:r>
                    <w:rPr>
                      <w:color w:val="auto"/>
                      <w:szCs w:val="21"/>
                    </w:rPr>
                    <w:t>工业固废处理</w:t>
                  </w:r>
                </w:p>
              </w:tc>
              <w:tc>
                <w:tcPr>
                  <w:tcW w:w="2815" w:type="dxa"/>
                  <w:vAlign w:val="center"/>
                </w:tcPr>
                <w:p>
                  <w:pPr>
                    <w:pStyle w:val="8"/>
                    <w:ind w:firstLine="0"/>
                    <w:jc w:val="center"/>
                    <w:rPr>
                      <w:color w:val="auto"/>
                      <w:szCs w:val="21"/>
                    </w:rPr>
                  </w:pPr>
                  <w:r>
                    <w:rPr>
                      <w:color w:val="auto"/>
                      <w:szCs w:val="21"/>
                    </w:rPr>
                    <w:t>工业固废临时收集站。</w:t>
                  </w:r>
                </w:p>
              </w:tc>
              <w:tc>
                <w:tcPr>
                  <w:tcW w:w="1302" w:type="dxa"/>
                  <w:vAlign w:val="center"/>
                </w:tcPr>
                <w:p>
                  <w:pPr>
                    <w:pStyle w:val="8"/>
                    <w:ind w:firstLine="0"/>
                    <w:jc w:val="center"/>
                    <w:rPr>
                      <w:rFonts w:hint="eastAsia" w:eastAsia="宋体"/>
                      <w:color w:val="auto"/>
                      <w:szCs w:val="21"/>
                      <w:lang w:eastAsia="zh-CN"/>
                    </w:rPr>
                  </w:pPr>
                  <w:r>
                    <w:rPr>
                      <w:rFonts w:hint="eastAsia"/>
                      <w:color w:val="auto"/>
                      <w:szCs w:val="21"/>
                      <w:lang w:val="en-US" w:eastAsia="zh-CN"/>
                    </w:rPr>
                    <w:t>2</w:t>
                  </w:r>
                </w:p>
              </w:tc>
              <w:tc>
                <w:tcPr>
                  <w:tcW w:w="1554" w:type="dxa"/>
                  <w:vAlign w:val="center"/>
                </w:tcPr>
                <w:p>
                  <w:pPr>
                    <w:pStyle w:val="8"/>
                    <w:ind w:firstLine="0"/>
                    <w:jc w:val="center"/>
                    <w:rPr>
                      <w:color w:val="auto"/>
                      <w:szCs w:val="21"/>
                    </w:rPr>
                  </w:pPr>
                  <w:r>
                    <w:rPr>
                      <w:rFonts w:hint="eastAsia"/>
                      <w:color w:val="auto"/>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5893" w:type="dxa"/>
                  <w:gridSpan w:val="3"/>
                  <w:vAlign w:val="center"/>
                </w:tcPr>
                <w:p>
                  <w:pPr>
                    <w:pStyle w:val="8"/>
                    <w:ind w:firstLine="0"/>
                    <w:jc w:val="center"/>
                    <w:rPr>
                      <w:color w:val="auto"/>
                      <w:szCs w:val="21"/>
                    </w:rPr>
                  </w:pPr>
                  <w:r>
                    <w:rPr>
                      <w:color w:val="auto"/>
                      <w:szCs w:val="21"/>
                    </w:rPr>
                    <w:t>合计</w:t>
                  </w:r>
                </w:p>
              </w:tc>
              <w:tc>
                <w:tcPr>
                  <w:tcW w:w="1302" w:type="dxa"/>
                  <w:vAlign w:val="center"/>
                </w:tcPr>
                <w:p>
                  <w:pPr>
                    <w:pStyle w:val="8"/>
                    <w:ind w:firstLine="0"/>
                    <w:jc w:val="center"/>
                    <w:rPr>
                      <w:rFonts w:hint="eastAsia" w:eastAsia="宋体"/>
                      <w:color w:val="auto"/>
                      <w:szCs w:val="21"/>
                      <w:lang w:val="en-US" w:eastAsia="zh-CN"/>
                    </w:rPr>
                  </w:pPr>
                  <w:r>
                    <w:rPr>
                      <w:rFonts w:hint="eastAsia"/>
                      <w:color w:val="auto"/>
                      <w:szCs w:val="21"/>
                      <w:lang w:val="en-US" w:eastAsia="zh-CN"/>
                    </w:rPr>
                    <w:t>20</w:t>
                  </w:r>
                </w:p>
              </w:tc>
              <w:tc>
                <w:tcPr>
                  <w:tcW w:w="1554" w:type="dxa"/>
                  <w:vAlign w:val="center"/>
                </w:tcPr>
                <w:p>
                  <w:pPr>
                    <w:pStyle w:val="8"/>
                    <w:ind w:firstLine="0"/>
                    <w:jc w:val="center"/>
                    <w:rPr>
                      <w:color w:val="auto"/>
                      <w:szCs w:val="21"/>
                    </w:rPr>
                  </w:pPr>
                  <w:r>
                    <w:rPr>
                      <w:rFonts w:hint="eastAsia"/>
                      <w:color w:val="auto"/>
                      <w:szCs w:val="21"/>
                    </w:rPr>
                    <w:t>--</w:t>
                  </w:r>
                </w:p>
              </w:tc>
            </w:tr>
          </w:tbl>
          <w:p>
            <w:pPr>
              <w:adjustRightInd w:val="0"/>
              <w:snapToGrid w:val="0"/>
              <w:spacing w:line="360" w:lineRule="auto"/>
              <w:ind w:firstLine="482" w:firstLineChars="200"/>
              <w:rPr>
                <w:rFonts w:hint="eastAsia" w:eastAsia="宋体"/>
                <w:b/>
                <w:color w:val="FF0000"/>
                <w:sz w:val="24"/>
                <w:lang w:eastAsia="zh-CN"/>
              </w:rPr>
            </w:pPr>
            <w:r>
              <w:rPr>
                <w:rFonts w:hint="eastAsia"/>
                <w:b/>
                <w:color w:val="FF0000"/>
                <w:sz w:val="24"/>
                <w:lang w:eastAsia="zh-CN"/>
              </w:rPr>
              <w:t>十</w:t>
            </w:r>
            <w:r>
              <w:rPr>
                <w:rFonts w:hint="eastAsia"/>
                <w:b/>
                <w:color w:val="FF0000"/>
                <w:sz w:val="24"/>
              </w:rPr>
              <w:t>、环境</w:t>
            </w:r>
            <w:r>
              <w:rPr>
                <w:rFonts w:hint="eastAsia"/>
                <w:b/>
                <w:color w:val="FF0000"/>
                <w:sz w:val="24"/>
                <w:lang w:eastAsia="zh-CN"/>
              </w:rPr>
              <w:t>管理</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企业应建立专门的环境管理部门，全面负责企业中有关环境保护的问题。环境管理部门的工作人员应具备与其责任相应的专业技术。环境管理部门具体职责如下：</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（1）配合环境保护行政主管部门的工作</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该部门应及时向当地环境保护主管部门申报登记污染物排放情况，积极配合政府环境监测部门的监督检查工作，并按要求上报各项环保工作的执行情况。</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（2）制定并实施企业环境保护计划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该部门应根据企业的实际情况，制定企业的环境保护计划，并组织实施。</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（3）制定环境保护工程治理方案，建立环境保护设施</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该部门应根据项目产生的污染物状况以及企业的环境保护计划，制定环境保护工程治理方案，建立环境保护设施。环境保护设施必须保证与主体工程项目同时施工、同时投入运行。项目竣工后，环境保护设施必须经</w:t>
            </w:r>
            <w:r>
              <w:rPr>
                <w:rFonts w:hint="eastAsia" w:cs="Times New Roman"/>
                <w:color w:val="00B050"/>
                <w:sz w:val="24"/>
                <w:lang w:eastAsia="zh-CN"/>
              </w:rPr>
              <w:t>自主</w:t>
            </w:r>
            <w:r>
              <w:rPr>
                <w:rFonts w:ascii="Times New Roman" w:hAnsi="Times New Roman" w:cs="Times New Roman"/>
                <w:color w:val="00B050"/>
                <w:sz w:val="24"/>
              </w:rPr>
              <w:t>验收</w:t>
            </w:r>
            <w:r>
              <w:rPr>
                <w:rFonts w:hint="eastAsia" w:cs="Times New Roman"/>
                <w:color w:val="00B050"/>
                <w:sz w:val="24"/>
                <w:lang w:eastAsia="zh-CN"/>
              </w:rPr>
              <w:t>和生态主管部门</w:t>
            </w:r>
            <w:r>
              <w:rPr>
                <w:rFonts w:ascii="Times New Roman" w:hAnsi="Times New Roman" w:cs="Times New Roman"/>
                <w:color w:val="FF0000"/>
                <w:sz w:val="24"/>
              </w:rPr>
              <w:t>合格后方可使用。</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（4）监督和检查环境保护设施运行状况</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项目运营期间，该部门应监督和检查环境保护设施运行状况，定期对环境保护设施进行保养和维护，确保设施正常运行。同时，应对环境保护设施的运行情况进行记录。</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（5）建立环境监测设施，制定并实施环境监测方案</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该部门应通过环境监测监控污染物排放情况，指导环保设施的运行，并对意外情况作出应变，确保污染物达标排放。环境监测的方法应采取国家标准的监测方法。环境监测方案具体包括：</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① 制定企业环境监测的规章制度与环境监测计划；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② 对环保监测工作人员进行必要的环境监测工作上岗专业培训，使掌握必需的环境监测专业知识；</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③ 定期监测污染物的产生及排放情况，了解污染物是否达标排放；</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④ 建立监测数据档案，并及时对监测数据进行整理汇总分析，总结污染物排放规律，以指导环境保护设施的运行；</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⑤ 在出现非正常的污染物或出现污染事故，应连续跟踪监测，指导制定污染处理措施；</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（6）处理企业意外污染事故</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当企业出现意外污染事故时，该部门应参与污染事故的调查与分析，并负责对污染进行跟踪监测，采取污染处理措施，减小污染事故对环境的影响程度；</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（7）建立环境科技档案及管理档案</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应建立环境保护工作中的各类档案资料，包括环评报告、环保工程验收报告、环境监测报告、环保设施运行记录以及有关的污染物排放标准、环保法规等；</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（8）处理与本项目有关的其它环境保护问题。</w:t>
            </w:r>
          </w:p>
          <w:p>
            <w:pPr>
              <w:adjustRightInd w:val="0"/>
              <w:snapToGrid w:val="0"/>
              <w:spacing w:line="360" w:lineRule="auto"/>
              <w:ind w:firstLine="482" w:firstLineChars="200"/>
              <w:rPr>
                <w:rFonts w:hint="eastAsia"/>
                <w:b/>
                <w:color w:val="FF0000"/>
                <w:sz w:val="24"/>
                <w:lang w:eastAsia="zh-CN"/>
              </w:rPr>
            </w:pPr>
            <w:r>
              <w:rPr>
                <w:rFonts w:hint="eastAsia"/>
                <w:b/>
                <w:color w:val="FF0000"/>
                <w:sz w:val="24"/>
                <w:lang w:eastAsia="zh-CN"/>
              </w:rPr>
              <w:t>十一</w:t>
            </w:r>
            <w:r>
              <w:rPr>
                <w:rFonts w:hint="eastAsia"/>
                <w:b/>
                <w:color w:val="FF0000"/>
                <w:sz w:val="24"/>
              </w:rPr>
              <w:t>、环境</w:t>
            </w:r>
            <w:r>
              <w:rPr>
                <w:rFonts w:hint="eastAsia"/>
                <w:b/>
                <w:color w:val="FF0000"/>
                <w:sz w:val="24"/>
                <w:lang w:eastAsia="zh-CN"/>
              </w:rPr>
              <w:t>监测计划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为了及时了解和掌握建设项目营运期主要污染源污染物排放状况，建设单位应定期委托有资质的环境监测单位对本项目主要污染源排放的污染物进行监测。</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 xml:space="preserve">（1）水污染源监测 </w:t>
            </w:r>
          </w:p>
          <w:p>
            <w:pPr>
              <w:snapToGrid w:val="0"/>
              <w:spacing w:line="360" w:lineRule="auto"/>
              <w:ind w:firstLine="480" w:firstLineChars="200"/>
              <w:rPr>
                <w:rFonts w:hint="eastAsia" w:ascii="Times New Roman" w:hAnsi="Times New Roman" w:cs="Times New Roman"/>
                <w:color w:val="FF0000"/>
                <w:sz w:val="24"/>
              </w:rPr>
            </w:pPr>
            <w:r>
              <w:rPr>
                <w:rFonts w:hint="eastAsia" w:ascii="Times New Roman" w:hAnsi="Times New Roman" w:cs="Times New Roman"/>
                <w:color w:val="FF0000"/>
                <w:sz w:val="24"/>
              </w:rPr>
              <w:t>1）生活污水</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监测点布设：</w:t>
            </w:r>
            <w:r>
              <w:rPr>
                <w:rFonts w:hint="eastAsia" w:cs="Times New Roman"/>
                <w:color w:val="FF0000"/>
                <w:sz w:val="24"/>
                <w:lang w:eastAsia="zh-CN"/>
              </w:rPr>
              <w:t>生化池</w:t>
            </w:r>
            <w:r>
              <w:rPr>
                <w:rFonts w:hint="eastAsia" w:ascii="Times New Roman" w:hAnsi="Times New Roman" w:cs="Times New Roman"/>
                <w:color w:val="FF0000"/>
                <w:sz w:val="24"/>
              </w:rPr>
              <w:t>出水口</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监测项目：水量、</w:t>
            </w:r>
            <w:r>
              <w:rPr>
                <w:color w:val="FF0000"/>
                <w:sz w:val="24"/>
                <w:szCs w:val="24"/>
              </w:rPr>
              <w:t>COD</w:t>
            </w:r>
            <w:r>
              <w:rPr>
                <w:color w:val="FF0000"/>
                <w:sz w:val="24"/>
                <w:szCs w:val="24"/>
                <w:vertAlign w:val="subscript"/>
              </w:rPr>
              <w:t>Cr</w:t>
            </w:r>
            <w:r>
              <w:rPr>
                <w:color w:val="FF0000"/>
                <w:sz w:val="24"/>
                <w:szCs w:val="24"/>
              </w:rPr>
              <w:t>、</w:t>
            </w:r>
            <w:r>
              <w:rPr>
                <w:rFonts w:hint="eastAsia"/>
                <w:color w:val="FF0000"/>
                <w:sz w:val="24"/>
                <w:szCs w:val="24"/>
              </w:rPr>
              <w:t>B</w:t>
            </w:r>
            <w:r>
              <w:rPr>
                <w:color w:val="FF0000"/>
                <w:sz w:val="24"/>
                <w:szCs w:val="24"/>
              </w:rPr>
              <w:t>OD</w:t>
            </w:r>
            <w:r>
              <w:rPr>
                <w:color w:val="FF0000"/>
                <w:sz w:val="24"/>
                <w:szCs w:val="24"/>
                <w:vertAlign w:val="subscript"/>
              </w:rPr>
              <w:t>5</w:t>
            </w:r>
            <w:r>
              <w:rPr>
                <w:rFonts w:hint="eastAsia"/>
                <w:color w:val="FF0000"/>
                <w:sz w:val="24"/>
                <w:szCs w:val="24"/>
              </w:rPr>
              <w:t>、</w:t>
            </w:r>
            <w:r>
              <w:rPr>
                <w:color w:val="FF0000"/>
                <w:sz w:val="24"/>
                <w:szCs w:val="24"/>
              </w:rPr>
              <w:t>SS、NH</w:t>
            </w:r>
            <w:r>
              <w:rPr>
                <w:color w:val="FF0000"/>
                <w:sz w:val="24"/>
                <w:szCs w:val="24"/>
                <w:vertAlign w:val="subscript"/>
              </w:rPr>
              <w:t>3</w:t>
            </w:r>
            <w:r>
              <w:rPr>
                <w:color w:val="FF0000"/>
                <w:sz w:val="24"/>
                <w:szCs w:val="24"/>
              </w:rPr>
              <w:t>-N</w:t>
            </w:r>
            <w:r>
              <w:rPr>
                <w:rFonts w:ascii="Times New Roman" w:hAnsi="Times New Roman" w:cs="Times New Roman"/>
                <w:color w:val="FF0000"/>
                <w:sz w:val="24"/>
              </w:rPr>
              <w:t>。</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监测频次：对生活污水排放进行监控。每</w:t>
            </w:r>
            <w:r>
              <w:rPr>
                <w:rFonts w:hint="eastAsia" w:ascii="Times New Roman" w:hAnsi="Times New Roman" w:cs="Times New Roman"/>
                <w:color w:val="FF0000"/>
                <w:sz w:val="24"/>
                <w:lang w:eastAsia="zh-CN"/>
              </w:rPr>
              <w:t>半年</w:t>
            </w:r>
            <w:r>
              <w:rPr>
                <w:rFonts w:ascii="Times New Roman" w:hAnsi="Times New Roman" w:cs="Times New Roman"/>
                <w:color w:val="FF0000"/>
                <w:sz w:val="24"/>
              </w:rPr>
              <w:t>采样一次。</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监测采样和分析法方法：《环境监测技术规范》和《地表水和污水监测技术规范》。</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w:t>
            </w:r>
            <w:r>
              <w:rPr>
                <w:rFonts w:hint="eastAsia" w:ascii="Times New Roman" w:hAnsi="Times New Roman" w:cs="Times New Roman"/>
                <w:color w:val="FF0000"/>
                <w:sz w:val="24"/>
                <w:lang w:val="en-US" w:eastAsia="zh-CN"/>
              </w:rPr>
              <w:t>2</w:t>
            </w:r>
            <w:r>
              <w:rPr>
                <w:rFonts w:ascii="Times New Roman" w:hAnsi="Times New Roman" w:cs="Times New Roman"/>
                <w:color w:val="FF0000"/>
                <w:sz w:val="24"/>
              </w:rPr>
              <w:t>）大气环境监测计划</w:t>
            </w:r>
          </w:p>
          <w:p>
            <w:pPr>
              <w:snapToGrid w:val="0"/>
              <w:spacing w:line="360" w:lineRule="auto"/>
              <w:ind w:firstLine="480" w:firstLineChars="200"/>
              <w:rPr>
                <w:rFonts w:hint="eastAsia" w:ascii="Times New Roman" w:hAnsi="Times New Roman" w:cs="Times New Roman"/>
                <w:color w:val="FF0000"/>
                <w:sz w:val="24"/>
              </w:rPr>
            </w:pPr>
            <w:r>
              <w:rPr>
                <w:rFonts w:hint="eastAsia" w:ascii="Times New Roman" w:hAnsi="Times New Roman" w:cs="Times New Roman"/>
                <w:color w:val="FF0000"/>
                <w:sz w:val="24"/>
              </w:rPr>
              <w:t>1）有组织废气监测计划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fldChar w:fldCharType="begin"/>
            </w:r>
            <w:r>
              <w:rPr>
                <w:rFonts w:ascii="Times New Roman" w:hAnsi="Times New Roman" w:cs="Times New Roman"/>
                <w:color w:val="FF0000"/>
                <w:sz w:val="24"/>
              </w:rPr>
              <w:instrText xml:space="preserve"> = 1 \* GB3 </w:instrText>
            </w:r>
            <w:r>
              <w:rPr>
                <w:rFonts w:ascii="Times New Roman" w:hAnsi="Times New Roman" w:cs="Times New Roman"/>
                <w:color w:val="FF0000"/>
                <w:sz w:val="24"/>
              </w:rPr>
              <w:fldChar w:fldCharType="separate"/>
            </w:r>
            <w:r>
              <w:rPr>
                <w:rFonts w:ascii="Times New Roman" w:hAnsi="Times New Roman" w:cs="Times New Roman"/>
                <w:color w:val="FF0000"/>
                <w:sz w:val="24"/>
              </w:rPr>
              <w:t>①</w:t>
            </w:r>
            <w:r>
              <w:rPr>
                <w:rFonts w:ascii="Times New Roman" w:hAnsi="Times New Roman" w:cs="Times New Roman"/>
                <w:color w:val="FF0000"/>
                <w:sz w:val="24"/>
              </w:rPr>
              <w:fldChar w:fldCharType="end"/>
            </w:r>
            <w:r>
              <w:rPr>
                <w:rFonts w:ascii="Times New Roman" w:hAnsi="Times New Roman" w:cs="Times New Roman"/>
                <w:color w:val="FF0000"/>
                <w:sz w:val="24"/>
              </w:rPr>
              <w:t>监测计划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监测点布设：废气排放口。</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监测项目：烟气流量</w:t>
            </w:r>
            <w:r>
              <w:rPr>
                <w:rFonts w:hint="eastAsia" w:ascii="Times New Roman" w:hAnsi="Times New Roman" w:cs="Times New Roman"/>
                <w:color w:val="FF0000"/>
                <w:sz w:val="24"/>
                <w:lang w:eastAsia="zh-CN"/>
              </w:rPr>
              <w:t>、颗粒物</w:t>
            </w:r>
            <w:r>
              <w:rPr>
                <w:rFonts w:ascii="Times New Roman" w:hAnsi="Times New Roman" w:cs="Times New Roman"/>
                <w:color w:val="FF0000"/>
                <w:sz w:val="24"/>
              </w:rPr>
              <w:t>；</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监测频次：每</w:t>
            </w:r>
            <w:r>
              <w:rPr>
                <w:rFonts w:hint="eastAsia" w:ascii="Times New Roman" w:hAnsi="Times New Roman" w:cs="Times New Roman"/>
                <w:color w:val="FF0000"/>
                <w:sz w:val="24"/>
                <w:lang w:eastAsia="zh-CN"/>
              </w:rPr>
              <w:t>半年</w:t>
            </w:r>
            <w:r>
              <w:rPr>
                <w:rFonts w:ascii="Times New Roman" w:hAnsi="Times New Roman" w:cs="Times New Roman"/>
                <w:color w:val="FF0000"/>
                <w:sz w:val="24"/>
              </w:rPr>
              <w:t>监测一次。</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监测采样及分析方法：《环境监测技术规范》和《空气和废气监测分析方法》。</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fldChar w:fldCharType="begin"/>
            </w:r>
            <w:r>
              <w:rPr>
                <w:rFonts w:ascii="Times New Roman" w:hAnsi="Times New Roman" w:cs="Times New Roman"/>
                <w:color w:val="FF0000"/>
                <w:sz w:val="24"/>
              </w:rPr>
              <w:instrText xml:space="preserve"> = 2 \* GB3 </w:instrText>
            </w:r>
            <w:r>
              <w:rPr>
                <w:rFonts w:ascii="Times New Roman" w:hAnsi="Times New Roman" w:cs="Times New Roman"/>
                <w:color w:val="FF0000"/>
                <w:sz w:val="24"/>
              </w:rPr>
              <w:fldChar w:fldCharType="separate"/>
            </w:r>
            <w:r>
              <w:rPr>
                <w:rFonts w:ascii="Times New Roman" w:hAnsi="Times New Roman" w:cs="Times New Roman"/>
                <w:color w:val="FF0000"/>
                <w:sz w:val="24"/>
              </w:rPr>
              <w:t>②</w:t>
            </w:r>
            <w:r>
              <w:rPr>
                <w:rFonts w:ascii="Times New Roman" w:hAnsi="Times New Roman" w:cs="Times New Roman"/>
                <w:color w:val="FF0000"/>
                <w:sz w:val="24"/>
              </w:rPr>
              <w:fldChar w:fldCharType="end"/>
            </w:r>
            <w:r>
              <w:rPr>
                <w:rFonts w:ascii="Times New Roman" w:hAnsi="Times New Roman" w:cs="Times New Roman"/>
                <w:color w:val="FF0000"/>
                <w:sz w:val="24"/>
              </w:rPr>
              <w:t>监测数据的分析</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在监测过程中，如发现某参数有超标异常情况，应分析原因，及时采取措施。</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fldChar w:fldCharType="begin"/>
            </w:r>
            <w:r>
              <w:rPr>
                <w:rFonts w:ascii="Times New Roman" w:hAnsi="Times New Roman" w:cs="Times New Roman"/>
                <w:color w:val="FF0000"/>
                <w:sz w:val="24"/>
              </w:rPr>
              <w:instrText xml:space="preserve"> = 3 \* GB3 </w:instrText>
            </w:r>
            <w:r>
              <w:rPr>
                <w:rFonts w:ascii="Times New Roman" w:hAnsi="Times New Roman" w:cs="Times New Roman"/>
                <w:color w:val="FF0000"/>
                <w:sz w:val="24"/>
              </w:rPr>
              <w:fldChar w:fldCharType="separate"/>
            </w:r>
            <w:r>
              <w:rPr>
                <w:rFonts w:ascii="Times New Roman" w:hAnsi="Times New Roman" w:cs="Times New Roman"/>
                <w:color w:val="FF0000"/>
                <w:sz w:val="24"/>
              </w:rPr>
              <w:t>③</w:t>
            </w:r>
            <w:r>
              <w:rPr>
                <w:rFonts w:ascii="Times New Roman" w:hAnsi="Times New Roman" w:cs="Times New Roman"/>
                <w:color w:val="FF0000"/>
                <w:sz w:val="24"/>
              </w:rPr>
              <w:fldChar w:fldCharType="end"/>
            </w:r>
            <w:r>
              <w:rPr>
                <w:rFonts w:ascii="Times New Roman" w:hAnsi="Times New Roman" w:cs="Times New Roman"/>
                <w:color w:val="FF0000"/>
                <w:sz w:val="24"/>
              </w:rPr>
              <w:t xml:space="preserve"> 排污口规范化</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依据广东省环境保护局文件《广东省污染源排污口规范化设置导则》要求，所有广东省辖区内排放口均需按照要求申报登记排污口数量、位置以及所排放的主要污染物的种类、数量、浓度、排放去向等情况，并按规定设置与排污口相对应的环境保护图形标志牌。</w:t>
            </w:r>
          </w:p>
          <w:p>
            <w:pPr>
              <w:snapToGrid w:val="0"/>
              <w:spacing w:line="360" w:lineRule="auto"/>
              <w:ind w:firstLine="480" w:firstLineChars="200"/>
              <w:rPr>
                <w:rFonts w:hint="eastAsia" w:ascii="Times New Roman" w:hAnsi="Times New Roman" w:cs="Times New Roman"/>
                <w:color w:val="FF0000"/>
                <w:sz w:val="24"/>
              </w:rPr>
            </w:pPr>
            <w:r>
              <w:rPr>
                <w:rFonts w:hint="eastAsia" w:ascii="Times New Roman" w:hAnsi="Times New Roman" w:cs="Times New Roman"/>
                <w:color w:val="FF0000"/>
                <w:sz w:val="24"/>
              </w:rPr>
              <w:t>2）无组织废气监测计划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fldChar w:fldCharType="begin"/>
            </w:r>
            <w:r>
              <w:rPr>
                <w:rFonts w:ascii="Times New Roman" w:hAnsi="Times New Roman" w:cs="Times New Roman"/>
                <w:color w:val="FF0000"/>
                <w:sz w:val="24"/>
              </w:rPr>
              <w:instrText xml:space="preserve"> = 1 \* GB3 </w:instrText>
            </w:r>
            <w:r>
              <w:rPr>
                <w:rFonts w:ascii="Times New Roman" w:hAnsi="Times New Roman" w:cs="Times New Roman"/>
                <w:color w:val="FF0000"/>
                <w:sz w:val="24"/>
              </w:rPr>
              <w:fldChar w:fldCharType="separate"/>
            </w:r>
            <w:r>
              <w:rPr>
                <w:rFonts w:ascii="Times New Roman" w:hAnsi="Times New Roman" w:cs="Times New Roman"/>
                <w:color w:val="FF0000"/>
                <w:sz w:val="24"/>
              </w:rPr>
              <w:t>①</w:t>
            </w:r>
            <w:r>
              <w:rPr>
                <w:rFonts w:ascii="Times New Roman" w:hAnsi="Times New Roman" w:cs="Times New Roman"/>
                <w:color w:val="FF0000"/>
                <w:sz w:val="24"/>
              </w:rPr>
              <w:fldChar w:fldCharType="end"/>
            </w:r>
            <w:r>
              <w:rPr>
                <w:rFonts w:ascii="Times New Roman" w:hAnsi="Times New Roman" w:cs="Times New Roman"/>
                <w:color w:val="FF0000"/>
                <w:sz w:val="24"/>
              </w:rPr>
              <w:t>监测计划</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监测点布设：</w:t>
            </w:r>
            <w:r>
              <w:rPr>
                <w:rFonts w:hint="eastAsia" w:ascii="Times New Roman" w:hAnsi="Times New Roman" w:cs="Times New Roman"/>
                <w:color w:val="FF0000"/>
                <w:sz w:val="24"/>
              </w:rPr>
              <w:t>在单位周界外10m范围内上风向设1监测点，下风向设3监测点</w:t>
            </w:r>
            <w:r>
              <w:rPr>
                <w:rFonts w:ascii="Times New Roman" w:hAnsi="Times New Roman" w:cs="Times New Roman"/>
                <w:color w:val="FF0000"/>
                <w:sz w:val="24"/>
              </w:rPr>
              <w:t>。</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 xml:space="preserve">监测项目： </w:t>
            </w:r>
            <w:r>
              <w:rPr>
                <w:rFonts w:hint="eastAsia" w:ascii="Times New Roman" w:hAnsi="Times New Roman" w:cs="Times New Roman"/>
                <w:color w:val="FF0000"/>
                <w:sz w:val="24"/>
                <w:lang w:eastAsia="zh-CN"/>
              </w:rPr>
              <w:t>颗粒物</w:t>
            </w:r>
            <w:r>
              <w:rPr>
                <w:rFonts w:ascii="Times New Roman" w:hAnsi="Times New Roman" w:cs="Times New Roman"/>
                <w:color w:val="FF0000"/>
                <w:sz w:val="24"/>
              </w:rPr>
              <w:t>；</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监测频次：每</w:t>
            </w:r>
            <w:r>
              <w:rPr>
                <w:rFonts w:hint="eastAsia" w:ascii="Times New Roman" w:hAnsi="Times New Roman" w:cs="Times New Roman"/>
                <w:color w:val="FF0000"/>
                <w:sz w:val="24"/>
                <w:lang w:eastAsia="zh-CN"/>
              </w:rPr>
              <w:t>半年</w:t>
            </w:r>
            <w:r>
              <w:rPr>
                <w:rFonts w:ascii="Times New Roman" w:hAnsi="Times New Roman" w:cs="Times New Roman"/>
                <w:color w:val="FF0000"/>
                <w:sz w:val="24"/>
              </w:rPr>
              <w:t>监测一次。</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监测采样及分析方法：《环境监测技术规范》和《空气和废气监测分析方法》。</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fldChar w:fldCharType="begin"/>
            </w:r>
            <w:r>
              <w:rPr>
                <w:rFonts w:ascii="Times New Roman" w:hAnsi="Times New Roman" w:cs="Times New Roman"/>
                <w:color w:val="FF0000"/>
                <w:sz w:val="24"/>
              </w:rPr>
              <w:instrText xml:space="preserve"> = 2 \* GB3 </w:instrText>
            </w:r>
            <w:r>
              <w:rPr>
                <w:rFonts w:ascii="Times New Roman" w:hAnsi="Times New Roman" w:cs="Times New Roman"/>
                <w:color w:val="FF0000"/>
                <w:sz w:val="24"/>
              </w:rPr>
              <w:fldChar w:fldCharType="separate"/>
            </w:r>
            <w:r>
              <w:rPr>
                <w:rFonts w:ascii="Times New Roman" w:hAnsi="Times New Roman" w:cs="Times New Roman"/>
                <w:color w:val="FF0000"/>
                <w:sz w:val="24"/>
              </w:rPr>
              <w:t>②</w:t>
            </w:r>
            <w:r>
              <w:rPr>
                <w:rFonts w:ascii="Times New Roman" w:hAnsi="Times New Roman" w:cs="Times New Roman"/>
                <w:color w:val="FF0000"/>
                <w:sz w:val="24"/>
              </w:rPr>
              <w:fldChar w:fldCharType="end"/>
            </w:r>
            <w:r>
              <w:rPr>
                <w:rFonts w:ascii="Times New Roman" w:hAnsi="Times New Roman" w:cs="Times New Roman"/>
                <w:color w:val="FF0000"/>
                <w:sz w:val="24"/>
              </w:rPr>
              <w:t>监测数据的分析</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在监测过程中，如发现某参数有超标异常情况，应分析原因，及时采取措施。</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w:t>
            </w:r>
            <w:r>
              <w:rPr>
                <w:rFonts w:hint="eastAsia" w:ascii="Times New Roman" w:hAnsi="Times New Roman" w:cs="Times New Roman"/>
                <w:color w:val="FF0000"/>
                <w:sz w:val="24"/>
                <w:lang w:val="en-US" w:eastAsia="zh-CN"/>
              </w:rPr>
              <w:t>3</w:t>
            </w:r>
            <w:r>
              <w:rPr>
                <w:rFonts w:ascii="Times New Roman" w:hAnsi="Times New Roman" w:cs="Times New Roman"/>
                <w:color w:val="FF0000"/>
                <w:sz w:val="24"/>
              </w:rPr>
              <w:t>）噪声源监测</w:t>
            </w:r>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监测点布设：项目厂区东南西北边界布设</w:t>
            </w:r>
            <w:r>
              <w:rPr>
                <w:rFonts w:hint="eastAsia" w:ascii="Times New Roman" w:hAnsi="Times New Roman" w:cs="Times New Roman"/>
                <w:color w:val="FF0000"/>
                <w:sz w:val="24"/>
                <w:lang w:val="en-US" w:eastAsia="zh-CN"/>
              </w:rPr>
              <w:t>4</w:t>
            </w:r>
            <w:r>
              <w:rPr>
                <w:rFonts w:ascii="Times New Roman" w:hAnsi="Times New Roman" w:cs="Times New Roman"/>
                <w:color w:val="FF0000"/>
                <w:sz w:val="24"/>
              </w:rPr>
              <w:t>个监测点。</w:t>
            </w:r>
            <w:bookmarkStart w:id="29" w:name="_GoBack"/>
            <w:bookmarkEnd w:id="29"/>
          </w:p>
          <w:p>
            <w:pPr>
              <w:snapToGrid w:val="0"/>
              <w:spacing w:line="360" w:lineRule="auto"/>
              <w:ind w:firstLine="480" w:firstLineChars="200"/>
              <w:rPr>
                <w:rFonts w:ascii="Times New Roman" w:hAnsi="Times New Roman" w:cs="Times New Roman"/>
                <w:color w:val="FF0000"/>
                <w:sz w:val="24"/>
              </w:rPr>
            </w:pPr>
            <w:r>
              <w:rPr>
                <w:rFonts w:ascii="Times New Roman" w:hAnsi="Times New Roman" w:cs="Times New Roman"/>
                <w:color w:val="FF0000"/>
                <w:sz w:val="24"/>
              </w:rPr>
              <w:t>监测项目：等效连续A声级。</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监测频率：每</w:t>
            </w:r>
            <w:r>
              <w:rPr>
                <w:rFonts w:hint="eastAsia" w:ascii="Times New Roman" w:hAnsi="Times New Roman" w:cs="Times New Roman"/>
                <w:color w:val="FF0000"/>
                <w:sz w:val="24"/>
                <w:lang w:eastAsia="zh-CN"/>
              </w:rPr>
              <w:t>半年</w:t>
            </w:r>
            <w:r>
              <w:rPr>
                <w:rFonts w:ascii="Times New Roman" w:hAnsi="Times New Roman" w:cs="Times New Roman"/>
                <w:color w:val="FF0000"/>
                <w:sz w:val="24"/>
              </w:rPr>
              <w:t>监测一次，</w:t>
            </w:r>
            <w:r>
              <w:rPr>
                <w:rFonts w:hint="eastAsia" w:ascii="Times New Roman" w:hAnsi="Times New Roman" w:cs="Times New Roman"/>
                <w:color w:val="FF0000"/>
                <w:sz w:val="24"/>
              </w:rPr>
              <w:t>1天为1期，每天2</w:t>
            </w:r>
            <w:r>
              <w:rPr>
                <w:rFonts w:ascii="Times New Roman" w:hAnsi="Times New Roman" w:cs="Times New Roman"/>
                <w:color w:val="FF0000"/>
                <w:sz w:val="24"/>
              </w:rPr>
              <w:t>次</w:t>
            </w:r>
            <w:r>
              <w:rPr>
                <w:rFonts w:hint="eastAsia" w:ascii="Times New Roman" w:hAnsi="Times New Roman" w:cs="Times New Roman"/>
                <w:color w:val="FF0000"/>
                <w:sz w:val="24"/>
              </w:rPr>
              <w:t>，昼夜各1次。</w:t>
            </w:r>
          </w:p>
          <w:p>
            <w:pPr>
              <w:snapToGrid w:val="0"/>
              <w:spacing w:line="360" w:lineRule="auto"/>
              <w:ind w:firstLine="480" w:firstLineChars="200"/>
              <w:rPr>
                <w:rFonts w:hint="eastAsia" w:ascii="Times New Roman" w:hAnsi="Times New Roman" w:cs="Times New Roman"/>
                <w:color w:val="FF0000"/>
                <w:sz w:val="24"/>
              </w:rPr>
            </w:pPr>
            <w:r>
              <w:rPr>
                <w:rFonts w:ascii="Times New Roman" w:hAnsi="Times New Roman" w:cs="Times New Roman"/>
                <w:color w:val="FF0000"/>
                <w:sz w:val="24"/>
              </w:rPr>
              <w:t>监测采样及分析方法：《环境监测技术规范》。</w:t>
            </w:r>
          </w:p>
          <w:p>
            <w:pPr>
              <w:pStyle w:val="2"/>
              <w:rPr>
                <w:rFonts w:hint="eastAsia"/>
                <w:color w:val="auto"/>
                <w:lang w:eastAsia="zh-CN"/>
              </w:rPr>
            </w:pPr>
          </w:p>
          <w:p>
            <w:pPr>
              <w:adjustRightInd w:val="0"/>
              <w:spacing w:line="360" w:lineRule="auto"/>
              <w:rPr>
                <w:rFonts w:hint="eastAsia" w:eastAsia="宋体"/>
                <w:color w:val="auto"/>
                <w:sz w:val="24"/>
                <w:lang w:eastAsia="zh-CN"/>
              </w:rPr>
            </w:pPr>
          </w:p>
        </w:tc>
      </w:tr>
    </w:tbl>
    <w:p>
      <w:pPr>
        <w:spacing w:line="300" w:lineRule="auto"/>
        <w:rPr>
          <w:rFonts w:eastAsia="黑体"/>
          <w:color w:val="auto"/>
          <w:sz w:val="24"/>
        </w:rPr>
        <w:sectPr>
          <w:footerReference r:id="rId9"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pStyle w:val="3"/>
        <w:jc w:val="both"/>
        <w:rPr>
          <w:bCs/>
          <w:color w:val="auto"/>
          <w:kern w:val="18"/>
        </w:rPr>
      </w:pPr>
      <w:r>
        <w:rPr>
          <w:rStyle w:val="44"/>
          <w:b/>
          <w:bCs/>
          <w:color w:val="auto"/>
          <w:szCs w:val="28"/>
        </w:rPr>
        <w:t>项目采取的防治措施及预期治理效果</w:t>
      </w:r>
    </w:p>
    <w:tbl>
      <w:tblPr>
        <w:tblStyle w:val="3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340"/>
        <w:gridCol w:w="1134"/>
        <w:gridCol w:w="1417"/>
        <w:gridCol w:w="2885"/>
        <w:gridCol w:w="1226"/>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78" w:type="dxa"/>
            <w:tcBorders>
              <w:tl2br w:val="single" w:color="auto" w:sz="4" w:space="0"/>
            </w:tcBorders>
          </w:tcPr>
          <w:p>
            <w:pPr>
              <w:snapToGrid w:val="0"/>
              <w:spacing w:line="216" w:lineRule="auto"/>
              <w:rPr>
                <w:b/>
                <w:color w:val="auto"/>
                <w:sz w:val="24"/>
              </w:rPr>
            </w:pPr>
            <w:r>
              <w:rPr>
                <w:b/>
                <w:color w:val="auto"/>
                <w:sz w:val="24"/>
              </w:rPr>
              <w:t xml:space="preserve">  内容</w:t>
            </w:r>
          </w:p>
          <w:p>
            <w:pPr>
              <w:snapToGrid w:val="0"/>
              <w:spacing w:line="216" w:lineRule="auto"/>
              <w:rPr>
                <w:b/>
                <w:color w:val="auto"/>
                <w:sz w:val="24"/>
              </w:rPr>
            </w:pPr>
            <w:r>
              <w:rPr>
                <w:b/>
                <w:color w:val="auto"/>
                <w:sz w:val="24"/>
              </w:rPr>
              <w:t>类型</w:t>
            </w:r>
          </w:p>
        </w:tc>
        <w:tc>
          <w:tcPr>
            <w:tcW w:w="1474" w:type="dxa"/>
            <w:gridSpan w:val="2"/>
            <w:vAlign w:val="center"/>
          </w:tcPr>
          <w:p>
            <w:pPr>
              <w:snapToGrid w:val="0"/>
              <w:spacing w:line="216" w:lineRule="auto"/>
              <w:jc w:val="center"/>
              <w:rPr>
                <w:b/>
                <w:color w:val="auto"/>
                <w:sz w:val="24"/>
              </w:rPr>
            </w:pPr>
            <w:r>
              <w:rPr>
                <w:b/>
                <w:color w:val="auto"/>
                <w:sz w:val="24"/>
              </w:rPr>
              <w:t>排放源</w:t>
            </w:r>
          </w:p>
          <w:p>
            <w:pPr>
              <w:snapToGrid w:val="0"/>
              <w:spacing w:line="216" w:lineRule="auto"/>
              <w:jc w:val="center"/>
              <w:rPr>
                <w:b/>
                <w:color w:val="auto"/>
                <w:sz w:val="24"/>
              </w:rPr>
            </w:pPr>
            <w:r>
              <w:rPr>
                <w:b/>
                <w:color w:val="auto"/>
                <w:sz w:val="24"/>
              </w:rPr>
              <w:t>（编号）</w:t>
            </w:r>
          </w:p>
        </w:tc>
        <w:tc>
          <w:tcPr>
            <w:tcW w:w="1417" w:type="dxa"/>
            <w:vAlign w:val="center"/>
          </w:tcPr>
          <w:p>
            <w:pPr>
              <w:snapToGrid w:val="0"/>
              <w:spacing w:line="216" w:lineRule="auto"/>
              <w:jc w:val="center"/>
              <w:rPr>
                <w:b/>
                <w:color w:val="auto"/>
                <w:sz w:val="24"/>
              </w:rPr>
            </w:pPr>
            <w:r>
              <w:rPr>
                <w:b/>
                <w:color w:val="auto"/>
                <w:sz w:val="24"/>
              </w:rPr>
              <w:t>污染物名称</w:t>
            </w:r>
          </w:p>
        </w:tc>
        <w:tc>
          <w:tcPr>
            <w:tcW w:w="2885" w:type="dxa"/>
            <w:vAlign w:val="center"/>
          </w:tcPr>
          <w:p>
            <w:pPr>
              <w:snapToGrid w:val="0"/>
              <w:spacing w:line="216" w:lineRule="auto"/>
              <w:jc w:val="center"/>
              <w:rPr>
                <w:b/>
                <w:color w:val="auto"/>
                <w:sz w:val="24"/>
              </w:rPr>
            </w:pPr>
            <w:r>
              <w:rPr>
                <w:b/>
                <w:color w:val="auto"/>
                <w:sz w:val="24"/>
              </w:rPr>
              <w:t>防治措施</w:t>
            </w:r>
          </w:p>
        </w:tc>
        <w:tc>
          <w:tcPr>
            <w:tcW w:w="2506" w:type="dxa"/>
            <w:gridSpan w:val="2"/>
            <w:vAlign w:val="center"/>
          </w:tcPr>
          <w:p>
            <w:pPr>
              <w:snapToGrid w:val="0"/>
              <w:spacing w:line="216" w:lineRule="auto"/>
              <w:jc w:val="center"/>
              <w:rPr>
                <w:b/>
                <w:color w:val="auto"/>
                <w:sz w:val="24"/>
              </w:rPr>
            </w:pPr>
            <w:r>
              <w:rPr>
                <w:b/>
                <w:color w:val="auto"/>
                <w:sz w:val="24"/>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 w:hRule="atLeast"/>
        </w:trPr>
        <w:tc>
          <w:tcPr>
            <w:tcW w:w="1078" w:type="dxa"/>
            <w:vAlign w:val="center"/>
          </w:tcPr>
          <w:p>
            <w:pPr>
              <w:snapToGrid w:val="0"/>
              <w:spacing w:line="216" w:lineRule="auto"/>
              <w:jc w:val="center"/>
              <w:rPr>
                <w:b/>
                <w:color w:val="auto"/>
                <w:sz w:val="24"/>
              </w:rPr>
            </w:pPr>
            <w:r>
              <w:rPr>
                <w:b/>
                <w:color w:val="auto"/>
                <w:sz w:val="24"/>
              </w:rPr>
              <w:t>大</w:t>
            </w:r>
          </w:p>
          <w:p>
            <w:pPr>
              <w:snapToGrid w:val="0"/>
              <w:spacing w:line="216" w:lineRule="auto"/>
              <w:jc w:val="center"/>
              <w:rPr>
                <w:b/>
                <w:color w:val="auto"/>
                <w:sz w:val="24"/>
              </w:rPr>
            </w:pPr>
            <w:r>
              <w:rPr>
                <w:b/>
                <w:color w:val="auto"/>
                <w:sz w:val="24"/>
              </w:rPr>
              <w:t>气</w:t>
            </w:r>
          </w:p>
          <w:p>
            <w:pPr>
              <w:snapToGrid w:val="0"/>
              <w:spacing w:line="216" w:lineRule="auto"/>
              <w:jc w:val="center"/>
              <w:rPr>
                <w:b/>
                <w:color w:val="auto"/>
                <w:sz w:val="24"/>
              </w:rPr>
            </w:pPr>
            <w:r>
              <w:rPr>
                <w:b/>
                <w:color w:val="auto"/>
                <w:sz w:val="24"/>
              </w:rPr>
              <w:t>污</w:t>
            </w:r>
          </w:p>
          <w:p>
            <w:pPr>
              <w:snapToGrid w:val="0"/>
              <w:spacing w:line="216" w:lineRule="auto"/>
              <w:jc w:val="center"/>
              <w:rPr>
                <w:b/>
                <w:color w:val="auto"/>
                <w:sz w:val="24"/>
              </w:rPr>
            </w:pPr>
            <w:r>
              <w:rPr>
                <w:b/>
                <w:color w:val="auto"/>
                <w:sz w:val="24"/>
              </w:rPr>
              <w:t>染</w:t>
            </w:r>
          </w:p>
          <w:p>
            <w:pPr>
              <w:snapToGrid w:val="0"/>
              <w:spacing w:line="216" w:lineRule="auto"/>
              <w:jc w:val="center"/>
              <w:rPr>
                <w:b/>
                <w:color w:val="auto"/>
                <w:sz w:val="24"/>
              </w:rPr>
            </w:pPr>
            <w:r>
              <w:rPr>
                <w:b/>
                <w:color w:val="auto"/>
                <w:sz w:val="24"/>
              </w:rPr>
              <w:t>物</w:t>
            </w:r>
          </w:p>
        </w:tc>
        <w:tc>
          <w:tcPr>
            <w:tcW w:w="340" w:type="dxa"/>
            <w:vAlign w:val="center"/>
          </w:tcPr>
          <w:p>
            <w:pPr>
              <w:jc w:val="center"/>
              <w:rPr>
                <w:color w:val="auto"/>
                <w:szCs w:val="21"/>
              </w:rPr>
            </w:pPr>
            <w:r>
              <w:rPr>
                <w:color w:val="auto"/>
                <w:szCs w:val="21"/>
              </w:rPr>
              <w:t>运营期</w:t>
            </w:r>
          </w:p>
        </w:tc>
        <w:tc>
          <w:tcPr>
            <w:tcW w:w="1134" w:type="dxa"/>
            <w:vAlign w:val="center"/>
          </w:tcPr>
          <w:p>
            <w:pPr>
              <w:jc w:val="center"/>
              <w:rPr>
                <w:rFonts w:hint="eastAsia" w:eastAsia="宋体"/>
                <w:color w:val="auto"/>
                <w:szCs w:val="21"/>
                <w:lang w:eastAsia="zh-CN"/>
              </w:rPr>
            </w:pPr>
            <w:r>
              <w:rPr>
                <w:rFonts w:hint="eastAsia"/>
                <w:color w:val="auto"/>
                <w:szCs w:val="21"/>
                <w:lang w:eastAsia="zh-CN"/>
              </w:rPr>
              <w:t>打松、梳棉过程</w:t>
            </w:r>
          </w:p>
        </w:tc>
        <w:tc>
          <w:tcPr>
            <w:tcW w:w="1417" w:type="dxa"/>
            <w:vAlign w:val="center"/>
          </w:tcPr>
          <w:p>
            <w:pPr>
              <w:pStyle w:val="40"/>
              <w:jc w:val="center"/>
              <w:rPr>
                <w:rFonts w:eastAsia="宋体"/>
                <w:color w:val="auto"/>
                <w:sz w:val="21"/>
                <w:szCs w:val="21"/>
              </w:rPr>
            </w:pPr>
            <w:r>
              <w:rPr>
                <w:rFonts w:eastAsia="宋体"/>
                <w:color w:val="auto"/>
                <w:sz w:val="21"/>
                <w:szCs w:val="21"/>
              </w:rPr>
              <w:t>粉尘</w:t>
            </w:r>
          </w:p>
        </w:tc>
        <w:tc>
          <w:tcPr>
            <w:tcW w:w="2885" w:type="dxa"/>
            <w:vAlign w:val="center"/>
          </w:tcPr>
          <w:p>
            <w:pPr>
              <w:jc w:val="center"/>
              <w:rPr>
                <w:rFonts w:hint="eastAsia" w:eastAsia="宋体"/>
                <w:color w:val="auto"/>
                <w:szCs w:val="21"/>
                <w:lang w:eastAsia="zh-CN"/>
              </w:rPr>
            </w:pPr>
            <w:r>
              <w:rPr>
                <w:rFonts w:hint="eastAsia"/>
                <w:color w:val="auto"/>
                <w:szCs w:val="21"/>
                <w:lang w:eastAsia="zh-CN"/>
              </w:rPr>
              <w:t>经</w:t>
            </w:r>
            <w:r>
              <w:rPr>
                <w:rFonts w:hint="eastAsia"/>
                <w:color w:val="auto"/>
                <w:szCs w:val="21"/>
                <w:lang w:val="en-US" w:eastAsia="zh-CN"/>
              </w:rPr>
              <w:t>2台</w:t>
            </w:r>
            <w:r>
              <w:rPr>
                <w:rFonts w:hint="eastAsia"/>
                <w:color w:val="auto"/>
                <w:szCs w:val="21"/>
                <w:lang w:eastAsia="zh-CN"/>
              </w:rPr>
              <w:t>多筒式除尘机处理后由</w:t>
            </w:r>
            <w:r>
              <w:rPr>
                <w:rFonts w:hint="eastAsia"/>
                <w:color w:val="auto"/>
                <w:szCs w:val="21"/>
                <w:lang w:val="en-US" w:eastAsia="zh-CN"/>
              </w:rPr>
              <w:t>2根15m高排气筒高空排放</w:t>
            </w:r>
            <w:r>
              <w:rPr>
                <w:rFonts w:hint="eastAsia"/>
                <w:color w:val="auto"/>
                <w:szCs w:val="21"/>
              </w:rPr>
              <w:t>等</w:t>
            </w:r>
          </w:p>
        </w:tc>
        <w:tc>
          <w:tcPr>
            <w:tcW w:w="2506" w:type="dxa"/>
            <w:gridSpan w:val="2"/>
            <w:vAlign w:val="center"/>
          </w:tcPr>
          <w:p>
            <w:pPr>
              <w:rPr>
                <w:color w:val="auto"/>
                <w:szCs w:val="21"/>
              </w:rPr>
            </w:pPr>
            <w:r>
              <w:rPr>
                <w:rFonts w:hint="eastAsia"/>
                <w:color w:val="auto"/>
                <w:szCs w:val="21"/>
                <w:lang w:eastAsia="zh-CN"/>
              </w:rPr>
              <w:t>有组织废气</w:t>
            </w:r>
            <w:r>
              <w:rPr>
                <w:rFonts w:hint="eastAsia"/>
                <w:color w:val="auto"/>
                <w:szCs w:val="21"/>
              </w:rPr>
              <w:t>达到</w:t>
            </w:r>
            <w:r>
              <w:rPr>
                <w:color w:val="auto"/>
              </w:rPr>
              <w:t>广东省地方标准《大气污染物排放限值》（DB44/27-2001）第二时段</w:t>
            </w:r>
            <w:r>
              <w:rPr>
                <w:rFonts w:hint="eastAsia"/>
                <w:color w:val="auto"/>
                <w:lang w:eastAsia="zh-CN"/>
              </w:rPr>
              <w:t>二级标准</w:t>
            </w:r>
            <w:r>
              <w:rPr>
                <w:rFonts w:hint="eastAsia"/>
                <w:color w:val="auto"/>
                <w:szCs w:val="21"/>
              </w:rPr>
              <w:t>的要求</w:t>
            </w:r>
            <w:r>
              <w:rPr>
                <w:rFonts w:hint="eastAsia"/>
                <w:color w:val="auto"/>
                <w:szCs w:val="21"/>
                <w:lang w:eastAsia="zh-CN"/>
              </w:rPr>
              <w:t>，无组织废气达到该标准第二时段</w:t>
            </w:r>
            <w:r>
              <w:rPr>
                <w:color w:val="auto"/>
              </w:rPr>
              <w:t>无组织排放监控浓度限值</w:t>
            </w:r>
            <w:r>
              <w:rPr>
                <w:rFonts w:hint="eastAsia"/>
                <w:color w:val="auto"/>
                <w:lang w:eastAsia="zh-CN"/>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078" w:type="dxa"/>
            <w:vAlign w:val="center"/>
          </w:tcPr>
          <w:p>
            <w:pPr>
              <w:snapToGrid w:val="0"/>
              <w:spacing w:line="216" w:lineRule="auto"/>
              <w:jc w:val="center"/>
              <w:rPr>
                <w:b/>
                <w:color w:val="auto"/>
                <w:sz w:val="24"/>
              </w:rPr>
            </w:pPr>
            <w:r>
              <w:rPr>
                <w:b/>
                <w:color w:val="auto"/>
                <w:sz w:val="24"/>
              </w:rPr>
              <w:t>水</w:t>
            </w:r>
          </w:p>
          <w:p>
            <w:pPr>
              <w:snapToGrid w:val="0"/>
              <w:spacing w:line="216" w:lineRule="auto"/>
              <w:jc w:val="center"/>
              <w:rPr>
                <w:b/>
                <w:color w:val="auto"/>
                <w:sz w:val="24"/>
              </w:rPr>
            </w:pPr>
            <w:r>
              <w:rPr>
                <w:b/>
                <w:color w:val="auto"/>
                <w:sz w:val="24"/>
              </w:rPr>
              <w:t>污</w:t>
            </w:r>
          </w:p>
          <w:p>
            <w:pPr>
              <w:snapToGrid w:val="0"/>
              <w:spacing w:line="216" w:lineRule="auto"/>
              <w:jc w:val="center"/>
              <w:rPr>
                <w:b/>
                <w:color w:val="auto"/>
                <w:sz w:val="24"/>
              </w:rPr>
            </w:pPr>
            <w:r>
              <w:rPr>
                <w:b/>
                <w:color w:val="auto"/>
                <w:sz w:val="24"/>
              </w:rPr>
              <w:t>染</w:t>
            </w:r>
          </w:p>
          <w:p>
            <w:pPr>
              <w:snapToGrid w:val="0"/>
              <w:spacing w:line="216" w:lineRule="auto"/>
              <w:jc w:val="center"/>
              <w:rPr>
                <w:b/>
                <w:color w:val="auto"/>
                <w:sz w:val="24"/>
              </w:rPr>
            </w:pPr>
            <w:r>
              <w:rPr>
                <w:b/>
                <w:color w:val="auto"/>
                <w:sz w:val="24"/>
              </w:rPr>
              <w:t>物</w:t>
            </w:r>
          </w:p>
        </w:tc>
        <w:tc>
          <w:tcPr>
            <w:tcW w:w="340" w:type="dxa"/>
            <w:vAlign w:val="center"/>
          </w:tcPr>
          <w:p>
            <w:pPr>
              <w:jc w:val="center"/>
              <w:rPr>
                <w:color w:val="auto"/>
                <w:sz w:val="24"/>
              </w:rPr>
            </w:pPr>
            <w:r>
              <w:rPr>
                <w:color w:val="auto"/>
                <w:sz w:val="24"/>
              </w:rPr>
              <w:t>运营期</w:t>
            </w:r>
          </w:p>
        </w:tc>
        <w:tc>
          <w:tcPr>
            <w:tcW w:w="1134" w:type="dxa"/>
            <w:vAlign w:val="center"/>
          </w:tcPr>
          <w:p>
            <w:pPr>
              <w:jc w:val="center"/>
              <w:rPr>
                <w:color w:val="auto"/>
                <w:szCs w:val="21"/>
              </w:rPr>
            </w:pPr>
            <w:r>
              <w:rPr>
                <w:color w:val="auto"/>
                <w:szCs w:val="21"/>
              </w:rPr>
              <w:t>生活污水</w:t>
            </w:r>
          </w:p>
        </w:tc>
        <w:tc>
          <w:tcPr>
            <w:tcW w:w="1417" w:type="dxa"/>
            <w:vAlign w:val="center"/>
          </w:tcPr>
          <w:p>
            <w:pPr>
              <w:pStyle w:val="55"/>
              <w:rPr>
                <w:color w:val="auto"/>
                <w:sz w:val="21"/>
                <w:szCs w:val="21"/>
              </w:rPr>
            </w:pPr>
            <w:r>
              <w:rPr>
                <w:color w:val="auto"/>
                <w:sz w:val="21"/>
                <w:szCs w:val="21"/>
              </w:rPr>
              <w:t>CODcr</w:t>
            </w:r>
          </w:p>
          <w:p>
            <w:pPr>
              <w:pStyle w:val="55"/>
              <w:rPr>
                <w:color w:val="auto"/>
                <w:sz w:val="21"/>
                <w:szCs w:val="21"/>
              </w:rPr>
            </w:pPr>
            <w:r>
              <w:rPr>
                <w:color w:val="auto"/>
                <w:sz w:val="21"/>
                <w:szCs w:val="21"/>
              </w:rPr>
              <w:t>BOD</w:t>
            </w:r>
            <w:r>
              <w:rPr>
                <w:color w:val="auto"/>
                <w:sz w:val="21"/>
                <w:szCs w:val="21"/>
                <w:vertAlign w:val="subscript"/>
              </w:rPr>
              <w:t>5</w:t>
            </w:r>
          </w:p>
          <w:p>
            <w:pPr>
              <w:pStyle w:val="55"/>
              <w:rPr>
                <w:color w:val="auto"/>
                <w:sz w:val="21"/>
                <w:szCs w:val="21"/>
              </w:rPr>
            </w:pPr>
            <w:r>
              <w:rPr>
                <w:color w:val="auto"/>
                <w:sz w:val="21"/>
                <w:szCs w:val="21"/>
              </w:rPr>
              <w:t>SS</w:t>
            </w:r>
          </w:p>
          <w:p>
            <w:pPr>
              <w:pStyle w:val="55"/>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5391" w:type="dxa"/>
            <w:gridSpan w:val="3"/>
            <w:tcBorders>
              <w:bottom w:val="single" w:color="auto" w:sz="4" w:space="0"/>
            </w:tcBorders>
            <w:vAlign w:val="center"/>
          </w:tcPr>
          <w:p>
            <w:pPr>
              <w:jc w:val="center"/>
              <w:rPr>
                <w:color w:val="auto"/>
                <w:sz w:val="24"/>
              </w:rPr>
            </w:pPr>
            <w:r>
              <w:rPr>
                <w:color w:val="auto"/>
                <w:szCs w:val="21"/>
              </w:rPr>
              <w:t>生活污水经</w:t>
            </w:r>
            <w:r>
              <w:rPr>
                <w:rFonts w:hint="eastAsia"/>
                <w:color w:val="auto"/>
                <w:szCs w:val="21"/>
                <w:lang w:eastAsia="zh-CN"/>
              </w:rPr>
              <w:t>生化池</w:t>
            </w:r>
            <w:r>
              <w:rPr>
                <w:color w:val="auto"/>
                <w:szCs w:val="21"/>
              </w:rPr>
              <w:t>处理达到《城市污水再生利用 城市杂用水水质》（GB/T18920-2002）中城市绿化水质标准后用于</w:t>
            </w:r>
            <w:r>
              <w:rPr>
                <w:rFonts w:hint="eastAsia"/>
                <w:color w:val="auto"/>
                <w:szCs w:val="21"/>
              </w:rPr>
              <w:t>厂内绿化</w:t>
            </w:r>
            <w:r>
              <w:rPr>
                <w:color w:val="auto"/>
                <w:szCs w:val="21"/>
              </w:rPr>
              <w:t>灌溉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1078" w:type="dxa"/>
            <w:vMerge w:val="restart"/>
            <w:vAlign w:val="center"/>
          </w:tcPr>
          <w:p>
            <w:pPr>
              <w:snapToGrid w:val="0"/>
              <w:spacing w:line="216" w:lineRule="auto"/>
              <w:jc w:val="center"/>
              <w:rPr>
                <w:b/>
                <w:color w:val="auto"/>
                <w:sz w:val="24"/>
              </w:rPr>
            </w:pPr>
            <w:r>
              <w:rPr>
                <w:b/>
                <w:color w:val="auto"/>
                <w:sz w:val="24"/>
              </w:rPr>
              <w:t>固</w:t>
            </w:r>
          </w:p>
          <w:p>
            <w:pPr>
              <w:snapToGrid w:val="0"/>
              <w:spacing w:line="216" w:lineRule="auto"/>
              <w:jc w:val="center"/>
              <w:rPr>
                <w:b/>
                <w:color w:val="auto"/>
                <w:sz w:val="24"/>
              </w:rPr>
            </w:pPr>
            <w:r>
              <w:rPr>
                <w:b/>
                <w:color w:val="auto"/>
                <w:sz w:val="24"/>
              </w:rPr>
              <w:t>体</w:t>
            </w:r>
          </w:p>
          <w:p>
            <w:pPr>
              <w:snapToGrid w:val="0"/>
              <w:spacing w:line="216" w:lineRule="auto"/>
              <w:jc w:val="center"/>
              <w:rPr>
                <w:b/>
                <w:color w:val="auto"/>
                <w:sz w:val="24"/>
              </w:rPr>
            </w:pPr>
            <w:r>
              <w:rPr>
                <w:b/>
                <w:color w:val="auto"/>
                <w:sz w:val="24"/>
              </w:rPr>
              <w:t>废</w:t>
            </w:r>
          </w:p>
          <w:p>
            <w:pPr>
              <w:snapToGrid w:val="0"/>
              <w:spacing w:line="216" w:lineRule="auto"/>
              <w:jc w:val="center"/>
              <w:rPr>
                <w:b/>
                <w:color w:val="auto"/>
                <w:sz w:val="24"/>
              </w:rPr>
            </w:pPr>
            <w:r>
              <w:rPr>
                <w:b/>
                <w:color w:val="auto"/>
                <w:sz w:val="24"/>
              </w:rPr>
              <w:t>物</w:t>
            </w:r>
          </w:p>
        </w:tc>
        <w:tc>
          <w:tcPr>
            <w:tcW w:w="340" w:type="dxa"/>
            <w:vMerge w:val="restart"/>
            <w:vAlign w:val="center"/>
          </w:tcPr>
          <w:p>
            <w:pPr>
              <w:pStyle w:val="18"/>
              <w:snapToGrid w:val="0"/>
              <w:spacing w:line="216" w:lineRule="auto"/>
              <w:ind w:firstLine="0"/>
              <w:jc w:val="center"/>
              <w:rPr>
                <w:color w:val="auto"/>
              </w:rPr>
            </w:pPr>
            <w:r>
              <w:rPr>
                <w:color w:val="auto"/>
              </w:rPr>
              <w:t>运营期</w:t>
            </w:r>
          </w:p>
        </w:tc>
        <w:tc>
          <w:tcPr>
            <w:tcW w:w="1134" w:type="dxa"/>
            <w:vAlign w:val="center"/>
          </w:tcPr>
          <w:p>
            <w:pPr>
              <w:pStyle w:val="18"/>
              <w:snapToGrid w:val="0"/>
              <w:spacing w:line="216" w:lineRule="auto"/>
              <w:ind w:firstLine="0"/>
              <w:jc w:val="center"/>
              <w:rPr>
                <w:color w:val="auto"/>
                <w:sz w:val="21"/>
                <w:szCs w:val="21"/>
              </w:rPr>
            </w:pPr>
            <w:r>
              <w:rPr>
                <w:rFonts w:hint="eastAsia" w:ascii="Times New Roman" w:hAnsi="Times New Roman" w:eastAsia="宋体" w:cs="Times New Roman"/>
                <w:color w:val="auto"/>
                <w:kern w:val="2"/>
                <w:sz w:val="21"/>
                <w:szCs w:val="21"/>
                <w:lang w:val="en-US" w:eastAsia="zh-CN" w:bidi="ar-SA"/>
              </w:rPr>
              <w:t>打松、梳棉过程</w:t>
            </w:r>
          </w:p>
        </w:tc>
        <w:tc>
          <w:tcPr>
            <w:tcW w:w="1417" w:type="dxa"/>
            <w:vAlign w:val="center"/>
          </w:tcPr>
          <w:p>
            <w:pPr>
              <w:jc w:val="center"/>
              <w:rPr>
                <w:rFonts w:hint="eastAsia" w:eastAsia="宋体"/>
                <w:color w:val="auto"/>
                <w:szCs w:val="21"/>
                <w:lang w:eastAsia="zh-CN"/>
              </w:rPr>
            </w:pPr>
            <w:r>
              <w:rPr>
                <w:rFonts w:hint="eastAsia"/>
                <w:color w:val="auto"/>
                <w:szCs w:val="21"/>
                <w:lang w:eastAsia="zh-CN"/>
              </w:rPr>
              <w:t>边角料</w:t>
            </w:r>
          </w:p>
        </w:tc>
        <w:tc>
          <w:tcPr>
            <w:tcW w:w="4111" w:type="dxa"/>
            <w:gridSpan w:val="2"/>
            <w:vAlign w:val="center"/>
          </w:tcPr>
          <w:p>
            <w:pPr>
              <w:snapToGrid w:val="0"/>
              <w:spacing w:line="216" w:lineRule="auto"/>
              <w:jc w:val="center"/>
              <w:rPr>
                <w:rFonts w:hint="eastAsia" w:eastAsia="宋体"/>
                <w:color w:val="auto"/>
                <w:szCs w:val="21"/>
                <w:lang w:eastAsia="zh-CN"/>
              </w:rPr>
            </w:pPr>
            <w:r>
              <w:rPr>
                <w:rFonts w:hint="eastAsia" w:eastAsia="宋体"/>
                <w:color w:val="FF0000"/>
                <w:szCs w:val="21"/>
                <w:lang w:val="en-US" w:eastAsia="zh-CN"/>
              </w:rPr>
              <w:t>经回收后作为原料继续利用</w:t>
            </w:r>
          </w:p>
        </w:tc>
        <w:tc>
          <w:tcPr>
            <w:tcW w:w="1280" w:type="dxa"/>
            <w:vMerge w:val="restart"/>
            <w:vAlign w:val="center"/>
          </w:tcPr>
          <w:p>
            <w:pPr>
              <w:snapToGrid w:val="0"/>
              <w:spacing w:line="216" w:lineRule="auto"/>
              <w:jc w:val="center"/>
              <w:rPr>
                <w:color w:val="auto"/>
                <w:szCs w:val="21"/>
              </w:rPr>
            </w:pPr>
            <w:r>
              <w:rPr>
                <w:rFonts w:hint="eastAsia"/>
                <w:color w:val="auto"/>
                <w:szCs w:val="21"/>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trPr>
        <w:tc>
          <w:tcPr>
            <w:tcW w:w="1078" w:type="dxa"/>
            <w:vMerge w:val="continue"/>
            <w:vAlign w:val="center"/>
          </w:tcPr>
          <w:p>
            <w:pPr>
              <w:snapToGrid w:val="0"/>
              <w:spacing w:line="216" w:lineRule="auto"/>
              <w:jc w:val="center"/>
              <w:rPr>
                <w:b/>
                <w:color w:val="auto"/>
                <w:sz w:val="24"/>
              </w:rPr>
            </w:pPr>
          </w:p>
        </w:tc>
        <w:tc>
          <w:tcPr>
            <w:tcW w:w="340" w:type="dxa"/>
            <w:vMerge w:val="continue"/>
            <w:vAlign w:val="center"/>
          </w:tcPr>
          <w:p>
            <w:pPr>
              <w:pStyle w:val="18"/>
              <w:snapToGrid w:val="0"/>
              <w:spacing w:line="216" w:lineRule="auto"/>
              <w:ind w:firstLine="0"/>
              <w:jc w:val="center"/>
              <w:rPr>
                <w:color w:val="auto"/>
              </w:rPr>
            </w:pPr>
          </w:p>
        </w:tc>
        <w:tc>
          <w:tcPr>
            <w:tcW w:w="1134" w:type="dxa"/>
            <w:vAlign w:val="center"/>
          </w:tcPr>
          <w:p>
            <w:pPr>
              <w:jc w:val="center"/>
              <w:rPr>
                <w:rFonts w:hint="eastAsia" w:eastAsia="宋体"/>
                <w:bCs/>
                <w:color w:val="auto"/>
                <w:kern w:val="28"/>
                <w:szCs w:val="21"/>
                <w:lang w:eastAsia="zh-CN"/>
              </w:rPr>
            </w:pPr>
            <w:r>
              <w:rPr>
                <w:rFonts w:hint="eastAsia"/>
                <w:bCs/>
                <w:color w:val="auto"/>
                <w:kern w:val="28"/>
                <w:szCs w:val="21"/>
                <w:lang w:eastAsia="zh-CN"/>
              </w:rPr>
              <w:t>多筒式除尘机</w:t>
            </w:r>
          </w:p>
        </w:tc>
        <w:tc>
          <w:tcPr>
            <w:tcW w:w="1417" w:type="dxa"/>
            <w:vAlign w:val="center"/>
          </w:tcPr>
          <w:p>
            <w:pPr>
              <w:jc w:val="center"/>
              <w:rPr>
                <w:rFonts w:hint="eastAsia" w:eastAsia="宋体"/>
                <w:bCs/>
                <w:color w:val="auto"/>
                <w:kern w:val="28"/>
                <w:szCs w:val="21"/>
                <w:lang w:eastAsia="zh-CN"/>
              </w:rPr>
            </w:pPr>
            <w:r>
              <w:rPr>
                <w:rFonts w:hint="eastAsia"/>
                <w:bCs/>
                <w:color w:val="auto"/>
                <w:kern w:val="28"/>
                <w:szCs w:val="21"/>
                <w:lang w:eastAsia="zh-CN"/>
              </w:rPr>
              <w:t>粉尘</w:t>
            </w:r>
          </w:p>
        </w:tc>
        <w:tc>
          <w:tcPr>
            <w:tcW w:w="4111" w:type="dxa"/>
            <w:gridSpan w:val="2"/>
            <w:vAlign w:val="center"/>
          </w:tcPr>
          <w:p>
            <w:pPr>
              <w:snapToGrid w:val="0"/>
              <w:spacing w:line="216" w:lineRule="auto"/>
              <w:jc w:val="center"/>
              <w:rPr>
                <w:color w:val="auto"/>
                <w:szCs w:val="21"/>
              </w:rPr>
            </w:pPr>
            <w:r>
              <w:rPr>
                <w:color w:val="auto"/>
                <w:szCs w:val="21"/>
              </w:rPr>
              <w:t>环卫部处理</w:t>
            </w:r>
          </w:p>
        </w:tc>
        <w:tc>
          <w:tcPr>
            <w:tcW w:w="1280" w:type="dxa"/>
            <w:vMerge w:val="continue"/>
            <w:vAlign w:val="center"/>
          </w:tcPr>
          <w:p>
            <w:pPr>
              <w:snapToGrid w:val="0"/>
              <w:spacing w:line="216"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078" w:type="dxa"/>
            <w:vMerge w:val="continue"/>
            <w:vAlign w:val="center"/>
          </w:tcPr>
          <w:p>
            <w:pPr>
              <w:snapToGrid w:val="0"/>
              <w:spacing w:line="216" w:lineRule="auto"/>
              <w:jc w:val="center"/>
              <w:rPr>
                <w:b/>
                <w:color w:val="auto"/>
                <w:sz w:val="24"/>
              </w:rPr>
            </w:pPr>
          </w:p>
        </w:tc>
        <w:tc>
          <w:tcPr>
            <w:tcW w:w="340" w:type="dxa"/>
            <w:vMerge w:val="continue"/>
            <w:vAlign w:val="center"/>
          </w:tcPr>
          <w:p>
            <w:pPr>
              <w:pStyle w:val="18"/>
              <w:snapToGrid w:val="0"/>
              <w:spacing w:line="216" w:lineRule="auto"/>
              <w:ind w:firstLine="0"/>
              <w:jc w:val="center"/>
              <w:rPr>
                <w:color w:val="auto"/>
              </w:rPr>
            </w:pPr>
          </w:p>
        </w:tc>
        <w:tc>
          <w:tcPr>
            <w:tcW w:w="1134" w:type="dxa"/>
            <w:vAlign w:val="center"/>
          </w:tcPr>
          <w:p>
            <w:pPr>
              <w:pStyle w:val="18"/>
              <w:snapToGrid w:val="0"/>
              <w:spacing w:line="216" w:lineRule="auto"/>
              <w:ind w:firstLine="0"/>
              <w:jc w:val="center"/>
              <w:rPr>
                <w:color w:val="auto"/>
                <w:sz w:val="21"/>
                <w:szCs w:val="21"/>
              </w:rPr>
            </w:pPr>
            <w:r>
              <w:rPr>
                <w:color w:val="auto"/>
                <w:sz w:val="21"/>
                <w:szCs w:val="21"/>
              </w:rPr>
              <w:t>员工办公</w:t>
            </w:r>
          </w:p>
        </w:tc>
        <w:tc>
          <w:tcPr>
            <w:tcW w:w="1417" w:type="dxa"/>
            <w:vAlign w:val="center"/>
          </w:tcPr>
          <w:p>
            <w:pPr>
              <w:jc w:val="center"/>
              <w:rPr>
                <w:color w:val="auto"/>
                <w:szCs w:val="21"/>
              </w:rPr>
            </w:pPr>
            <w:r>
              <w:rPr>
                <w:color w:val="auto"/>
                <w:szCs w:val="21"/>
              </w:rPr>
              <w:t>生活垃圾</w:t>
            </w:r>
          </w:p>
        </w:tc>
        <w:tc>
          <w:tcPr>
            <w:tcW w:w="4111" w:type="dxa"/>
            <w:gridSpan w:val="2"/>
            <w:vAlign w:val="center"/>
          </w:tcPr>
          <w:p>
            <w:pPr>
              <w:snapToGrid w:val="0"/>
              <w:spacing w:line="216" w:lineRule="auto"/>
              <w:jc w:val="center"/>
              <w:rPr>
                <w:color w:val="auto"/>
                <w:szCs w:val="21"/>
              </w:rPr>
            </w:pPr>
            <w:r>
              <w:rPr>
                <w:color w:val="auto"/>
                <w:szCs w:val="21"/>
              </w:rPr>
              <w:t>环卫部处理</w:t>
            </w:r>
          </w:p>
        </w:tc>
        <w:tc>
          <w:tcPr>
            <w:tcW w:w="1280" w:type="dxa"/>
            <w:vMerge w:val="continue"/>
            <w:vAlign w:val="center"/>
          </w:tcPr>
          <w:p>
            <w:pPr>
              <w:snapToGrid w:val="0"/>
              <w:spacing w:line="216" w:lineRule="auto"/>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1078" w:type="dxa"/>
            <w:vAlign w:val="center"/>
          </w:tcPr>
          <w:p>
            <w:pPr>
              <w:snapToGrid w:val="0"/>
              <w:jc w:val="center"/>
              <w:rPr>
                <w:b/>
                <w:color w:val="auto"/>
                <w:sz w:val="24"/>
              </w:rPr>
            </w:pPr>
            <w:r>
              <w:rPr>
                <w:b/>
                <w:color w:val="auto"/>
                <w:sz w:val="24"/>
              </w:rPr>
              <w:t>噪</w:t>
            </w:r>
          </w:p>
          <w:p>
            <w:pPr>
              <w:snapToGrid w:val="0"/>
              <w:jc w:val="center"/>
              <w:rPr>
                <w:b/>
                <w:color w:val="auto"/>
                <w:sz w:val="24"/>
              </w:rPr>
            </w:pPr>
            <w:r>
              <w:rPr>
                <w:b/>
                <w:color w:val="auto"/>
                <w:sz w:val="24"/>
              </w:rPr>
              <w:t>声</w:t>
            </w:r>
          </w:p>
        </w:tc>
        <w:tc>
          <w:tcPr>
            <w:tcW w:w="340" w:type="dxa"/>
            <w:vAlign w:val="center"/>
          </w:tcPr>
          <w:p>
            <w:pPr>
              <w:jc w:val="center"/>
              <w:rPr>
                <w:color w:val="auto"/>
                <w:szCs w:val="21"/>
              </w:rPr>
            </w:pPr>
            <w:r>
              <w:rPr>
                <w:color w:val="auto"/>
                <w:szCs w:val="21"/>
              </w:rPr>
              <w:t>运营期</w:t>
            </w:r>
          </w:p>
        </w:tc>
        <w:tc>
          <w:tcPr>
            <w:tcW w:w="1134" w:type="dxa"/>
            <w:vAlign w:val="center"/>
          </w:tcPr>
          <w:p>
            <w:pPr>
              <w:jc w:val="center"/>
              <w:rPr>
                <w:color w:val="auto"/>
                <w:szCs w:val="21"/>
              </w:rPr>
            </w:pPr>
            <w:r>
              <w:rPr>
                <w:color w:val="auto"/>
                <w:szCs w:val="21"/>
              </w:rPr>
              <w:t>设备噪声</w:t>
            </w:r>
          </w:p>
        </w:tc>
        <w:tc>
          <w:tcPr>
            <w:tcW w:w="1417" w:type="dxa"/>
            <w:vAlign w:val="center"/>
          </w:tcPr>
          <w:p>
            <w:pPr>
              <w:rPr>
                <w:color w:val="auto"/>
                <w:szCs w:val="21"/>
              </w:rPr>
            </w:pPr>
            <w:r>
              <w:rPr>
                <w:color w:val="auto"/>
                <w:szCs w:val="21"/>
              </w:rPr>
              <w:t>基础减震、距离衰减等</w:t>
            </w:r>
          </w:p>
        </w:tc>
        <w:tc>
          <w:tcPr>
            <w:tcW w:w="5391" w:type="dxa"/>
            <w:gridSpan w:val="3"/>
            <w:vAlign w:val="center"/>
          </w:tcPr>
          <w:p>
            <w:pPr>
              <w:rPr>
                <w:color w:val="auto"/>
              </w:rPr>
            </w:pPr>
            <w:r>
              <w:rPr>
                <w:color w:val="auto"/>
              </w:rPr>
              <w:t>营运期厂界噪声排放满足《工业企业厂界环境噪声排放标准》（GB12348-2008）中的2类标准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1078" w:type="dxa"/>
            <w:vAlign w:val="center"/>
          </w:tcPr>
          <w:p>
            <w:pPr>
              <w:jc w:val="center"/>
              <w:rPr>
                <w:b/>
                <w:color w:val="auto"/>
                <w:sz w:val="24"/>
              </w:rPr>
            </w:pPr>
            <w:r>
              <w:rPr>
                <w:b/>
                <w:color w:val="auto"/>
                <w:sz w:val="24"/>
              </w:rPr>
              <w:t>其</w:t>
            </w:r>
          </w:p>
          <w:p>
            <w:pPr>
              <w:jc w:val="center"/>
              <w:rPr>
                <w:b/>
                <w:color w:val="auto"/>
                <w:sz w:val="24"/>
              </w:rPr>
            </w:pPr>
            <w:r>
              <w:rPr>
                <w:b/>
                <w:color w:val="auto"/>
                <w:sz w:val="24"/>
              </w:rPr>
              <w:t>他</w:t>
            </w:r>
          </w:p>
        </w:tc>
        <w:tc>
          <w:tcPr>
            <w:tcW w:w="8282" w:type="dxa"/>
            <w:gridSpan w:val="6"/>
            <w:vAlign w:val="center"/>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4" w:hRule="atLeast"/>
        </w:trPr>
        <w:tc>
          <w:tcPr>
            <w:tcW w:w="9360" w:type="dxa"/>
            <w:gridSpan w:val="7"/>
          </w:tcPr>
          <w:p>
            <w:pPr>
              <w:widowControl/>
              <w:tabs>
                <w:tab w:val="left" w:pos="945"/>
              </w:tabs>
              <w:autoSpaceDE w:val="0"/>
              <w:autoSpaceDN w:val="0"/>
              <w:spacing w:line="360" w:lineRule="auto"/>
              <w:jc w:val="left"/>
              <w:rPr>
                <w:b/>
                <w:color w:val="auto"/>
                <w:sz w:val="24"/>
              </w:rPr>
            </w:pPr>
            <w:r>
              <w:rPr>
                <w:b/>
                <w:color w:val="auto"/>
                <w:sz w:val="24"/>
              </w:rPr>
              <w:t>主要生态影响(不够时可附另页):</w:t>
            </w:r>
          </w:p>
          <w:p>
            <w:pPr>
              <w:spacing w:line="360" w:lineRule="auto"/>
              <w:ind w:firstLine="480" w:firstLineChars="200"/>
              <w:rPr>
                <w:color w:val="auto"/>
                <w:sz w:val="24"/>
              </w:rPr>
            </w:pPr>
            <w:r>
              <w:rPr>
                <w:color w:val="auto"/>
                <w:sz w:val="24"/>
              </w:rPr>
              <w:t>1、合理厂区内的生产布局，防治内环境的污染。</w:t>
            </w:r>
          </w:p>
          <w:p>
            <w:pPr>
              <w:spacing w:line="360" w:lineRule="auto"/>
              <w:ind w:firstLine="480" w:firstLineChars="200"/>
              <w:rPr>
                <w:color w:val="auto"/>
                <w:sz w:val="24"/>
              </w:rPr>
            </w:pPr>
            <w:r>
              <w:rPr>
                <w:color w:val="auto"/>
                <w:sz w:val="24"/>
              </w:rPr>
              <w:t>2、按上述措施对各种污染物进行有效的治理，可降低其对周围生态环境的影响，并搞好周围的绿化、美化，以减少对附近区域生态环境的影响。</w:t>
            </w:r>
          </w:p>
          <w:p>
            <w:pPr>
              <w:spacing w:line="360" w:lineRule="auto"/>
              <w:ind w:firstLine="480" w:firstLineChars="200"/>
              <w:rPr>
                <w:color w:val="auto"/>
                <w:sz w:val="24"/>
              </w:rPr>
            </w:pPr>
            <w:r>
              <w:rPr>
                <w:color w:val="auto"/>
                <w:sz w:val="24"/>
              </w:rPr>
              <w:t>3、实施清洁生产，从源头到污染物的排放全过程控制，实现节能、降耗、减污、增效的目标。</w:t>
            </w:r>
          </w:p>
          <w:p>
            <w:pPr>
              <w:spacing w:line="360" w:lineRule="auto"/>
              <w:ind w:firstLine="480" w:firstLineChars="200"/>
              <w:rPr>
                <w:color w:val="auto"/>
                <w:sz w:val="24"/>
              </w:rPr>
            </w:pPr>
            <w:r>
              <w:rPr>
                <w:color w:val="auto"/>
                <w:sz w:val="24"/>
              </w:rPr>
              <w:t>4、加强生态建设，实行综合利用和资源化再生产。</w:t>
            </w:r>
          </w:p>
        </w:tc>
      </w:tr>
    </w:tbl>
    <w:p>
      <w:pPr>
        <w:rPr>
          <w:color w:val="auto"/>
          <w:sz w:val="28"/>
        </w:rPr>
        <w:sectPr>
          <w:footerReference r:id="rId10"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keepNext/>
        <w:outlineLvl w:val="0"/>
        <w:rPr>
          <w:b/>
          <w:color w:val="auto"/>
          <w:sz w:val="30"/>
          <w:szCs w:val="30"/>
        </w:rPr>
      </w:pPr>
      <w:bookmarkStart w:id="12" w:name="_Toc244053175"/>
      <w:r>
        <w:rPr>
          <w:b/>
          <w:color w:val="auto"/>
          <w:sz w:val="30"/>
          <w:szCs w:val="30"/>
        </w:rPr>
        <w:t>产业政策、选址合理性分析</w:t>
      </w:r>
      <w:bookmarkEnd w:id="12"/>
    </w:p>
    <w:tbl>
      <w:tblPr>
        <w:tblStyle w:val="31"/>
        <w:tblW w:w="928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005" w:hRule="atLeast"/>
          <w:jc w:val="center"/>
        </w:trPr>
        <w:tc>
          <w:tcPr>
            <w:tcW w:w="9280" w:type="dxa"/>
          </w:tcPr>
          <w:p>
            <w:pPr>
              <w:adjustRightInd w:val="0"/>
              <w:snapToGrid w:val="0"/>
              <w:spacing w:line="360" w:lineRule="auto"/>
              <w:ind w:firstLine="482"/>
              <w:rPr>
                <w:b/>
                <w:bCs/>
                <w:color w:val="auto"/>
                <w:sz w:val="24"/>
                <w:szCs w:val="20"/>
              </w:rPr>
            </w:pPr>
            <w:r>
              <w:rPr>
                <w:b/>
                <w:bCs/>
                <w:color w:val="auto"/>
                <w:sz w:val="24"/>
                <w:szCs w:val="20"/>
              </w:rPr>
              <w:t>1、产业政策符合性分析</w:t>
            </w:r>
          </w:p>
          <w:p>
            <w:pPr>
              <w:spacing w:line="360" w:lineRule="auto"/>
              <w:ind w:firstLine="480" w:firstLineChars="200"/>
              <w:rPr>
                <w:rFonts w:hint="eastAsia" w:eastAsia="宋体"/>
                <w:color w:val="auto"/>
                <w:sz w:val="24"/>
                <w:lang w:val="en-US" w:eastAsia="zh-CN"/>
              </w:rPr>
            </w:pPr>
            <w:r>
              <w:rPr>
                <w:rFonts w:hint="eastAsia"/>
                <w:color w:val="auto"/>
                <w:sz w:val="24"/>
                <w:lang w:eastAsia="zh-CN"/>
              </w:rPr>
              <w:t>普宁市梅塘强彬纺织厂</w:t>
            </w:r>
            <w:r>
              <w:rPr>
                <w:color w:val="auto"/>
                <w:sz w:val="24"/>
              </w:rPr>
              <w:t>主要生产</w:t>
            </w:r>
            <w:r>
              <w:rPr>
                <w:rFonts w:hint="eastAsia"/>
                <w:color w:val="auto"/>
                <w:sz w:val="24"/>
                <w:lang w:eastAsia="zh-CN"/>
              </w:rPr>
              <w:t>再生棉</w:t>
            </w:r>
            <w:r>
              <w:rPr>
                <w:color w:val="auto"/>
                <w:sz w:val="24"/>
              </w:rPr>
              <w:t>，根据国家发展和改革委员会令第9号《产业结构调整指导目录》（2011年本，及其2013年修正）、广东省发展和改革委员会于2008年3月17日颁布实施的《产业结构调整指导目录（2007年本）》</w:t>
            </w:r>
            <w:r>
              <w:rPr>
                <w:rFonts w:hint="eastAsia"/>
                <w:color w:val="auto"/>
                <w:sz w:val="24"/>
                <w:lang w:eastAsia="zh-CN"/>
              </w:rPr>
              <w:t>，本项目属于</w:t>
            </w:r>
            <w:r>
              <w:rPr>
                <w:color w:val="auto"/>
                <w:sz w:val="24"/>
              </w:rPr>
              <w:t>《产业结构调整指导目录》（2011年本，及其2013年修正）</w:t>
            </w:r>
            <w:r>
              <w:rPr>
                <w:rFonts w:hint="eastAsia"/>
                <w:color w:val="auto"/>
                <w:sz w:val="24"/>
                <w:lang w:eastAsia="zh-CN"/>
              </w:rPr>
              <w:t xml:space="preserve">中鼓励类“二十、纺织 </w:t>
            </w:r>
            <w:r>
              <w:rPr>
                <w:rFonts w:hint="eastAsia"/>
                <w:color w:val="auto"/>
                <w:sz w:val="24"/>
                <w:lang w:val="en-US" w:eastAsia="zh-CN"/>
              </w:rPr>
              <w:t>14、废旧纺织品回收再利用技术与产品生产，聚酯回收材料生产涤纶工业丝、差别化和功能性涤纶长丝等高附加价值产品”。不属于</w:t>
            </w:r>
            <w:r>
              <w:rPr>
                <w:color w:val="auto"/>
                <w:sz w:val="24"/>
              </w:rPr>
              <w:t>《产业结构调整指导目录》（2011年本，及其2013年修正）、广东省《产业结构调整指导目录（2007年本）》</w:t>
            </w:r>
            <w:r>
              <w:rPr>
                <w:rFonts w:hint="eastAsia"/>
                <w:color w:val="auto"/>
                <w:sz w:val="24"/>
                <w:lang w:eastAsia="zh-CN"/>
              </w:rPr>
              <w:t>中的限制类和淘汰类。</w:t>
            </w:r>
          </w:p>
          <w:p>
            <w:pPr>
              <w:adjustRightInd w:val="0"/>
              <w:snapToGrid w:val="0"/>
              <w:spacing w:line="360" w:lineRule="auto"/>
              <w:rPr>
                <w:color w:val="auto"/>
                <w:sz w:val="24"/>
                <w:szCs w:val="22"/>
              </w:rPr>
            </w:pPr>
            <w:r>
              <w:rPr>
                <w:rFonts w:hint="eastAsia"/>
                <w:color w:val="auto"/>
                <w:sz w:val="24"/>
                <w:szCs w:val="22"/>
                <w:lang w:eastAsia="zh-CN"/>
              </w:rPr>
              <w:t>因此，</w:t>
            </w:r>
            <w:r>
              <w:rPr>
                <w:color w:val="auto"/>
                <w:sz w:val="24"/>
                <w:szCs w:val="22"/>
              </w:rPr>
              <w:t>本项目的建设符合国家、广东省的相关产业政策。</w:t>
            </w:r>
          </w:p>
          <w:p>
            <w:pPr>
              <w:pStyle w:val="46"/>
              <w:adjustRightInd w:val="0"/>
              <w:snapToGrid/>
              <w:ind w:firstLine="480" w:firstLineChars="200"/>
              <w:rPr>
                <w:rFonts w:hint="default" w:ascii="Times New Roman" w:hAnsi="Times New Roman" w:eastAsia="宋体" w:cs="Times New Roman"/>
                <w:color w:val="FF0000"/>
                <w:lang w:val="en-US" w:eastAsia="zh-CN"/>
              </w:rPr>
            </w:pPr>
            <w:r>
              <w:rPr>
                <w:rFonts w:hint="default" w:ascii="Times New Roman" w:hAnsi="Times New Roman" w:eastAsia="宋体" w:cs="Times New Roman"/>
                <w:color w:val="FF0000"/>
                <w:sz w:val="24"/>
                <w:lang w:eastAsia="zh-CN"/>
              </w:rPr>
              <w:t>《国务院关于加快发展生产性服务业促进产业结构调整升级的指导意见》（国发[2014]26号）要求“</w:t>
            </w:r>
            <w:r>
              <w:rPr>
                <w:rFonts w:hint="default" w:ascii="Times New Roman" w:hAnsi="Times New Roman" w:eastAsia="宋体" w:cs="Times New Roman"/>
                <w:i w:val="0"/>
                <w:caps w:val="0"/>
                <w:color w:val="FF0000"/>
                <w:spacing w:val="0"/>
                <w:sz w:val="24"/>
                <w:szCs w:val="24"/>
                <w:shd w:val="clear" w:fill="FFFFFF"/>
              </w:rPr>
              <w:t>鼓励制造业与相关产业协同处置工业“三废”及社会废弃物，发展节能减排投融资、清洁生产审核及咨询等节能环保服务。</w:t>
            </w:r>
            <w:r>
              <w:rPr>
                <w:rFonts w:hint="default" w:ascii="Times New Roman" w:hAnsi="Times New Roman" w:eastAsia="宋体" w:cs="Times New Roman"/>
                <w:i w:val="0"/>
                <w:caps w:val="0"/>
                <w:color w:val="FF0000"/>
                <w:spacing w:val="0"/>
                <w:sz w:val="24"/>
                <w:szCs w:val="24"/>
                <w:shd w:val="clear" w:fill="FFFFFF"/>
                <w:lang w:eastAsia="zh-CN"/>
              </w:rPr>
              <w:t>”本项目主要利用碎布加工成再生棉。</w:t>
            </w:r>
            <w:r>
              <w:rPr>
                <w:rFonts w:hint="default" w:ascii="Times New Roman" w:hAnsi="Times New Roman" w:eastAsia="宋体" w:cs="Times New Roman"/>
                <w:color w:val="FF0000"/>
                <w:lang w:val="en-US" w:eastAsia="zh-CN"/>
              </w:rPr>
              <w:t>碎布是纺织厂生产中常见废料和人们日常生活中产生的常见废品，完全可以重新再生加以利用，价格比棉花便宜，利用碎布开松加棉加工成再生棉，对于实现企业节能降耗、降低生产成本、提高经济效益具有明显的积极作用。因此，本项目的建设主要利用纺织工业”三废“和社会废弃物，实现节能减排，符合</w:t>
            </w:r>
            <w:r>
              <w:rPr>
                <w:rFonts w:hint="default" w:ascii="Times New Roman" w:hAnsi="Times New Roman" w:eastAsia="宋体" w:cs="Times New Roman"/>
                <w:color w:val="FF0000"/>
                <w:sz w:val="24"/>
                <w:lang w:eastAsia="zh-CN"/>
              </w:rPr>
              <w:t>《国务院关于加快发展生产性服务业促进产业结构调整升级的指导意见》（国发[2014]26号）的要求。</w:t>
            </w:r>
          </w:p>
          <w:p>
            <w:pPr>
              <w:adjustRightInd w:val="0"/>
              <w:snapToGrid w:val="0"/>
              <w:spacing w:line="360" w:lineRule="auto"/>
              <w:ind w:firstLine="482" w:firstLineChars="200"/>
              <w:rPr>
                <w:b/>
                <w:bCs/>
                <w:color w:val="auto"/>
                <w:sz w:val="24"/>
              </w:rPr>
            </w:pPr>
            <w:r>
              <w:rPr>
                <w:b/>
                <w:color w:val="auto"/>
                <w:sz w:val="24"/>
              </w:rPr>
              <w:t>2、与</w:t>
            </w:r>
            <w:bookmarkStart w:id="13" w:name="_Toc515265003"/>
            <w:r>
              <w:rPr>
                <w:b/>
                <w:bCs/>
                <w:color w:val="auto"/>
                <w:sz w:val="24"/>
              </w:rPr>
              <w:t>城市总体规划的相符性</w:t>
            </w:r>
            <w:bookmarkEnd w:id="13"/>
            <w:r>
              <w:rPr>
                <w:b/>
                <w:bCs/>
                <w:color w:val="auto"/>
                <w:sz w:val="24"/>
              </w:rPr>
              <w:t>分析</w:t>
            </w:r>
          </w:p>
          <w:p>
            <w:pPr>
              <w:adjustRightInd w:val="0"/>
              <w:snapToGrid w:val="0"/>
              <w:spacing w:line="360" w:lineRule="auto"/>
              <w:ind w:firstLine="480" w:firstLineChars="200"/>
              <w:rPr>
                <w:color w:val="auto"/>
                <w:sz w:val="24"/>
                <w:szCs w:val="22"/>
              </w:rPr>
            </w:pPr>
            <w:r>
              <w:rPr>
                <w:color w:val="auto"/>
                <w:sz w:val="24"/>
                <w:szCs w:val="22"/>
              </w:rPr>
              <w:t>根据《普宁市城市总体规划(2015-203</w:t>
            </w:r>
            <w:r>
              <w:rPr>
                <w:rFonts w:hint="eastAsia"/>
                <w:color w:val="auto"/>
                <w:sz w:val="24"/>
                <w:szCs w:val="22"/>
              </w:rPr>
              <w:t>5</w:t>
            </w:r>
            <w:r>
              <w:rPr>
                <w:color w:val="auto"/>
                <w:sz w:val="24"/>
                <w:szCs w:val="22"/>
              </w:rPr>
              <w:t>年)》，规划形成“一主三副，两轴五支点”的市域城镇空间总体结构。市域城镇空间结构规划见表9-</w:t>
            </w:r>
            <w:r>
              <w:rPr>
                <w:rFonts w:hint="eastAsia"/>
                <w:color w:val="auto"/>
                <w:sz w:val="24"/>
                <w:szCs w:val="22"/>
                <w:lang w:val="en-US" w:eastAsia="zh-CN"/>
              </w:rPr>
              <w:t>1</w:t>
            </w:r>
            <w:r>
              <w:rPr>
                <w:color w:val="auto"/>
                <w:sz w:val="24"/>
                <w:szCs w:val="22"/>
              </w:rPr>
              <w:t>。</w:t>
            </w:r>
          </w:p>
          <w:p>
            <w:pPr>
              <w:adjustRightInd w:val="0"/>
              <w:spacing w:line="360" w:lineRule="auto"/>
              <w:ind w:firstLine="482" w:firstLineChars="200"/>
              <w:jc w:val="center"/>
              <w:rPr>
                <w:color w:val="auto"/>
                <w:sz w:val="24"/>
              </w:rPr>
            </w:pPr>
            <w:r>
              <w:rPr>
                <w:b/>
                <w:color w:val="auto"/>
                <w:sz w:val="24"/>
              </w:rPr>
              <w:t xml:space="preserve"> 表9-</w:t>
            </w:r>
            <w:r>
              <w:rPr>
                <w:rFonts w:hint="eastAsia"/>
                <w:b/>
                <w:color w:val="auto"/>
                <w:sz w:val="24"/>
                <w:lang w:val="en-US" w:eastAsia="zh-CN"/>
              </w:rPr>
              <w:t>1</w:t>
            </w:r>
            <w:r>
              <w:rPr>
                <w:b/>
                <w:color w:val="auto"/>
                <w:sz w:val="24"/>
              </w:rPr>
              <w:t xml:space="preserve">  </w:t>
            </w:r>
            <w:r>
              <w:rPr>
                <w:b/>
                <w:bCs/>
                <w:color w:val="auto"/>
                <w:sz w:val="24"/>
              </w:rPr>
              <w:t>市域城镇空间结构规划</w:t>
            </w:r>
          </w:p>
          <w:tbl>
            <w:tblPr>
              <w:tblStyle w:val="31"/>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2410"/>
              <w:gridCol w:w="4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center"/>
                </w:tcPr>
                <w:p>
                  <w:pPr>
                    <w:jc w:val="center"/>
                    <w:rPr>
                      <w:b/>
                      <w:bCs/>
                      <w:color w:val="auto"/>
                      <w:kern w:val="0"/>
                      <w:szCs w:val="21"/>
                    </w:rPr>
                  </w:pPr>
                  <w:r>
                    <w:rPr>
                      <w:rFonts w:hint="eastAsia"/>
                      <w:b/>
                      <w:bCs/>
                      <w:color w:val="auto"/>
                      <w:kern w:val="0"/>
                      <w:szCs w:val="21"/>
                    </w:rPr>
                    <w:t>空间结构规划</w:t>
                  </w:r>
                </w:p>
              </w:tc>
              <w:tc>
                <w:tcPr>
                  <w:tcW w:w="2410" w:type="dxa"/>
                  <w:vAlign w:val="center"/>
                </w:tcPr>
                <w:p>
                  <w:pPr>
                    <w:jc w:val="center"/>
                    <w:rPr>
                      <w:b/>
                      <w:bCs/>
                      <w:color w:val="auto"/>
                      <w:kern w:val="0"/>
                      <w:szCs w:val="21"/>
                    </w:rPr>
                  </w:pPr>
                  <w:r>
                    <w:rPr>
                      <w:rFonts w:hint="eastAsia"/>
                      <w:b/>
                      <w:bCs/>
                      <w:color w:val="auto"/>
                      <w:kern w:val="0"/>
                      <w:szCs w:val="21"/>
                    </w:rPr>
                    <w:t>职能类型</w:t>
                  </w:r>
                </w:p>
              </w:tc>
              <w:tc>
                <w:tcPr>
                  <w:tcW w:w="4723" w:type="dxa"/>
                  <w:vAlign w:val="center"/>
                </w:tcPr>
                <w:p>
                  <w:pPr>
                    <w:jc w:val="center"/>
                    <w:rPr>
                      <w:b/>
                      <w:bCs/>
                      <w:color w:val="auto"/>
                      <w:kern w:val="0"/>
                      <w:szCs w:val="21"/>
                    </w:rPr>
                  </w:pPr>
                  <w:r>
                    <w:rPr>
                      <w:b/>
                      <w:bCs/>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center"/>
                </w:tcPr>
                <w:p>
                  <w:pPr>
                    <w:jc w:val="center"/>
                    <w:rPr>
                      <w:color w:val="auto"/>
                      <w:kern w:val="0"/>
                      <w:szCs w:val="21"/>
                    </w:rPr>
                  </w:pPr>
                  <w:r>
                    <w:rPr>
                      <w:rFonts w:hint="eastAsia"/>
                      <w:color w:val="auto"/>
                      <w:kern w:val="0"/>
                      <w:szCs w:val="21"/>
                    </w:rPr>
                    <w:t>一主</w:t>
                  </w:r>
                </w:p>
              </w:tc>
              <w:tc>
                <w:tcPr>
                  <w:tcW w:w="2410" w:type="dxa"/>
                  <w:vAlign w:val="center"/>
                </w:tcPr>
                <w:p>
                  <w:pPr>
                    <w:jc w:val="center"/>
                    <w:rPr>
                      <w:color w:val="auto"/>
                      <w:kern w:val="0"/>
                      <w:szCs w:val="21"/>
                    </w:rPr>
                  </w:pPr>
                  <w:r>
                    <w:rPr>
                      <w:rFonts w:hint="eastAsia"/>
                      <w:color w:val="auto"/>
                      <w:kern w:val="0"/>
                      <w:szCs w:val="21"/>
                    </w:rPr>
                    <w:t>中心城区</w:t>
                  </w:r>
                </w:p>
              </w:tc>
              <w:tc>
                <w:tcPr>
                  <w:tcW w:w="4723" w:type="dxa"/>
                  <w:vAlign w:val="center"/>
                </w:tcPr>
                <w:p>
                  <w:pPr>
                    <w:jc w:val="center"/>
                    <w:rPr>
                      <w:color w:val="auto"/>
                      <w:kern w:val="0"/>
                      <w:szCs w:val="21"/>
                    </w:rPr>
                  </w:pPr>
                  <w:r>
                    <w:rPr>
                      <w:color w:val="auto"/>
                      <w:kern w:val="0"/>
                      <w:szCs w:val="21"/>
                    </w:rPr>
                    <w:t>为普宁经济、政治、文化和科技中心，全市经济增长极和动力引擎。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center"/>
                </w:tcPr>
                <w:p>
                  <w:pPr>
                    <w:jc w:val="center"/>
                    <w:rPr>
                      <w:color w:val="auto"/>
                      <w:kern w:val="0"/>
                      <w:szCs w:val="21"/>
                    </w:rPr>
                  </w:pPr>
                  <w:r>
                    <w:rPr>
                      <w:color w:val="auto"/>
                      <w:kern w:val="0"/>
                      <w:szCs w:val="21"/>
                    </w:rPr>
                    <w:t>三副</w:t>
                  </w:r>
                </w:p>
              </w:tc>
              <w:tc>
                <w:tcPr>
                  <w:tcW w:w="2410" w:type="dxa"/>
                  <w:vAlign w:val="center"/>
                </w:tcPr>
                <w:p>
                  <w:pPr>
                    <w:jc w:val="center"/>
                    <w:rPr>
                      <w:color w:val="auto"/>
                      <w:kern w:val="0"/>
                      <w:szCs w:val="21"/>
                    </w:rPr>
                  </w:pPr>
                  <w:r>
                    <w:rPr>
                      <w:color w:val="auto"/>
                      <w:kern w:val="0"/>
                      <w:szCs w:val="21"/>
                    </w:rPr>
                    <w:t>三个中心镇</w:t>
                  </w:r>
                </w:p>
              </w:tc>
              <w:tc>
                <w:tcPr>
                  <w:tcW w:w="4723" w:type="dxa"/>
                  <w:vAlign w:val="center"/>
                </w:tcPr>
                <w:p>
                  <w:pPr>
                    <w:jc w:val="center"/>
                    <w:rPr>
                      <w:color w:val="auto"/>
                      <w:kern w:val="0"/>
                      <w:szCs w:val="21"/>
                    </w:rPr>
                  </w:pPr>
                  <w:r>
                    <w:rPr>
                      <w:color w:val="auto"/>
                      <w:kern w:val="0"/>
                      <w:szCs w:val="21"/>
                    </w:rPr>
                    <w:t>进一步强化占陇、洪阳、里湖3个中心镇职能，包括增强中心城区与中心镇的交通可达性，加强中心镇市政基础设施和公共服务设施建设，促进中心镇产业集聚发展等，强化中心镇对周边城镇的辐射带动。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center"/>
                </w:tcPr>
                <w:p>
                  <w:pPr>
                    <w:jc w:val="center"/>
                    <w:rPr>
                      <w:color w:val="auto"/>
                      <w:kern w:val="0"/>
                      <w:szCs w:val="21"/>
                    </w:rPr>
                  </w:pPr>
                  <w:r>
                    <w:rPr>
                      <w:color w:val="auto"/>
                      <w:kern w:val="0"/>
                      <w:szCs w:val="21"/>
                    </w:rPr>
                    <w:t>两轴</w:t>
                  </w:r>
                </w:p>
              </w:tc>
              <w:tc>
                <w:tcPr>
                  <w:tcW w:w="2410" w:type="dxa"/>
                  <w:vAlign w:val="center"/>
                </w:tcPr>
                <w:p>
                  <w:pPr>
                    <w:jc w:val="center"/>
                    <w:rPr>
                      <w:color w:val="auto"/>
                      <w:kern w:val="0"/>
                      <w:szCs w:val="21"/>
                    </w:rPr>
                  </w:pPr>
                  <w:r>
                    <w:rPr>
                      <w:color w:val="auto"/>
                      <w:kern w:val="0"/>
                      <w:szCs w:val="21"/>
                    </w:rPr>
                    <w:t>东西向产业强化轴和南北向特色联动轴</w:t>
                  </w:r>
                </w:p>
              </w:tc>
              <w:tc>
                <w:tcPr>
                  <w:tcW w:w="4723" w:type="dxa"/>
                  <w:vAlign w:val="center"/>
                </w:tcPr>
                <w:p>
                  <w:pPr>
                    <w:jc w:val="center"/>
                    <w:rPr>
                      <w:color w:val="auto"/>
                      <w:kern w:val="0"/>
                      <w:szCs w:val="21"/>
                    </w:rPr>
                  </w:pPr>
                  <w:r>
                    <w:rPr>
                      <w:color w:val="auto"/>
                      <w:kern w:val="0"/>
                      <w:szCs w:val="21"/>
                    </w:rPr>
                    <w:t>东西向产业强化轴依托汕湛高速联系汕潮揭核心区以及珠三角城镇群，通过省道238与城北大道连接中心城区、占陇、里湖，向西承接珠三角城镇群产业转移，向东与汕潮揭核心区差异化分工合作，并辐射带动练江经济带沿线纺织服装产业转型升级。南北向特色联动轴依托揭惠高速、国道324、省道236，联系揭阳城区和惠来县城，向北辐射大坝、洪阳、赤岗、南溪、广太，向南带动云落、梅林、高埔，形成特色产业经济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1" w:type="dxa"/>
                  <w:vAlign w:val="center"/>
                </w:tcPr>
                <w:p>
                  <w:pPr>
                    <w:jc w:val="center"/>
                    <w:rPr>
                      <w:color w:val="auto"/>
                      <w:kern w:val="0"/>
                      <w:szCs w:val="21"/>
                    </w:rPr>
                  </w:pPr>
                  <w:r>
                    <w:rPr>
                      <w:rFonts w:hint="eastAsia"/>
                      <w:color w:val="auto"/>
                      <w:kern w:val="0"/>
                      <w:szCs w:val="21"/>
                    </w:rPr>
                    <w:t>五支点</w:t>
                  </w:r>
                </w:p>
              </w:tc>
              <w:tc>
                <w:tcPr>
                  <w:tcW w:w="2410" w:type="dxa"/>
                  <w:vAlign w:val="center"/>
                </w:tcPr>
                <w:p>
                  <w:pPr>
                    <w:jc w:val="center"/>
                    <w:rPr>
                      <w:color w:val="auto"/>
                      <w:kern w:val="0"/>
                      <w:szCs w:val="21"/>
                    </w:rPr>
                  </w:pPr>
                  <w:r>
                    <w:rPr>
                      <w:color w:val="auto"/>
                      <w:kern w:val="0"/>
                      <w:szCs w:val="21"/>
                    </w:rPr>
                    <w:t>五个特色镇</w:t>
                  </w:r>
                </w:p>
              </w:tc>
              <w:tc>
                <w:tcPr>
                  <w:tcW w:w="4723" w:type="dxa"/>
                  <w:vAlign w:val="center"/>
                </w:tcPr>
                <w:p>
                  <w:pPr>
                    <w:jc w:val="center"/>
                    <w:rPr>
                      <w:color w:val="auto"/>
                      <w:kern w:val="0"/>
                      <w:szCs w:val="21"/>
                    </w:rPr>
                  </w:pPr>
                  <w:r>
                    <w:rPr>
                      <w:color w:val="auto"/>
                      <w:kern w:val="0"/>
                      <w:szCs w:val="21"/>
                    </w:rPr>
                    <w:t>规划军埠、云落、南径、高埔、大坪五个特色镇，依托已有产业基础和资源禀赋，通过引导特色产业集聚、建设特色空间风貌、优化基础服务配套，发展成为产业特色鲜明、人文气息浓厚、生态环境优美的特色镇。</w:t>
                  </w:r>
                </w:p>
              </w:tc>
            </w:tr>
          </w:tbl>
          <w:p>
            <w:pPr>
              <w:rPr>
                <w:color w:val="auto"/>
                <w:sz w:val="24"/>
                <w:szCs w:val="22"/>
              </w:rPr>
            </w:pPr>
          </w:p>
          <w:p>
            <w:pPr>
              <w:spacing w:line="360" w:lineRule="auto"/>
              <w:ind w:firstLine="480" w:firstLineChars="200"/>
              <w:rPr>
                <w:color w:val="auto"/>
                <w:sz w:val="24"/>
              </w:rPr>
            </w:pPr>
            <w:r>
              <w:rPr>
                <w:color w:val="auto"/>
                <w:sz w:val="24"/>
              </w:rPr>
              <w:t>项目位于揭阳市</w:t>
            </w:r>
            <w:r>
              <w:rPr>
                <w:rFonts w:hint="eastAsia"/>
                <w:color w:val="auto"/>
                <w:sz w:val="24"/>
                <w:lang w:eastAsia="zh-CN"/>
              </w:rPr>
              <w:t>普宁市梅塘镇新光村镇政府西侧</w:t>
            </w:r>
            <w:r>
              <w:rPr>
                <w:color w:val="auto"/>
                <w:sz w:val="24"/>
              </w:rPr>
              <w:t>，</w:t>
            </w:r>
            <w:r>
              <w:rPr>
                <w:rFonts w:hint="eastAsia"/>
                <w:color w:val="auto"/>
                <w:sz w:val="24"/>
                <w:lang w:eastAsia="zh-CN"/>
              </w:rPr>
              <w:t>不在该规划</w:t>
            </w:r>
            <w:r>
              <w:rPr>
                <w:color w:val="auto"/>
                <w:sz w:val="24"/>
                <w:szCs w:val="22"/>
              </w:rPr>
              <w:t>形成“一主三副，两轴五支点”的市域城镇空间总体结构</w:t>
            </w:r>
            <w:r>
              <w:rPr>
                <w:rFonts w:hint="eastAsia"/>
                <w:color w:val="auto"/>
                <w:sz w:val="24"/>
                <w:szCs w:val="22"/>
                <w:lang w:eastAsia="zh-CN"/>
              </w:rPr>
              <w:t>中</w:t>
            </w:r>
            <w:r>
              <w:rPr>
                <w:rFonts w:hint="eastAsia"/>
                <w:color w:val="auto"/>
                <w:sz w:val="24"/>
              </w:rPr>
              <w:t>，</w:t>
            </w:r>
            <w:r>
              <w:rPr>
                <w:color w:val="auto"/>
                <w:sz w:val="24"/>
              </w:rPr>
              <w:t>因此，项目的建设</w:t>
            </w:r>
            <w:r>
              <w:rPr>
                <w:rFonts w:hint="eastAsia"/>
                <w:color w:val="auto"/>
                <w:sz w:val="24"/>
                <w:lang w:eastAsia="zh-CN"/>
              </w:rPr>
              <w:t>不会与</w:t>
            </w:r>
            <w:r>
              <w:rPr>
                <w:color w:val="auto"/>
                <w:sz w:val="24"/>
              </w:rPr>
              <w:t>普宁市城市总体规划</w:t>
            </w:r>
            <w:r>
              <w:rPr>
                <w:rFonts w:hint="eastAsia"/>
                <w:color w:val="auto"/>
                <w:sz w:val="24"/>
                <w:lang w:eastAsia="zh-CN"/>
              </w:rPr>
              <w:t>相抵触</w:t>
            </w:r>
            <w:r>
              <w:rPr>
                <w:color w:val="auto"/>
                <w:sz w:val="24"/>
              </w:rPr>
              <w:t>。</w:t>
            </w:r>
          </w:p>
          <w:p>
            <w:pPr>
              <w:keepLines/>
              <w:numPr>
                <w:ilvl w:val="0"/>
                <w:numId w:val="3"/>
              </w:numPr>
              <w:adjustRightInd w:val="0"/>
              <w:snapToGrid w:val="0"/>
              <w:spacing w:line="360" w:lineRule="auto"/>
              <w:outlineLvl w:val="2"/>
              <w:rPr>
                <w:b/>
                <w:bCs/>
                <w:color w:val="auto"/>
                <w:sz w:val="24"/>
              </w:rPr>
            </w:pPr>
            <w:r>
              <w:rPr>
                <w:b/>
                <w:bCs/>
                <w:color w:val="auto"/>
                <w:sz w:val="24"/>
              </w:rPr>
              <w:t>选址合理性分析</w:t>
            </w:r>
          </w:p>
          <w:p>
            <w:pPr>
              <w:keepLines/>
              <w:adjustRightInd w:val="0"/>
              <w:snapToGrid w:val="0"/>
              <w:spacing w:line="360" w:lineRule="auto"/>
              <w:ind w:firstLine="480" w:firstLineChars="200"/>
              <w:outlineLvl w:val="2"/>
              <w:rPr>
                <w:rFonts w:hint="eastAsia" w:eastAsia="宋体"/>
                <w:bCs/>
                <w:color w:val="FF0000"/>
                <w:sz w:val="24"/>
                <w:highlight w:val="none"/>
                <w:lang w:eastAsia="zh-CN"/>
              </w:rPr>
            </w:pPr>
            <w:r>
              <w:rPr>
                <w:bCs/>
                <w:color w:val="FF0000"/>
                <w:sz w:val="24"/>
                <w:highlight w:val="none"/>
              </w:rPr>
              <w:t>项目位于</w:t>
            </w:r>
            <w:r>
              <w:rPr>
                <w:rFonts w:hint="eastAsia"/>
                <w:bCs/>
                <w:color w:val="FF0000"/>
                <w:sz w:val="24"/>
                <w:highlight w:val="none"/>
                <w:lang w:eastAsia="zh-CN"/>
              </w:rPr>
              <w:t>普宁市梅塘镇新光村镇政府西侧</w:t>
            </w:r>
            <w:r>
              <w:rPr>
                <w:bCs/>
                <w:color w:val="FF0000"/>
                <w:sz w:val="24"/>
                <w:highlight w:val="none"/>
              </w:rPr>
              <w:t>，</w:t>
            </w:r>
            <w:r>
              <w:rPr>
                <w:rFonts w:hint="eastAsia"/>
                <w:bCs/>
                <w:color w:val="FF0000"/>
                <w:sz w:val="24"/>
                <w:highlight w:val="none"/>
                <w:lang w:eastAsia="zh-CN"/>
              </w:rPr>
              <w:t>根据《普宁市梅塘镇总体规划（2016-2035年）》，项目所在地近期（2016-2020年）规划为发展备用地（见附图</w:t>
            </w:r>
            <w:r>
              <w:rPr>
                <w:rFonts w:hint="eastAsia"/>
                <w:bCs/>
                <w:color w:val="FF0000"/>
                <w:sz w:val="24"/>
                <w:highlight w:val="none"/>
                <w:lang w:val="en-US" w:eastAsia="zh-CN"/>
              </w:rPr>
              <w:t>8）</w:t>
            </w:r>
            <w:r>
              <w:rPr>
                <w:rFonts w:hint="eastAsia"/>
                <w:bCs/>
                <w:color w:val="FF0000"/>
                <w:sz w:val="24"/>
                <w:highlight w:val="none"/>
                <w:lang w:eastAsia="zh-CN"/>
              </w:rPr>
              <w:t>，远期（</w:t>
            </w:r>
            <w:r>
              <w:rPr>
                <w:rFonts w:hint="eastAsia"/>
                <w:bCs/>
                <w:color w:val="FF0000"/>
                <w:sz w:val="24"/>
                <w:highlight w:val="none"/>
                <w:lang w:val="en-US" w:eastAsia="zh-CN"/>
              </w:rPr>
              <w:t>2021年-2035年）规划为</w:t>
            </w:r>
            <w:r>
              <w:rPr>
                <w:rFonts w:hint="eastAsia"/>
                <w:bCs/>
                <w:color w:val="FF0000"/>
                <w:sz w:val="24"/>
                <w:highlight w:val="none"/>
                <w:lang w:eastAsia="zh-CN"/>
              </w:rPr>
              <w:t>居住用地（见附图</w:t>
            </w:r>
            <w:r>
              <w:rPr>
                <w:rFonts w:hint="eastAsia"/>
                <w:bCs/>
                <w:color w:val="FF0000"/>
                <w:sz w:val="24"/>
                <w:highlight w:val="none"/>
                <w:lang w:val="en-US" w:eastAsia="zh-CN"/>
              </w:rPr>
              <w:t>9）</w:t>
            </w:r>
            <w:r>
              <w:rPr>
                <w:rFonts w:hint="eastAsia"/>
                <w:bCs/>
                <w:color w:val="FF0000"/>
                <w:sz w:val="24"/>
                <w:highlight w:val="none"/>
                <w:lang w:eastAsia="zh-CN"/>
              </w:rPr>
              <w:t>。</w:t>
            </w:r>
            <w:r>
              <w:rPr>
                <w:rFonts w:hint="eastAsia"/>
                <w:bCs/>
                <w:color w:val="FF0000"/>
                <w:kern w:val="0"/>
                <w:sz w:val="24"/>
                <w:szCs w:val="24"/>
                <w:lang w:eastAsia="zh-CN"/>
              </w:rPr>
              <w:t>该</w:t>
            </w:r>
            <w:r>
              <w:rPr>
                <w:rFonts w:hint="eastAsia"/>
                <w:bCs/>
                <w:color w:val="FF0000"/>
                <w:kern w:val="0"/>
                <w:sz w:val="24"/>
                <w:szCs w:val="24"/>
              </w:rPr>
              <w:t>公司已建成，虽与</w:t>
            </w:r>
            <w:r>
              <w:rPr>
                <w:color w:val="FF0000"/>
                <w:sz w:val="24"/>
              </w:rPr>
              <w:t>《</w:t>
            </w:r>
            <w:r>
              <w:rPr>
                <w:rFonts w:hint="eastAsia"/>
                <w:bCs/>
                <w:color w:val="FF0000"/>
                <w:sz w:val="24"/>
                <w:highlight w:val="none"/>
                <w:lang w:eastAsia="zh-CN"/>
              </w:rPr>
              <w:t>普宁市梅塘镇总体规划（2016-2035年）</w:t>
            </w:r>
            <w:r>
              <w:rPr>
                <w:color w:val="FF0000"/>
                <w:sz w:val="24"/>
              </w:rPr>
              <w:t>》</w:t>
            </w:r>
            <w:r>
              <w:rPr>
                <w:rFonts w:hint="eastAsia"/>
                <w:color w:val="FF0000"/>
                <w:sz w:val="24"/>
              </w:rPr>
              <w:t>的</w:t>
            </w:r>
            <w:r>
              <w:rPr>
                <w:rFonts w:hint="eastAsia"/>
                <w:color w:val="FF0000"/>
                <w:sz w:val="24"/>
                <w:lang w:eastAsia="zh-CN"/>
              </w:rPr>
              <w:t>远期</w:t>
            </w:r>
            <w:r>
              <w:rPr>
                <w:rFonts w:hint="eastAsia"/>
                <w:color w:val="FF0000"/>
                <w:sz w:val="24"/>
              </w:rPr>
              <w:t>规划</w:t>
            </w:r>
            <w:r>
              <w:rPr>
                <w:rFonts w:hint="eastAsia"/>
                <w:bCs/>
                <w:color w:val="FF0000"/>
                <w:kern w:val="0"/>
                <w:sz w:val="24"/>
                <w:szCs w:val="24"/>
              </w:rPr>
              <w:t>不符，但应给予一定的过渡期，待该片区全面打造为居住区后，再严格按照规划采取搬迁转移工作。在这期间，公司承诺项目所产生的各类污染物均处理到达标排放，污染物排放总量均控制在所在区域总量控制的要求下。</w:t>
            </w:r>
          </w:p>
          <w:p>
            <w:pPr>
              <w:spacing w:line="360" w:lineRule="auto"/>
              <w:ind w:firstLine="480" w:firstLineChars="200"/>
              <w:rPr>
                <w:rFonts w:hint="eastAsia"/>
                <w:color w:val="FF0000"/>
                <w:sz w:val="24"/>
                <w:highlight w:val="none"/>
                <w:lang w:eastAsia="zh-CN"/>
              </w:rPr>
            </w:pPr>
            <w:r>
              <w:rPr>
                <w:rFonts w:hint="eastAsia"/>
                <w:color w:val="FF0000"/>
                <w:sz w:val="24"/>
                <w:highlight w:val="none"/>
                <w:lang w:eastAsia="zh-CN"/>
              </w:rPr>
              <w:t>根据</w:t>
            </w:r>
            <w:r>
              <w:rPr>
                <w:rFonts w:hint="eastAsia"/>
                <w:color w:val="FF0000"/>
                <w:sz w:val="24"/>
                <w:highlight w:val="none"/>
                <w:lang w:val="en-US" w:eastAsia="zh-CN"/>
              </w:rPr>
              <w:t>《普宁市梅塘镇土地利用总体规划（2010-2020年）》，本项目所在地属于城镇建设用地，不属于基本农田保护区和禁止建设区，见附图10。因此，项目的选址符合《普宁市梅塘镇土地利用总体规划（2010-2020年）》的土地规划。</w:t>
            </w:r>
          </w:p>
          <w:p>
            <w:pPr>
              <w:keepLines/>
              <w:adjustRightInd w:val="0"/>
              <w:snapToGrid w:val="0"/>
              <w:spacing w:line="360" w:lineRule="auto"/>
              <w:ind w:firstLine="480" w:firstLineChars="200"/>
              <w:outlineLvl w:val="2"/>
              <w:rPr>
                <w:rFonts w:hint="eastAsia" w:eastAsia="宋体"/>
                <w:bCs/>
                <w:color w:val="FF0000"/>
                <w:sz w:val="24"/>
                <w:highlight w:val="none"/>
                <w:lang w:eastAsia="zh-CN"/>
              </w:rPr>
            </w:pPr>
            <w:r>
              <w:rPr>
                <w:bCs/>
                <w:color w:val="FF0000"/>
                <w:sz w:val="24"/>
                <w:highlight w:val="none"/>
              </w:rPr>
              <w:t>根据普宁市</w:t>
            </w:r>
            <w:r>
              <w:rPr>
                <w:rFonts w:hint="eastAsia"/>
                <w:bCs/>
                <w:color w:val="FF0000"/>
                <w:sz w:val="24"/>
                <w:highlight w:val="none"/>
                <w:lang w:eastAsia="zh-CN"/>
              </w:rPr>
              <w:t>梅塘</w:t>
            </w:r>
            <w:r>
              <w:rPr>
                <w:bCs/>
                <w:color w:val="FF0000"/>
                <w:sz w:val="24"/>
                <w:highlight w:val="none"/>
              </w:rPr>
              <w:t>镇人民政府出具的《证明》(附件4)，本项目选址合理；同时根据普宁市</w:t>
            </w:r>
            <w:r>
              <w:rPr>
                <w:rFonts w:hint="eastAsia"/>
                <w:bCs/>
                <w:color w:val="FF0000"/>
                <w:sz w:val="24"/>
                <w:highlight w:val="none"/>
                <w:lang w:eastAsia="zh-CN"/>
              </w:rPr>
              <w:t>梅塘</w:t>
            </w:r>
            <w:r>
              <w:rPr>
                <w:bCs/>
                <w:color w:val="FF0000"/>
                <w:sz w:val="24"/>
                <w:highlight w:val="none"/>
              </w:rPr>
              <w:t>镇村镇规划建设管理</w:t>
            </w:r>
            <w:r>
              <w:rPr>
                <w:rFonts w:hint="eastAsia"/>
                <w:bCs/>
                <w:color w:val="FF0000"/>
                <w:sz w:val="24"/>
                <w:highlight w:val="none"/>
                <w:lang w:eastAsia="zh-CN"/>
              </w:rPr>
              <w:t>所</w:t>
            </w:r>
            <w:r>
              <w:rPr>
                <w:bCs/>
                <w:color w:val="FF0000"/>
                <w:sz w:val="24"/>
                <w:highlight w:val="none"/>
              </w:rPr>
              <w:t>出具的《证明》（附件5），该用地符合</w:t>
            </w:r>
            <w:r>
              <w:rPr>
                <w:rFonts w:hint="eastAsia"/>
                <w:bCs/>
                <w:color w:val="FF0000"/>
                <w:sz w:val="24"/>
                <w:highlight w:val="none"/>
                <w:lang w:eastAsia="zh-CN"/>
              </w:rPr>
              <w:t>梅塘</w:t>
            </w:r>
            <w:r>
              <w:rPr>
                <w:bCs/>
                <w:color w:val="FF0000"/>
                <w:sz w:val="24"/>
                <w:highlight w:val="none"/>
              </w:rPr>
              <w:t>镇建设规划。普宁市</w:t>
            </w:r>
            <w:r>
              <w:rPr>
                <w:rFonts w:hint="eastAsia"/>
                <w:bCs/>
                <w:color w:val="FF0000"/>
                <w:sz w:val="24"/>
                <w:highlight w:val="none"/>
                <w:lang w:eastAsia="zh-CN"/>
              </w:rPr>
              <w:t>梅塘</w:t>
            </w:r>
            <w:r>
              <w:rPr>
                <w:bCs/>
                <w:color w:val="FF0000"/>
                <w:sz w:val="24"/>
                <w:highlight w:val="none"/>
              </w:rPr>
              <w:t>镇人民政府</w:t>
            </w:r>
            <w:r>
              <w:rPr>
                <w:rFonts w:hint="eastAsia"/>
                <w:bCs/>
                <w:color w:val="FF0000"/>
                <w:sz w:val="24"/>
                <w:highlight w:val="none"/>
                <w:lang w:eastAsia="zh-CN"/>
              </w:rPr>
              <w:t>和</w:t>
            </w:r>
            <w:r>
              <w:rPr>
                <w:bCs/>
                <w:color w:val="FF0000"/>
                <w:sz w:val="24"/>
                <w:highlight w:val="none"/>
              </w:rPr>
              <w:t>普宁市</w:t>
            </w:r>
            <w:r>
              <w:rPr>
                <w:rFonts w:hint="eastAsia"/>
                <w:bCs/>
                <w:color w:val="FF0000"/>
                <w:sz w:val="24"/>
                <w:highlight w:val="none"/>
                <w:lang w:eastAsia="zh-CN"/>
              </w:rPr>
              <w:t>梅塘</w:t>
            </w:r>
            <w:r>
              <w:rPr>
                <w:bCs/>
                <w:color w:val="FF0000"/>
                <w:sz w:val="24"/>
                <w:highlight w:val="none"/>
              </w:rPr>
              <w:t>镇村镇规划建设管理</w:t>
            </w:r>
            <w:r>
              <w:rPr>
                <w:rFonts w:hint="eastAsia"/>
                <w:bCs/>
                <w:color w:val="FF0000"/>
                <w:sz w:val="24"/>
                <w:highlight w:val="none"/>
                <w:lang w:eastAsia="zh-CN"/>
              </w:rPr>
              <w:t>所</w:t>
            </w:r>
            <w:r>
              <w:rPr>
                <w:rFonts w:hint="eastAsia"/>
                <w:bCs/>
                <w:color w:val="FF0000"/>
                <w:kern w:val="0"/>
                <w:sz w:val="24"/>
                <w:szCs w:val="24"/>
              </w:rPr>
              <w:t>对本项目的建设是支持的</w:t>
            </w:r>
            <w:r>
              <w:rPr>
                <w:rFonts w:hint="eastAsia"/>
                <w:bCs/>
                <w:color w:val="FF0000"/>
                <w:kern w:val="0"/>
                <w:sz w:val="24"/>
                <w:szCs w:val="24"/>
                <w:lang w:eastAsia="zh-CN"/>
              </w:rPr>
              <w:t>。</w:t>
            </w:r>
          </w:p>
          <w:p>
            <w:pPr>
              <w:keepLines/>
              <w:adjustRightInd w:val="0"/>
              <w:snapToGrid w:val="0"/>
              <w:spacing w:line="360" w:lineRule="auto"/>
              <w:ind w:firstLine="480" w:firstLineChars="200"/>
              <w:outlineLvl w:val="2"/>
              <w:rPr>
                <w:bCs/>
                <w:color w:val="auto"/>
                <w:sz w:val="24"/>
              </w:rPr>
            </w:pPr>
            <w:r>
              <w:rPr>
                <w:bCs/>
                <w:color w:val="auto"/>
                <w:sz w:val="24"/>
              </w:rPr>
              <w:t>综上所述，项目选址符合城镇规划</w:t>
            </w:r>
            <w:r>
              <w:rPr>
                <w:rFonts w:hint="eastAsia"/>
                <w:bCs/>
                <w:color w:val="auto"/>
                <w:sz w:val="24"/>
                <w:lang w:eastAsia="zh-CN"/>
              </w:rPr>
              <w:t>和土地利用总体规划</w:t>
            </w:r>
            <w:r>
              <w:rPr>
                <w:bCs/>
                <w:color w:val="auto"/>
                <w:sz w:val="24"/>
              </w:rPr>
              <w:t>。</w:t>
            </w:r>
          </w:p>
          <w:p>
            <w:pPr>
              <w:keepLines/>
              <w:adjustRightInd w:val="0"/>
              <w:snapToGrid w:val="0"/>
              <w:spacing w:line="360" w:lineRule="auto"/>
              <w:ind w:firstLine="480"/>
              <w:outlineLvl w:val="2"/>
              <w:rPr>
                <w:b/>
                <w:bCs/>
                <w:color w:val="auto"/>
                <w:sz w:val="24"/>
                <w:szCs w:val="32"/>
              </w:rPr>
            </w:pPr>
            <w:bookmarkStart w:id="14" w:name="_Toc493854119"/>
            <w:bookmarkStart w:id="15" w:name="_Toc515265005"/>
            <w:r>
              <w:rPr>
                <w:rFonts w:hint="eastAsia"/>
                <w:b/>
                <w:bCs/>
                <w:color w:val="auto"/>
                <w:sz w:val="24"/>
                <w:szCs w:val="32"/>
                <w:lang w:val="en-US" w:eastAsia="zh-CN"/>
              </w:rPr>
              <w:t>4</w:t>
            </w:r>
            <w:r>
              <w:rPr>
                <w:b/>
                <w:bCs/>
                <w:color w:val="auto"/>
                <w:sz w:val="24"/>
                <w:szCs w:val="32"/>
              </w:rPr>
              <w:t>、与环境保护规划相符性分析</w:t>
            </w:r>
            <w:bookmarkEnd w:id="14"/>
            <w:bookmarkEnd w:id="15"/>
          </w:p>
          <w:p>
            <w:pPr>
              <w:keepLines/>
              <w:adjustRightInd w:val="0"/>
              <w:snapToGrid w:val="0"/>
              <w:spacing w:line="360" w:lineRule="auto"/>
              <w:ind w:firstLine="480" w:firstLineChars="200"/>
              <w:outlineLvl w:val="2"/>
              <w:rPr>
                <w:bCs/>
                <w:color w:val="auto"/>
                <w:sz w:val="24"/>
                <w:szCs w:val="32"/>
              </w:rPr>
            </w:pPr>
            <w:r>
              <w:rPr>
                <w:bCs/>
                <w:color w:val="auto"/>
                <w:sz w:val="24"/>
                <w:szCs w:val="32"/>
              </w:rPr>
              <w:t xml:space="preserve">《关于印发广东省主体功能区规划的配套环保政策的通知》（粤环〔2014〕7号）提出：“重点开发区坚持发展中保护，优化区域资源环境配置，引导产业集约发展，全力推进综合防控，保持环境质量稳定：“禁止在自然保护区核心区和缓冲区进行包括旅游、种植和野生动植物繁育在内的开发活动；严格控制风景名胜区、森林公园、湿地公园内人工景观建设。” </w:t>
            </w:r>
          </w:p>
          <w:p>
            <w:pPr>
              <w:keepLines/>
              <w:adjustRightInd w:val="0"/>
              <w:snapToGrid w:val="0"/>
              <w:spacing w:line="360" w:lineRule="auto"/>
              <w:ind w:firstLine="480" w:firstLineChars="200"/>
              <w:outlineLvl w:val="2"/>
              <w:rPr>
                <w:bCs/>
                <w:color w:val="auto"/>
                <w:sz w:val="24"/>
                <w:szCs w:val="32"/>
              </w:rPr>
            </w:pPr>
            <w:r>
              <w:rPr>
                <w:bCs/>
                <w:color w:val="auto"/>
                <w:sz w:val="24"/>
                <w:szCs w:val="32"/>
              </w:rPr>
              <w:t>本项目不属于自然保护区核心区和缓冲区、风景名胜区、森林公园、湿地公园，属于重点开发区域中的国家级重点开发域的海峡西岸经济区粤东部分；项目无生产废水</w:t>
            </w:r>
            <w:r>
              <w:rPr>
                <w:rFonts w:hint="eastAsia"/>
                <w:bCs/>
                <w:color w:val="auto"/>
                <w:sz w:val="24"/>
                <w:szCs w:val="32"/>
                <w:lang w:eastAsia="zh-CN"/>
              </w:rPr>
              <w:t>产生</w:t>
            </w:r>
            <w:r>
              <w:rPr>
                <w:bCs/>
                <w:color w:val="auto"/>
                <w:sz w:val="24"/>
                <w:szCs w:val="32"/>
              </w:rPr>
              <w:t>，生活污水</w:t>
            </w:r>
            <w:r>
              <w:rPr>
                <w:rFonts w:hint="eastAsia"/>
                <w:bCs/>
                <w:color w:val="auto"/>
                <w:sz w:val="24"/>
                <w:szCs w:val="32"/>
              </w:rPr>
              <w:t>回用于厂区绿化灌溉，</w:t>
            </w:r>
            <w:r>
              <w:rPr>
                <w:bCs/>
                <w:color w:val="auto"/>
                <w:sz w:val="24"/>
                <w:szCs w:val="32"/>
              </w:rPr>
              <w:t>外排废气</w:t>
            </w:r>
            <w:r>
              <w:rPr>
                <w:rFonts w:hint="eastAsia"/>
                <w:bCs/>
                <w:color w:val="auto"/>
                <w:sz w:val="24"/>
                <w:szCs w:val="32"/>
              </w:rPr>
              <w:t>能</w:t>
            </w:r>
            <w:r>
              <w:rPr>
                <w:bCs/>
                <w:color w:val="auto"/>
                <w:sz w:val="24"/>
                <w:szCs w:val="32"/>
              </w:rPr>
              <w:t>达到相应标准后外排，保持环境质量稳定。因此，本项目符合广东省主体功能区规划的配套环保政策。</w:t>
            </w:r>
          </w:p>
          <w:p>
            <w:pPr>
              <w:keepLines/>
              <w:adjustRightInd w:val="0"/>
              <w:snapToGrid w:val="0"/>
              <w:spacing w:line="360" w:lineRule="auto"/>
              <w:ind w:firstLine="480" w:firstLineChars="200"/>
              <w:outlineLvl w:val="2"/>
              <w:rPr>
                <w:rFonts w:hint="eastAsia"/>
                <w:bCs/>
                <w:color w:val="FF0000"/>
                <w:sz w:val="24"/>
                <w:szCs w:val="32"/>
              </w:rPr>
            </w:pPr>
            <w:r>
              <w:rPr>
                <w:bCs/>
                <w:color w:val="FF0000"/>
                <w:sz w:val="24"/>
                <w:szCs w:val="32"/>
              </w:rPr>
              <w:t>《揭阳市环境保护规划（2007-2020）》</w:t>
            </w:r>
            <w:r>
              <w:rPr>
                <w:rFonts w:hint="eastAsia"/>
                <w:bCs/>
                <w:color w:val="FF0000"/>
                <w:sz w:val="24"/>
                <w:szCs w:val="32"/>
              </w:rPr>
              <w:t>要求：“坚决关闭并严禁新建污染严重、技术落后、不符合产业政策的 ‘十五小’和‘新五小’等名录中的企业”。</w:t>
            </w:r>
          </w:p>
          <w:p>
            <w:pPr>
              <w:keepLines/>
              <w:adjustRightInd w:val="0"/>
              <w:snapToGrid w:val="0"/>
              <w:spacing w:line="360" w:lineRule="auto"/>
              <w:ind w:firstLine="480" w:firstLineChars="200"/>
              <w:outlineLvl w:val="2"/>
              <w:rPr>
                <w:rFonts w:hint="eastAsia"/>
                <w:bCs/>
                <w:color w:val="FF0000"/>
                <w:sz w:val="24"/>
                <w:szCs w:val="32"/>
              </w:rPr>
            </w:pPr>
            <w:r>
              <w:rPr>
                <w:rFonts w:hint="eastAsia"/>
                <w:bCs/>
                <w:color w:val="FF0000"/>
                <w:sz w:val="24"/>
                <w:szCs w:val="32"/>
              </w:rPr>
              <w:t>本项目不属于新建污染严重、技术落后、不符合产业政策的 ‘十五小’和‘新五小’等名录中的企业。</w:t>
            </w:r>
          </w:p>
          <w:p>
            <w:pPr>
              <w:keepLines/>
              <w:adjustRightInd w:val="0"/>
              <w:snapToGrid w:val="0"/>
              <w:spacing w:line="360" w:lineRule="auto"/>
              <w:ind w:firstLine="480" w:firstLineChars="200"/>
              <w:outlineLvl w:val="2"/>
              <w:rPr>
                <w:bCs/>
                <w:color w:val="auto"/>
                <w:sz w:val="24"/>
                <w:szCs w:val="32"/>
              </w:rPr>
            </w:pPr>
            <w:r>
              <w:rPr>
                <w:rFonts w:hint="eastAsia"/>
                <w:bCs/>
                <w:color w:val="FF0000"/>
                <w:sz w:val="24"/>
                <w:szCs w:val="32"/>
              </w:rPr>
              <w:t>综上，</w:t>
            </w:r>
            <w:r>
              <w:rPr>
                <w:bCs/>
                <w:color w:val="FF0000"/>
                <w:sz w:val="24"/>
                <w:szCs w:val="32"/>
              </w:rPr>
              <w:t>本项目的建设与《揭阳市环境保护规划（2007～2020）》的相关</w:t>
            </w:r>
            <w:r>
              <w:rPr>
                <w:rFonts w:hint="eastAsia"/>
                <w:bCs/>
                <w:color w:val="FF0000"/>
                <w:sz w:val="24"/>
                <w:szCs w:val="32"/>
              </w:rPr>
              <w:t>要求</w:t>
            </w:r>
            <w:r>
              <w:rPr>
                <w:bCs/>
                <w:color w:val="FF0000"/>
                <w:sz w:val="24"/>
                <w:szCs w:val="32"/>
              </w:rPr>
              <w:t>相符。</w:t>
            </w:r>
          </w:p>
          <w:p>
            <w:pPr>
              <w:keepNext/>
              <w:keepLines/>
              <w:numPr>
                <w:ilvl w:val="1"/>
                <w:numId w:val="0"/>
              </w:numPr>
              <w:tabs>
                <w:tab w:val="left" w:pos="0"/>
                <w:tab w:val="left" w:pos="2411"/>
              </w:tabs>
              <w:spacing w:line="360" w:lineRule="auto"/>
              <w:ind w:firstLine="482" w:firstLineChars="200"/>
              <w:outlineLvl w:val="1"/>
              <w:rPr>
                <w:b/>
                <w:color w:val="auto"/>
                <w:sz w:val="24"/>
              </w:rPr>
            </w:pPr>
            <w:bookmarkStart w:id="16" w:name="_Toc493854120"/>
            <w:bookmarkStart w:id="17" w:name="_Toc427251473"/>
            <w:bookmarkStart w:id="18" w:name="_Toc515265006"/>
            <w:r>
              <w:rPr>
                <w:rFonts w:hint="eastAsia"/>
                <w:b/>
                <w:color w:val="auto"/>
                <w:sz w:val="24"/>
              </w:rPr>
              <w:t>5</w:t>
            </w:r>
            <w:r>
              <w:rPr>
                <w:b/>
                <w:color w:val="auto"/>
                <w:sz w:val="24"/>
              </w:rPr>
              <w:t>、与其他相关文件的相符性分析</w:t>
            </w:r>
            <w:bookmarkEnd w:id="16"/>
            <w:bookmarkEnd w:id="17"/>
            <w:bookmarkEnd w:id="18"/>
          </w:p>
          <w:p>
            <w:pPr>
              <w:keepNext/>
              <w:keepLines/>
              <w:spacing w:line="360" w:lineRule="auto"/>
              <w:ind w:firstLine="482" w:firstLineChars="200"/>
              <w:outlineLvl w:val="2"/>
              <w:rPr>
                <w:b/>
                <w:bCs/>
                <w:color w:val="auto"/>
                <w:sz w:val="24"/>
              </w:rPr>
            </w:pPr>
            <w:bookmarkStart w:id="19" w:name="_Toc493782233"/>
            <w:bookmarkStart w:id="20" w:name="_Toc515265007"/>
            <w:bookmarkStart w:id="21" w:name="_Toc493854121"/>
            <w:r>
              <w:rPr>
                <w:rFonts w:hint="eastAsia" w:ascii="宋体" w:hAnsi="宋体" w:cs="宋体"/>
                <w:b/>
                <w:color w:val="auto"/>
                <w:sz w:val="24"/>
              </w:rPr>
              <w:t>①</w:t>
            </w:r>
            <w:r>
              <w:rPr>
                <w:b/>
                <w:color w:val="auto"/>
                <w:sz w:val="24"/>
              </w:rPr>
              <w:t>与加强河流污染防治工作的相符性</w:t>
            </w:r>
            <w:bookmarkEnd w:id="19"/>
            <w:bookmarkEnd w:id="20"/>
            <w:bookmarkEnd w:id="21"/>
          </w:p>
          <w:p>
            <w:pPr>
              <w:spacing w:line="360" w:lineRule="auto"/>
              <w:ind w:firstLine="480" w:firstLineChars="200"/>
              <w:rPr>
                <w:color w:val="auto"/>
                <w:sz w:val="24"/>
                <w:szCs w:val="22"/>
              </w:rPr>
            </w:pPr>
            <w:r>
              <w:rPr>
                <w:color w:val="auto"/>
                <w:sz w:val="24"/>
                <w:szCs w:val="22"/>
              </w:rPr>
              <w:t>《关于印发&lt;关于加强河流污染防治工作的通知&gt;的通知》（环发〔2007〕201号）中指出结合国家产业政策，2009年起，环保部门要制定并实行更加严格的环保标准，</w:t>
            </w:r>
            <w:r>
              <w:rPr>
                <w:b w:val="0"/>
                <w:bCs/>
                <w:color w:val="auto"/>
                <w:sz w:val="24"/>
                <w:szCs w:val="22"/>
              </w:rPr>
              <w:t>停批向河流排放汞、镉、六价铬重金属或持久性有机污染物的项目。</w:t>
            </w:r>
          </w:p>
          <w:p>
            <w:pPr>
              <w:spacing w:line="360" w:lineRule="auto"/>
              <w:ind w:firstLine="480" w:firstLineChars="200"/>
              <w:rPr>
                <w:color w:val="auto"/>
                <w:sz w:val="24"/>
                <w:szCs w:val="22"/>
              </w:rPr>
            </w:pPr>
            <w:r>
              <w:rPr>
                <w:color w:val="auto"/>
                <w:sz w:val="24"/>
                <w:szCs w:val="22"/>
              </w:rPr>
              <w:t>由工程分析可知，本项目无</w:t>
            </w:r>
            <w:r>
              <w:rPr>
                <w:rFonts w:hint="eastAsia"/>
                <w:color w:val="auto"/>
                <w:sz w:val="24"/>
                <w:szCs w:val="22"/>
              </w:rPr>
              <w:t>污</w:t>
            </w:r>
            <w:r>
              <w:rPr>
                <w:color w:val="auto"/>
                <w:sz w:val="24"/>
                <w:szCs w:val="22"/>
              </w:rPr>
              <w:t>废水外排，其建设符合《关于印发&lt;关于加强河流污染防治工作的通知&gt;的通知》（环发〔2007〕201号）的相关要求。</w:t>
            </w:r>
          </w:p>
          <w:p>
            <w:pPr>
              <w:keepNext/>
              <w:keepLines/>
              <w:spacing w:line="360" w:lineRule="auto"/>
              <w:ind w:firstLine="482" w:firstLineChars="200"/>
              <w:outlineLvl w:val="2"/>
              <w:rPr>
                <w:b/>
                <w:color w:val="auto"/>
                <w:sz w:val="24"/>
              </w:rPr>
            </w:pPr>
            <w:bookmarkStart w:id="22" w:name="_Toc493782234"/>
            <w:bookmarkStart w:id="23" w:name="_Toc493854122"/>
            <w:bookmarkStart w:id="24" w:name="_Toc515265008"/>
            <w:r>
              <w:rPr>
                <w:rFonts w:hint="eastAsia" w:ascii="宋体" w:hAnsi="宋体" w:cs="宋体"/>
                <w:b/>
                <w:color w:val="auto"/>
                <w:sz w:val="24"/>
              </w:rPr>
              <w:t>②</w:t>
            </w:r>
            <w:r>
              <w:rPr>
                <w:b/>
                <w:color w:val="auto"/>
                <w:sz w:val="24"/>
              </w:rPr>
              <w:t>与广东省饮用水源水质保护条例的相符性</w:t>
            </w:r>
            <w:bookmarkEnd w:id="22"/>
            <w:bookmarkEnd w:id="23"/>
            <w:bookmarkEnd w:id="24"/>
          </w:p>
          <w:p>
            <w:pPr>
              <w:spacing w:line="360" w:lineRule="auto"/>
              <w:ind w:firstLine="480" w:firstLineChars="200"/>
              <w:rPr>
                <w:color w:val="auto"/>
                <w:sz w:val="24"/>
                <w:szCs w:val="22"/>
              </w:rPr>
            </w:pPr>
            <w:r>
              <w:rPr>
                <w:color w:val="auto"/>
                <w:sz w:val="24"/>
                <w:szCs w:val="22"/>
              </w:rPr>
              <w:t>根据《广东省饮用水源水质保护条例》（2010年7月23日广东省第十一届人大常委会第二十次会议修正）的规定，</w:t>
            </w:r>
            <w:r>
              <w:rPr>
                <w:b w:val="0"/>
                <w:bCs/>
                <w:color w:val="auto"/>
                <w:sz w:val="24"/>
                <w:szCs w:val="22"/>
              </w:rPr>
              <w:t>饮用水地表水源保护区内禁</w:t>
            </w:r>
            <w:r>
              <w:rPr>
                <w:color w:val="auto"/>
                <w:sz w:val="24"/>
                <w:szCs w:val="22"/>
              </w:rPr>
              <w:t>止新建、扩建排放含持久性有机污染物和含汞、镉、铅、砷、铬等污染物的项目。</w:t>
            </w:r>
          </w:p>
          <w:p>
            <w:pPr>
              <w:spacing w:line="360" w:lineRule="auto"/>
              <w:ind w:firstLine="480" w:firstLineChars="200"/>
              <w:rPr>
                <w:color w:val="auto"/>
                <w:sz w:val="24"/>
                <w:szCs w:val="22"/>
              </w:rPr>
            </w:pPr>
            <w:r>
              <w:rPr>
                <w:color w:val="auto"/>
                <w:sz w:val="24"/>
                <w:szCs w:val="22"/>
              </w:rPr>
              <w:t>本项目位于</w:t>
            </w:r>
            <w:r>
              <w:rPr>
                <w:rFonts w:hint="eastAsia"/>
                <w:bCs/>
                <w:color w:val="auto"/>
                <w:sz w:val="24"/>
                <w:lang w:eastAsia="zh-CN"/>
              </w:rPr>
              <w:t>普宁市梅塘镇新光村镇政府西侧</w:t>
            </w:r>
            <w:r>
              <w:rPr>
                <w:color w:val="auto"/>
                <w:sz w:val="24"/>
                <w:szCs w:val="22"/>
              </w:rPr>
              <w:t>，不位于饮用水源保护区范围，无生产废水</w:t>
            </w:r>
            <w:r>
              <w:rPr>
                <w:rFonts w:hint="eastAsia"/>
                <w:color w:val="auto"/>
                <w:sz w:val="24"/>
                <w:szCs w:val="22"/>
                <w:lang w:eastAsia="zh-CN"/>
              </w:rPr>
              <w:t>产生</w:t>
            </w:r>
            <w:r>
              <w:rPr>
                <w:color w:val="auto"/>
                <w:sz w:val="24"/>
                <w:szCs w:val="22"/>
              </w:rPr>
              <w:t>，生活污水</w:t>
            </w:r>
            <w:r>
              <w:rPr>
                <w:rFonts w:hint="eastAsia"/>
                <w:color w:val="auto"/>
                <w:sz w:val="24"/>
                <w:szCs w:val="22"/>
              </w:rPr>
              <w:t>经</w:t>
            </w:r>
            <w:r>
              <w:rPr>
                <w:rFonts w:hint="eastAsia"/>
                <w:color w:val="auto"/>
                <w:sz w:val="24"/>
                <w:szCs w:val="22"/>
                <w:lang w:eastAsia="zh-CN"/>
              </w:rPr>
              <w:t>生化池</w:t>
            </w:r>
            <w:r>
              <w:rPr>
                <w:color w:val="auto"/>
                <w:sz w:val="24"/>
                <w:szCs w:val="22"/>
              </w:rPr>
              <w:t>处理后回用于</w:t>
            </w:r>
            <w:r>
              <w:rPr>
                <w:rFonts w:hint="eastAsia"/>
                <w:color w:val="auto"/>
                <w:sz w:val="24"/>
                <w:szCs w:val="22"/>
              </w:rPr>
              <w:t>厂内绿化</w:t>
            </w:r>
            <w:r>
              <w:rPr>
                <w:color w:val="auto"/>
                <w:sz w:val="24"/>
                <w:szCs w:val="22"/>
              </w:rPr>
              <w:t>。因此，项目的建设和选址符合《广东省饮用水源水质保护条例》的相关要求。</w:t>
            </w:r>
          </w:p>
          <w:p>
            <w:pPr>
              <w:keepNext/>
              <w:keepLines/>
              <w:spacing w:line="360" w:lineRule="auto"/>
              <w:ind w:firstLine="482" w:firstLineChars="200"/>
              <w:outlineLvl w:val="2"/>
              <w:rPr>
                <w:b/>
                <w:color w:val="auto"/>
                <w:sz w:val="24"/>
              </w:rPr>
            </w:pPr>
            <w:bookmarkStart w:id="25" w:name="_Toc493854123"/>
            <w:bookmarkStart w:id="26" w:name="_Toc515265009"/>
            <w:bookmarkStart w:id="27" w:name="_Toc493782235"/>
            <w:r>
              <w:rPr>
                <w:rFonts w:hint="eastAsia" w:ascii="宋体" w:hAnsi="宋体" w:cs="宋体"/>
                <w:b/>
                <w:color w:val="auto"/>
                <w:sz w:val="24"/>
              </w:rPr>
              <w:t>③</w:t>
            </w:r>
            <w:r>
              <w:rPr>
                <w:b/>
                <w:color w:val="auto"/>
                <w:sz w:val="24"/>
              </w:rPr>
              <w:t>与南粤水更清行动计划的相符性</w:t>
            </w:r>
            <w:bookmarkEnd w:id="25"/>
            <w:bookmarkEnd w:id="26"/>
            <w:bookmarkEnd w:id="27"/>
          </w:p>
          <w:p>
            <w:pPr>
              <w:spacing w:line="360" w:lineRule="auto"/>
              <w:ind w:firstLine="480" w:firstLineChars="200"/>
              <w:rPr>
                <w:color w:val="auto"/>
                <w:kern w:val="0"/>
                <w:sz w:val="24"/>
                <w:szCs w:val="20"/>
              </w:rPr>
            </w:pPr>
            <w:r>
              <w:rPr>
                <w:color w:val="auto"/>
                <w:sz w:val="24"/>
                <w:szCs w:val="22"/>
              </w:rPr>
              <w:t>广东省环境保护厅《关于印发&lt;南粤水更清行动计划（修订本）（2017～2020年）&gt;的通知》（粤环〔2017〕28号），</w:t>
            </w:r>
            <w:r>
              <w:rPr>
                <w:color w:val="auto"/>
                <w:kern w:val="0"/>
                <w:sz w:val="24"/>
                <w:szCs w:val="20"/>
              </w:rPr>
              <w:t>“供水通道严禁新建排污口，依法关停涉重金属、持久性有机污染物等有毒有害的排污口，其余现有排污口不得增加污染物排放量，汇入供水通道的支流水质应达到地表水环境质量标准Ⅲ类要求。”</w:t>
            </w:r>
          </w:p>
          <w:p>
            <w:pPr>
              <w:spacing w:line="360" w:lineRule="auto"/>
              <w:ind w:firstLine="480" w:firstLineChars="200"/>
              <w:rPr>
                <w:color w:val="auto"/>
                <w:kern w:val="0"/>
                <w:sz w:val="24"/>
                <w:szCs w:val="20"/>
              </w:rPr>
            </w:pPr>
            <w:r>
              <w:rPr>
                <w:color w:val="auto"/>
                <w:kern w:val="0"/>
                <w:sz w:val="24"/>
                <w:szCs w:val="20"/>
              </w:rPr>
              <w:t>《计划》中显示揭阳市的供水通道和排水通道规划分别见表9-</w:t>
            </w:r>
            <w:r>
              <w:rPr>
                <w:rFonts w:hint="eastAsia"/>
                <w:color w:val="auto"/>
                <w:kern w:val="0"/>
                <w:sz w:val="24"/>
                <w:szCs w:val="20"/>
                <w:lang w:val="en-US" w:eastAsia="zh-CN"/>
              </w:rPr>
              <w:t>2</w:t>
            </w:r>
            <w:r>
              <w:rPr>
                <w:color w:val="auto"/>
                <w:kern w:val="0"/>
                <w:sz w:val="24"/>
                <w:szCs w:val="20"/>
              </w:rPr>
              <w:t>和表9-</w:t>
            </w:r>
            <w:r>
              <w:rPr>
                <w:rFonts w:hint="eastAsia"/>
                <w:color w:val="auto"/>
                <w:kern w:val="0"/>
                <w:sz w:val="24"/>
                <w:szCs w:val="20"/>
                <w:lang w:val="en-US" w:eastAsia="zh-CN"/>
              </w:rPr>
              <w:t>3</w:t>
            </w:r>
            <w:r>
              <w:rPr>
                <w:color w:val="auto"/>
                <w:kern w:val="0"/>
                <w:sz w:val="24"/>
                <w:szCs w:val="20"/>
              </w:rPr>
              <w:t>：</w:t>
            </w:r>
          </w:p>
          <w:p>
            <w:pPr>
              <w:widowControl/>
              <w:ind w:firstLine="422" w:firstLineChars="200"/>
              <w:jc w:val="center"/>
              <w:rPr>
                <w:b/>
                <w:color w:val="auto"/>
                <w:kern w:val="0"/>
                <w:szCs w:val="21"/>
              </w:rPr>
            </w:pPr>
            <w:r>
              <w:rPr>
                <w:b/>
                <w:color w:val="auto"/>
                <w:kern w:val="0"/>
                <w:szCs w:val="21"/>
              </w:rPr>
              <w:t>表9-</w:t>
            </w:r>
            <w:r>
              <w:rPr>
                <w:rFonts w:hint="eastAsia"/>
                <w:b/>
                <w:color w:val="auto"/>
                <w:kern w:val="0"/>
                <w:szCs w:val="21"/>
                <w:lang w:val="en-US" w:eastAsia="zh-CN"/>
              </w:rPr>
              <w:t>2</w:t>
            </w:r>
            <w:r>
              <w:rPr>
                <w:b/>
                <w:color w:val="auto"/>
                <w:kern w:val="0"/>
                <w:szCs w:val="21"/>
              </w:rPr>
              <w:t xml:space="preserve">  广东省主要供水通道规划</w:t>
            </w:r>
          </w:p>
          <w:tbl>
            <w:tblPr>
              <w:tblStyle w:val="31"/>
              <w:tblW w:w="852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7"/>
              <w:gridCol w:w="1278"/>
              <w:gridCol w:w="3555"/>
              <w:gridCol w:w="24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277" w:type="dxa"/>
                  <w:vAlign w:val="center"/>
                </w:tcPr>
                <w:p>
                  <w:pPr>
                    <w:widowControl/>
                    <w:snapToGrid w:val="0"/>
                    <w:spacing w:before="40" w:after="40"/>
                    <w:jc w:val="center"/>
                    <w:rPr>
                      <w:b/>
                      <w:color w:val="auto"/>
                      <w:kern w:val="0"/>
                      <w:szCs w:val="21"/>
                    </w:rPr>
                  </w:pPr>
                  <w:r>
                    <w:rPr>
                      <w:b/>
                      <w:color w:val="auto"/>
                      <w:kern w:val="0"/>
                      <w:szCs w:val="21"/>
                    </w:rPr>
                    <w:t>流域</w:t>
                  </w:r>
                </w:p>
              </w:tc>
              <w:tc>
                <w:tcPr>
                  <w:tcW w:w="1278" w:type="dxa"/>
                  <w:vAlign w:val="center"/>
                </w:tcPr>
                <w:p>
                  <w:pPr>
                    <w:widowControl/>
                    <w:snapToGrid w:val="0"/>
                    <w:spacing w:before="40" w:after="40"/>
                    <w:jc w:val="center"/>
                    <w:rPr>
                      <w:b/>
                      <w:color w:val="auto"/>
                      <w:kern w:val="0"/>
                      <w:szCs w:val="21"/>
                    </w:rPr>
                  </w:pPr>
                  <w:r>
                    <w:rPr>
                      <w:b/>
                      <w:color w:val="auto"/>
                      <w:kern w:val="0"/>
                      <w:szCs w:val="21"/>
                    </w:rPr>
                    <w:t>水系名称</w:t>
                  </w:r>
                </w:p>
              </w:tc>
              <w:tc>
                <w:tcPr>
                  <w:tcW w:w="3555" w:type="dxa"/>
                  <w:vAlign w:val="center"/>
                </w:tcPr>
                <w:p>
                  <w:pPr>
                    <w:widowControl/>
                    <w:snapToGrid w:val="0"/>
                    <w:spacing w:before="40" w:after="40"/>
                    <w:jc w:val="center"/>
                    <w:rPr>
                      <w:b/>
                      <w:color w:val="auto"/>
                      <w:kern w:val="0"/>
                      <w:szCs w:val="21"/>
                    </w:rPr>
                  </w:pPr>
                  <w:r>
                    <w:rPr>
                      <w:b/>
                      <w:color w:val="auto"/>
                      <w:kern w:val="0"/>
                      <w:szCs w:val="21"/>
                    </w:rPr>
                    <w:t>主要供水通道</w:t>
                  </w:r>
                </w:p>
              </w:tc>
              <w:tc>
                <w:tcPr>
                  <w:tcW w:w="2412" w:type="dxa"/>
                  <w:vAlign w:val="center"/>
                </w:tcPr>
                <w:p>
                  <w:pPr>
                    <w:widowControl/>
                    <w:snapToGrid w:val="0"/>
                    <w:spacing w:before="40" w:after="40"/>
                    <w:jc w:val="center"/>
                    <w:rPr>
                      <w:b/>
                      <w:color w:val="auto"/>
                      <w:kern w:val="0"/>
                      <w:szCs w:val="21"/>
                    </w:rPr>
                  </w:pPr>
                  <w:r>
                    <w:rPr>
                      <w:b/>
                      <w:color w:val="auto"/>
                      <w:kern w:val="0"/>
                      <w:szCs w:val="21"/>
                    </w:rPr>
                    <w:t>主要服务区域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277" w:type="dxa"/>
                  <w:vAlign w:val="center"/>
                </w:tcPr>
                <w:p>
                  <w:pPr>
                    <w:widowControl/>
                    <w:snapToGrid w:val="0"/>
                    <w:spacing w:before="40" w:after="40"/>
                    <w:jc w:val="center"/>
                    <w:rPr>
                      <w:color w:val="auto"/>
                      <w:kern w:val="0"/>
                      <w:szCs w:val="21"/>
                    </w:rPr>
                  </w:pPr>
                  <w:r>
                    <w:rPr>
                      <w:color w:val="auto"/>
                      <w:kern w:val="0"/>
                      <w:szCs w:val="21"/>
                    </w:rPr>
                    <w:t>粤东诸河</w:t>
                  </w:r>
                </w:p>
              </w:tc>
              <w:tc>
                <w:tcPr>
                  <w:tcW w:w="1278" w:type="dxa"/>
                  <w:vAlign w:val="center"/>
                </w:tcPr>
                <w:p>
                  <w:pPr>
                    <w:widowControl/>
                    <w:snapToGrid w:val="0"/>
                    <w:spacing w:before="40" w:after="40" w:line="0" w:lineRule="atLeast"/>
                    <w:jc w:val="center"/>
                    <w:rPr>
                      <w:color w:val="auto"/>
                      <w:kern w:val="0"/>
                      <w:szCs w:val="21"/>
                    </w:rPr>
                  </w:pPr>
                  <w:r>
                    <w:rPr>
                      <w:color w:val="auto"/>
                      <w:kern w:val="0"/>
                      <w:szCs w:val="21"/>
                    </w:rPr>
                    <w:t>榕江</w:t>
                  </w:r>
                </w:p>
              </w:tc>
              <w:tc>
                <w:tcPr>
                  <w:tcW w:w="3555" w:type="dxa"/>
                  <w:vAlign w:val="center"/>
                </w:tcPr>
                <w:p>
                  <w:pPr>
                    <w:widowControl/>
                    <w:snapToGrid w:val="0"/>
                    <w:spacing w:before="40" w:after="40" w:line="0" w:lineRule="atLeast"/>
                    <w:jc w:val="center"/>
                    <w:rPr>
                      <w:color w:val="auto"/>
                      <w:kern w:val="0"/>
                      <w:szCs w:val="21"/>
                    </w:rPr>
                  </w:pPr>
                  <w:r>
                    <w:rPr>
                      <w:color w:val="auto"/>
                      <w:kern w:val="0"/>
                      <w:szCs w:val="21"/>
                    </w:rPr>
                    <w:t>榕江南河、榕江北河</w:t>
                  </w:r>
                </w:p>
              </w:tc>
              <w:tc>
                <w:tcPr>
                  <w:tcW w:w="2412" w:type="dxa"/>
                  <w:vAlign w:val="center"/>
                </w:tcPr>
                <w:p>
                  <w:pPr>
                    <w:widowControl/>
                    <w:snapToGrid w:val="0"/>
                    <w:spacing w:before="40" w:after="40" w:line="0" w:lineRule="atLeast"/>
                    <w:jc w:val="center"/>
                    <w:rPr>
                      <w:color w:val="auto"/>
                      <w:kern w:val="0"/>
                      <w:szCs w:val="21"/>
                    </w:rPr>
                  </w:pPr>
                  <w:r>
                    <w:rPr>
                      <w:color w:val="auto"/>
                      <w:kern w:val="0"/>
                      <w:szCs w:val="21"/>
                    </w:rPr>
                    <w:t>汕头、揭阳</w:t>
                  </w:r>
                </w:p>
              </w:tc>
            </w:tr>
          </w:tbl>
          <w:p>
            <w:pPr>
              <w:widowControl/>
              <w:ind w:firstLine="422" w:firstLineChars="200"/>
              <w:jc w:val="center"/>
              <w:rPr>
                <w:color w:val="auto"/>
                <w:kern w:val="0"/>
                <w:szCs w:val="21"/>
              </w:rPr>
            </w:pPr>
            <w:r>
              <w:rPr>
                <w:b/>
                <w:color w:val="auto"/>
                <w:kern w:val="0"/>
                <w:szCs w:val="21"/>
              </w:rPr>
              <w:t>表9-</w:t>
            </w:r>
            <w:r>
              <w:rPr>
                <w:rFonts w:hint="eastAsia"/>
                <w:b/>
                <w:color w:val="auto"/>
                <w:kern w:val="0"/>
                <w:szCs w:val="21"/>
                <w:lang w:val="en-US" w:eastAsia="zh-CN"/>
              </w:rPr>
              <w:t>3</w:t>
            </w:r>
            <w:r>
              <w:rPr>
                <w:b/>
                <w:color w:val="auto"/>
                <w:kern w:val="0"/>
                <w:szCs w:val="21"/>
              </w:rPr>
              <w:t xml:space="preserve"> 广东省主要排水通道规划</w:t>
            </w:r>
          </w:p>
          <w:tbl>
            <w:tblPr>
              <w:tblStyle w:val="31"/>
              <w:tblW w:w="852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23"/>
              <w:gridCol w:w="678"/>
              <w:gridCol w:w="1575"/>
              <w:gridCol w:w="3131"/>
              <w:gridCol w:w="2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23" w:type="dxa"/>
                  <w:vAlign w:val="center"/>
                </w:tcPr>
                <w:p>
                  <w:pPr>
                    <w:widowControl/>
                    <w:adjustRightInd w:val="0"/>
                    <w:snapToGrid w:val="0"/>
                    <w:jc w:val="center"/>
                    <w:rPr>
                      <w:b/>
                      <w:color w:val="auto"/>
                      <w:kern w:val="0"/>
                      <w:szCs w:val="21"/>
                    </w:rPr>
                  </w:pPr>
                  <w:r>
                    <w:rPr>
                      <w:b/>
                      <w:color w:val="auto"/>
                      <w:kern w:val="0"/>
                      <w:szCs w:val="21"/>
                    </w:rPr>
                    <w:t>流域</w:t>
                  </w:r>
                </w:p>
              </w:tc>
              <w:tc>
                <w:tcPr>
                  <w:tcW w:w="678" w:type="dxa"/>
                  <w:vAlign w:val="center"/>
                </w:tcPr>
                <w:p>
                  <w:pPr>
                    <w:widowControl/>
                    <w:adjustRightInd w:val="0"/>
                    <w:snapToGrid w:val="0"/>
                    <w:jc w:val="center"/>
                    <w:rPr>
                      <w:b/>
                      <w:color w:val="auto"/>
                      <w:kern w:val="0"/>
                      <w:szCs w:val="21"/>
                    </w:rPr>
                  </w:pPr>
                  <w:r>
                    <w:rPr>
                      <w:b/>
                      <w:color w:val="auto"/>
                      <w:kern w:val="0"/>
                      <w:szCs w:val="21"/>
                    </w:rPr>
                    <w:t>片区</w:t>
                  </w:r>
                </w:p>
              </w:tc>
              <w:tc>
                <w:tcPr>
                  <w:tcW w:w="1575" w:type="dxa"/>
                  <w:vAlign w:val="center"/>
                </w:tcPr>
                <w:p>
                  <w:pPr>
                    <w:widowControl/>
                    <w:adjustRightInd w:val="0"/>
                    <w:snapToGrid w:val="0"/>
                    <w:jc w:val="center"/>
                    <w:rPr>
                      <w:b/>
                      <w:color w:val="auto"/>
                      <w:kern w:val="0"/>
                      <w:szCs w:val="21"/>
                    </w:rPr>
                  </w:pPr>
                  <w:r>
                    <w:rPr>
                      <w:b/>
                      <w:color w:val="auto"/>
                      <w:kern w:val="0"/>
                      <w:szCs w:val="21"/>
                    </w:rPr>
                    <w:t>排水通道名称</w:t>
                  </w:r>
                </w:p>
              </w:tc>
              <w:tc>
                <w:tcPr>
                  <w:tcW w:w="3131" w:type="dxa"/>
                  <w:vAlign w:val="center"/>
                </w:tcPr>
                <w:p>
                  <w:pPr>
                    <w:widowControl/>
                    <w:adjustRightInd w:val="0"/>
                    <w:snapToGrid w:val="0"/>
                    <w:jc w:val="center"/>
                    <w:rPr>
                      <w:b/>
                      <w:color w:val="auto"/>
                      <w:kern w:val="0"/>
                      <w:szCs w:val="21"/>
                    </w:rPr>
                  </w:pPr>
                  <w:r>
                    <w:rPr>
                      <w:b/>
                      <w:color w:val="auto"/>
                      <w:kern w:val="0"/>
                      <w:szCs w:val="21"/>
                    </w:rPr>
                    <w:t>主要河道</w:t>
                  </w:r>
                </w:p>
              </w:tc>
              <w:tc>
                <w:tcPr>
                  <w:tcW w:w="2015" w:type="dxa"/>
                  <w:vAlign w:val="center"/>
                </w:tcPr>
                <w:p>
                  <w:pPr>
                    <w:widowControl/>
                    <w:adjustRightInd w:val="0"/>
                    <w:snapToGrid w:val="0"/>
                    <w:jc w:val="center"/>
                    <w:rPr>
                      <w:b/>
                      <w:color w:val="auto"/>
                      <w:kern w:val="0"/>
                      <w:szCs w:val="21"/>
                    </w:rPr>
                  </w:pPr>
                  <w:r>
                    <w:rPr>
                      <w:b/>
                      <w:color w:val="auto"/>
                      <w:kern w:val="0"/>
                      <w:szCs w:val="21"/>
                    </w:rPr>
                    <w:t>主要服务区域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23" w:type="dxa"/>
                  <w:vMerge w:val="restart"/>
                  <w:vAlign w:val="center"/>
                </w:tcPr>
                <w:p>
                  <w:pPr>
                    <w:widowControl/>
                    <w:adjustRightInd w:val="0"/>
                    <w:snapToGrid w:val="0"/>
                    <w:jc w:val="center"/>
                    <w:rPr>
                      <w:color w:val="auto"/>
                      <w:kern w:val="0"/>
                      <w:szCs w:val="21"/>
                    </w:rPr>
                  </w:pPr>
                  <w:r>
                    <w:rPr>
                      <w:color w:val="auto"/>
                      <w:kern w:val="0"/>
                      <w:szCs w:val="21"/>
                    </w:rPr>
                    <w:t>粤东诸河</w:t>
                  </w:r>
                </w:p>
              </w:tc>
              <w:tc>
                <w:tcPr>
                  <w:tcW w:w="678" w:type="dxa"/>
                  <w:vAlign w:val="center"/>
                </w:tcPr>
                <w:p>
                  <w:pPr>
                    <w:widowControl/>
                    <w:adjustRightInd w:val="0"/>
                    <w:snapToGrid w:val="0"/>
                    <w:spacing w:line="340" w:lineRule="exact"/>
                    <w:jc w:val="center"/>
                    <w:rPr>
                      <w:color w:val="auto"/>
                      <w:kern w:val="0"/>
                      <w:szCs w:val="21"/>
                    </w:rPr>
                  </w:pPr>
                  <w:r>
                    <w:rPr>
                      <w:color w:val="auto"/>
                      <w:kern w:val="0"/>
                      <w:szCs w:val="21"/>
                    </w:rPr>
                    <w:t>榕江</w:t>
                  </w:r>
                </w:p>
              </w:tc>
              <w:tc>
                <w:tcPr>
                  <w:tcW w:w="1575" w:type="dxa"/>
                  <w:vAlign w:val="center"/>
                </w:tcPr>
                <w:p>
                  <w:pPr>
                    <w:widowControl/>
                    <w:adjustRightInd w:val="0"/>
                    <w:snapToGrid w:val="0"/>
                    <w:spacing w:line="340" w:lineRule="exact"/>
                    <w:jc w:val="center"/>
                    <w:rPr>
                      <w:color w:val="auto"/>
                      <w:kern w:val="0"/>
                      <w:szCs w:val="21"/>
                    </w:rPr>
                  </w:pPr>
                  <w:r>
                    <w:rPr>
                      <w:color w:val="auto"/>
                      <w:kern w:val="0"/>
                      <w:szCs w:val="21"/>
                    </w:rPr>
                    <w:t>揭阳排水通道</w:t>
                  </w:r>
                </w:p>
              </w:tc>
              <w:tc>
                <w:tcPr>
                  <w:tcW w:w="3131" w:type="dxa"/>
                  <w:vAlign w:val="center"/>
                </w:tcPr>
                <w:p>
                  <w:pPr>
                    <w:widowControl/>
                    <w:adjustRightInd w:val="0"/>
                    <w:snapToGrid w:val="0"/>
                    <w:spacing w:line="340" w:lineRule="exact"/>
                    <w:jc w:val="center"/>
                    <w:rPr>
                      <w:color w:val="auto"/>
                      <w:kern w:val="0"/>
                      <w:szCs w:val="21"/>
                    </w:rPr>
                  </w:pPr>
                  <w:r>
                    <w:rPr>
                      <w:color w:val="auto"/>
                      <w:kern w:val="0"/>
                      <w:szCs w:val="21"/>
                    </w:rPr>
                    <w:t>榕江揭阳市区以下河段、枫江</w:t>
                  </w:r>
                </w:p>
              </w:tc>
              <w:tc>
                <w:tcPr>
                  <w:tcW w:w="2015" w:type="dxa"/>
                  <w:vAlign w:val="center"/>
                </w:tcPr>
                <w:p>
                  <w:pPr>
                    <w:widowControl/>
                    <w:adjustRightInd w:val="0"/>
                    <w:snapToGrid w:val="0"/>
                    <w:spacing w:line="340" w:lineRule="exact"/>
                    <w:jc w:val="center"/>
                    <w:rPr>
                      <w:color w:val="auto"/>
                      <w:kern w:val="0"/>
                      <w:szCs w:val="21"/>
                    </w:rPr>
                  </w:pPr>
                  <w:r>
                    <w:rPr>
                      <w:color w:val="auto"/>
                      <w:kern w:val="0"/>
                      <w:szCs w:val="21"/>
                    </w:rPr>
                    <w:t>汕头、潮州、揭阳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123" w:type="dxa"/>
                  <w:vMerge w:val="continue"/>
                  <w:vAlign w:val="center"/>
                </w:tcPr>
                <w:p>
                  <w:pPr>
                    <w:widowControl/>
                    <w:adjustRightInd w:val="0"/>
                    <w:snapToGrid w:val="0"/>
                    <w:jc w:val="center"/>
                    <w:rPr>
                      <w:color w:val="auto"/>
                      <w:kern w:val="0"/>
                      <w:szCs w:val="21"/>
                    </w:rPr>
                  </w:pPr>
                </w:p>
              </w:tc>
              <w:tc>
                <w:tcPr>
                  <w:tcW w:w="678" w:type="dxa"/>
                  <w:vAlign w:val="center"/>
                </w:tcPr>
                <w:p>
                  <w:pPr>
                    <w:widowControl/>
                    <w:adjustRightInd w:val="0"/>
                    <w:snapToGrid w:val="0"/>
                    <w:spacing w:line="340" w:lineRule="exact"/>
                    <w:jc w:val="center"/>
                    <w:rPr>
                      <w:color w:val="auto"/>
                      <w:kern w:val="0"/>
                      <w:szCs w:val="21"/>
                    </w:rPr>
                  </w:pPr>
                  <w:r>
                    <w:rPr>
                      <w:color w:val="auto"/>
                      <w:kern w:val="0"/>
                      <w:szCs w:val="21"/>
                    </w:rPr>
                    <w:t>练江</w:t>
                  </w:r>
                </w:p>
              </w:tc>
              <w:tc>
                <w:tcPr>
                  <w:tcW w:w="1575" w:type="dxa"/>
                  <w:vAlign w:val="center"/>
                </w:tcPr>
                <w:p>
                  <w:pPr>
                    <w:widowControl/>
                    <w:adjustRightInd w:val="0"/>
                    <w:snapToGrid w:val="0"/>
                    <w:spacing w:line="340" w:lineRule="exact"/>
                    <w:jc w:val="center"/>
                    <w:rPr>
                      <w:color w:val="auto"/>
                      <w:kern w:val="0"/>
                      <w:szCs w:val="21"/>
                    </w:rPr>
                  </w:pPr>
                  <w:r>
                    <w:rPr>
                      <w:color w:val="auto"/>
                      <w:kern w:val="0"/>
                      <w:szCs w:val="21"/>
                    </w:rPr>
                    <w:t>练江排水通道</w:t>
                  </w:r>
                </w:p>
              </w:tc>
              <w:tc>
                <w:tcPr>
                  <w:tcW w:w="3131" w:type="dxa"/>
                  <w:vAlign w:val="center"/>
                </w:tcPr>
                <w:p>
                  <w:pPr>
                    <w:widowControl/>
                    <w:adjustRightInd w:val="0"/>
                    <w:snapToGrid w:val="0"/>
                    <w:spacing w:line="340" w:lineRule="exact"/>
                    <w:jc w:val="center"/>
                    <w:rPr>
                      <w:color w:val="auto"/>
                      <w:kern w:val="0"/>
                      <w:szCs w:val="21"/>
                    </w:rPr>
                  </w:pPr>
                  <w:r>
                    <w:rPr>
                      <w:color w:val="auto"/>
                      <w:kern w:val="0"/>
                      <w:szCs w:val="21"/>
                    </w:rPr>
                    <w:t>练江</w:t>
                  </w:r>
                </w:p>
              </w:tc>
              <w:tc>
                <w:tcPr>
                  <w:tcW w:w="2015" w:type="dxa"/>
                  <w:vAlign w:val="center"/>
                </w:tcPr>
                <w:p>
                  <w:pPr>
                    <w:widowControl/>
                    <w:adjustRightInd w:val="0"/>
                    <w:snapToGrid w:val="0"/>
                    <w:spacing w:line="340" w:lineRule="exact"/>
                    <w:jc w:val="center"/>
                    <w:rPr>
                      <w:color w:val="auto"/>
                      <w:kern w:val="0"/>
                      <w:szCs w:val="21"/>
                    </w:rPr>
                  </w:pPr>
                  <w:r>
                    <w:rPr>
                      <w:color w:val="auto"/>
                      <w:kern w:val="0"/>
                      <w:szCs w:val="21"/>
                    </w:rPr>
                    <w:t>汕头、揭阳</w:t>
                  </w:r>
                </w:p>
              </w:tc>
            </w:tr>
          </w:tbl>
          <w:p>
            <w:pPr>
              <w:widowControl/>
              <w:ind w:firstLine="420" w:firstLineChars="200"/>
              <w:jc w:val="left"/>
              <w:rPr>
                <w:color w:val="auto"/>
                <w:kern w:val="0"/>
                <w:szCs w:val="21"/>
              </w:rPr>
            </w:pPr>
          </w:p>
          <w:p>
            <w:pPr>
              <w:spacing w:line="360" w:lineRule="auto"/>
              <w:ind w:firstLine="480" w:firstLineChars="200"/>
              <w:rPr>
                <w:rFonts w:hint="default" w:ascii="Times New Roman" w:hAnsi="Times New Roman" w:cs="Times New Roman"/>
                <w:color w:val="auto"/>
                <w:sz w:val="24"/>
              </w:rPr>
            </w:pPr>
            <w:r>
              <w:rPr>
                <w:color w:val="auto"/>
                <w:sz w:val="24"/>
              </w:rPr>
              <w:t>项目无生产废水</w:t>
            </w:r>
            <w:r>
              <w:rPr>
                <w:rFonts w:hint="eastAsia"/>
                <w:color w:val="auto"/>
                <w:sz w:val="24"/>
                <w:lang w:eastAsia="zh-CN"/>
              </w:rPr>
              <w:t>产生</w:t>
            </w:r>
            <w:r>
              <w:rPr>
                <w:color w:val="auto"/>
                <w:sz w:val="24"/>
              </w:rPr>
              <w:t>，生活污水经</w:t>
            </w:r>
            <w:r>
              <w:rPr>
                <w:rFonts w:hint="eastAsia"/>
                <w:color w:val="auto"/>
                <w:sz w:val="24"/>
                <w:lang w:eastAsia="zh-CN"/>
              </w:rPr>
              <w:t>生化池</w:t>
            </w:r>
            <w:r>
              <w:rPr>
                <w:color w:val="auto"/>
                <w:sz w:val="24"/>
              </w:rPr>
              <w:t>处理后回用于</w:t>
            </w:r>
            <w:r>
              <w:rPr>
                <w:rFonts w:hint="eastAsia"/>
                <w:color w:val="auto"/>
                <w:sz w:val="24"/>
              </w:rPr>
              <w:t>厂内绿化</w:t>
            </w:r>
            <w:r>
              <w:rPr>
                <w:color w:val="auto"/>
                <w:sz w:val="24"/>
              </w:rPr>
              <w:t>。因此，本项目符合南粤水更清行动计划。</w:t>
            </w:r>
          </w:p>
          <w:p>
            <w:pPr>
              <w:keepNext/>
              <w:keepLines/>
              <w:spacing w:line="360" w:lineRule="auto"/>
              <w:ind w:firstLine="482" w:firstLineChars="200"/>
              <w:outlineLvl w:val="2"/>
              <w:rPr>
                <w:rFonts w:hint="default" w:ascii="Times New Roman" w:hAnsi="Times New Roman" w:cs="Times New Roman"/>
                <w:b/>
                <w:color w:val="auto"/>
                <w:sz w:val="24"/>
              </w:rPr>
            </w:pPr>
            <w:r>
              <w:rPr>
                <w:rFonts w:hint="default" w:ascii="Times New Roman" w:hAnsi="Times New Roman" w:cs="Times New Roman"/>
                <w:b/>
                <w:color w:val="auto"/>
                <w:sz w:val="24"/>
              </w:rPr>
              <w:t>④项目与《揭阳市榕江流域水质达标方案（2017-2020年）》相符性</w:t>
            </w:r>
          </w:p>
          <w:p>
            <w:pPr>
              <w:spacing w:line="360" w:lineRule="auto"/>
              <w:ind w:firstLine="480" w:firstLineChars="200"/>
              <w:rPr>
                <w:color w:val="auto"/>
                <w:sz w:val="24"/>
              </w:rPr>
            </w:pPr>
            <w:r>
              <w:rPr>
                <w:color w:val="auto"/>
                <w:sz w:val="24"/>
              </w:rPr>
              <w:t>《揭阳市榕江流域水质达标方案（2017-2020年）》要求</w:t>
            </w:r>
            <w:r>
              <w:rPr>
                <w:rFonts w:hint="eastAsia"/>
                <w:color w:val="auto"/>
                <w:sz w:val="24"/>
              </w:rPr>
              <w:t>；“</w:t>
            </w:r>
            <w:r>
              <w:rPr>
                <w:color w:val="auto"/>
                <w:sz w:val="24"/>
              </w:rPr>
              <w:t>严格环境准入，促进产业结构调整：加快推进落后产能淘汰，制定并实施分年度的落后产能淘汰方案，大力推进造纸、纺织印染、酿造、电镀、化工、小钢铁等重污染行业落后产能的淘汰退出</w:t>
            </w:r>
            <w:r>
              <w:rPr>
                <w:rFonts w:hint="eastAsia"/>
                <w:color w:val="auto"/>
                <w:sz w:val="24"/>
              </w:rPr>
              <w:t>”、“</w:t>
            </w:r>
            <w:r>
              <w:rPr>
                <w:color w:val="auto"/>
                <w:sz w:val="24"/>
              </w:rPr>
              <w:t>严格实施流域限批，榕江南河三洲拦河坝上游、榕江北河桥闸上游、集中式饮用水源地及上游集水区域禁止新建和扩建制浆、造纸、印染、电镀、鞋革、线路板、化工、冶炼、发酵酿造、生物制药、危险废物综合利用或处置等重污染项目，禁止新建和扩建排放含汞、砷、镉、铬、铅等重金属和持久性有机污染物项目，以及存在重大环境风险和环境安全隐患的项目</w:t>
            </w:r>
            <w:r>
              <w:rPr>
                <w:rFonts w:hint="eastAsia"/>
                <w:color w:val="auto"/>
                <w:sz w:val="24"/>
              </w:rPr>
              <w:t>”</w:t>
            </w:r>
            <w:r>
              <w:rPr>
                <w:color w:val="auto"/>
                <w:sz w:val="24"/>
              </w:rPr>
              <w:t>。</w:t>
            </w:r>
          </w:p>
          <w:p>
            <w:pPr>
              <w:spacing w:line="360" w:lineRule="auto"/>
              <w:ind w:firstLine="480" w:firstLineChars="200"/>
              <w:rPr>
                <w:color w:val="auto"/>
                <w:sz w:val="24"/>
              </w:rPr>
            </w:pPr>
            <w:r>
              <w:rPr>
                <w:color w:val="auto"/>
                <w:sz w:val="24"/>
              </w:rPr>
              <w:t>本项目属于废弃资源综合利用业，不属于《揭阳市榕江流域水质达标方案（2017-2020年）》</w:t>
            </w:r>
            <w:r>
              <w:rPr>
                <w:rFonts w:hint="eastAsia"/>
                <w:color w:val="auto"/>
                <w:sz w:val="24"/>
              </w:rPr>
              <w:t>中需淘汰的</w:t>
            </w:r>
            <w:r>
              <w:rPr>
                <w:color w:val="auto"/>
                <w:sz w:val="24"/>
              </w:rPr>
              <w:t>落后产能，因此符合方案中的环境准入；项目也不属于《揭阳市榕江流域水质达标方案（2017-2020年）》</w:t>
            </w:r>
            <w:r>
              <w:rPr>
                <w:rFonts w:hint="eastAsia"/>
                <w:color w:val="auto"/>
                <w:sz w:val="24"/>
              </w:rPr>
              <w:t>所列的</w:t>
            </w:r>
            <w:r>
              <w:rPr>
                <w:color w:val="auto"/>
                <w:sz w:val="24"/>
              </w:rPr>
              <w:t>重污染项目，也不属于《揭阳市榕江流域水质达标方案（2017-2020年）》</w:t>
            </w:r>
            <w:r>
              <w:rPr>
                <w:rFonts w:hint="eastAsia"/>
                <w:color w:val="auto"/>
                <w:sz w:val="24"/>
              </w:rPr>
              <w:t>所列的</w:t>
            </w:r>
            <w:r>
              <w:rPr>
                <w:color w:val="auto"/>
                <w:sz w:val="24"/>
              </w:rPr>
              <w:t>重金属和持久性有机污染物项目，因此不属于方案中的流域限批项目</w:t>
            </w:r>
            <w:r>
              <w:rPr>
                <w:rFonts w:hint="eastAsia"/>
                <w:color w:val="auto"/>
                <w:sz w:val="24"/>
              </w:rPr>
              <w:t>。</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综上，本项目与《揭阳市榕江流域水质达标方案（2017-2020年）》的要求相符。</w:t>
            </w:r>
          </w:p>
          <w:p>
            <w:pPr>
              <w:keepNext/>
              <w:keepLines/>
              <w:spacing w:line="360" w:lineRule="auto"/>
              <w:ind w:firstLine="482" w:firstLineChars="200"/>
              <w:outlineLvl w:val="2"/>
              <w:rPr>
                <w:rFonts w:hint="default" w:ascii="Times New Roman" w:hAnsi="Times New Roman" w:cs="Times New Roman"/>
                <w:b/>
                <w:color w:val="00B050"/>
                <w:sz w:val="24"/>
              </w:rPr>
            </w:pPr>
            <w:r>
              <w:rPr>
                <w:rFonts w:hint="default" w:ascii="Times New Roman" w:hAnsi="Times New Roman" w:cs="Times New Roman"/>
                <w:b/>
                <w:color w:val="00B050"/>
                <w:sz w:val="24"/>
              </w:rPr>
              <w:t>⑤与《练江流域水环境综合整治方案（2014-2020)》相符性分析</w:t>
            </w:r>
          </w:p>
          <w:p>
            <w:pPr>
              <w:spacing w:line="360" w:lineRule="auto"/>
              <w:ind w:firstLine="480" w:firstLineChars="200"/>
              <w:rPr>
                <w:rFonts w:hint="default"/>
                <w:color w:val="00B050"/>
                <w:sz w:val="24"/>
              </w:rPr>
            </w:pPr>
            <w:r>
              <w:rPr>
                <w:rFonts w:hint="default"/>
                <w:color w:val="00B050"/>
                <w:sz w:val="24"/>
              </w:rPr>
              <w:t>《练江流域水环境综合整治方案（2014-2020)》、《普宁市人民政府关于印发普宁市练江流域建设项目准入指引的通知》</w:t>
            </w:r>
            <w:r>
              <w:rPr>
                <w:rFonts w:hint="default"/>
                <w:color w:val="00B050"/>
                <w:sz w:val="24"/>
                <w:lang w:eastAsia="zh-CN"/>
              </w:rPr>
              <w:t>（2016年12月5日发布）</w:t>
            </w:r>
            <w:r>
              <w:rPr>
                <w:rFonts w:hint="default"/>
                <w:color w:val="00B050"/>
                <w:sz w:val="24"/>
              </w:rPr>
              <w:t>中练江流域建设项目准入要求：“除入园项目外，禁止新建扩建印染、制浆、造纸、电镀、鞣革、线路板、化工、冶炼、发酵酿造和畜禽养殖等水污染行业，暂停审批电氧化、食品加工和截污管网外的洗车、餐饮、沐足桑拿等耗水性项目、生产过程中含酸洗、磷化、表面处理等工艺的项目和其他排放在练江已超标污染物的项目。”</w:t>
            </w:r>
          </w:p>
          <w:p>
            <w:pPr>
              <w:spacing w:line="360" w:lineRule="auto"/>
              <w:ind w:firstLine="480" w:firstLineChars="200"/>
              <w:rPr>
                <w:rFonts w:hint="default"/>
                <w:color w:val="00B050"/>
                <w:sz w:val="24"/>
              </w:rPr>
            </w:pPr>
            <w:r>
              <w:rPr>
                <w:rFonts w:hint="default"/>
                <w:color w:val="00B050"/>
                <w:sz w:val="24"/>
              </w:rPr>
              <w:t>本项目属于</w:t>
            </w:r>
            <w:r>
              <w:rPr>
                <w:color w:val="00B050"/>
                <w:sz w:val="24"/>
              </w:rPr>
              <w:t>废弃资源综合利用业</w:t>
            </w:r>
            <w:r>
              <w:rPr>
                <w:rFonts w:hint="default"/>
                <w:color w:val="00B050"/>
                <w:sz w:val="24"/>
              </w:rPr>
              <w:t>，不属于《练江流域水环境综合整治方案（2014-2020)》所列的禁止新建的项目，因此，本项目</w:t>
            </w:r>
            <w:r>
              <w:rPr>
                <w:rFonts w:hint="eastAsia"/>
                <w:color w:val="00B050"/>
                <w:sz w:val="24"/>
                <w:lang w:eastAsia="zh-CN"/>
              </w:rPr>
              <w:t>与</w:t>
            </w:r>
            <w:r>
              <w:rPr>
                <w:rFonts w:hint="default"/>
                <w:color w:val="00B050"/>
                <w:sz w:val="24"/>
              </w:rPr>
              <w:t>《练江流域水环境综合整治方案（2014-2020)》的要求相符。</w:t>
            </w:r>
          </w:p>
          <w:p>
            <w:pPr>
              <w:keepNext/>
              <w:keepLines/>
              <w:spacing w:line="360" w:lineRule="auto"/>
              <w:ind w:firstLine="482" w:firstLineChars="200"/>
              <w:outlineLvl w:val="2"/>
              <w:rPr>
                <w:rFonts w:hint="default" w:ascii="Times New Roman" w:hAnsi="Times New Roman" w:cs="Times New Roman"/>
                <w:b/>
                <w:color w:val="FF0000"/>
                <w:sz w:val="24"/>
              </w:rPr>
            </w:pPr>
            <w:r>
              <w:rPr>
                <w:rFonts w:hint="default" w:ascii="Times New Roman" w:hAnsi="Times New Roman" w:cs="Times New Roman"/>
                <w:b/>
                <w:color w:val="FF0000"/>
                <w:sz w:val="24"/>
              </w:rPr>
              <w:t>⑥项目</w:t>
            </w:r>
            <w:r>
              <w:rPr>
                <w:rFonts w:hint="default" w:ascii="Times New Roman" w:hAnsi="Times New Roman" w:cs="Times New Roman"/>
                <w:b/>
                <w:color w:val="FF0000"/>
                <w:sz w:val="24"/>
                <w:lang w:eastAsia="zh-CN"/>
              </w:rPr>
              <w:t>与</w:t>
            </w:r>
            <w:r>
              <w:rPr>
                <w:rFonts w:hint="default" w:ascii="Times New Roman" w:hAnsi="Times New Roman" w:cs="Times New Roman"/>
                <w:b/>
                <w:color w:val="FF0000"/>
                <w:sz w:val="24"/>
              </w:rPr>
              <w:t>《普宁市人民政府关于印发普宁市练江流域建设项目准入指引的通知》（2016年12月5日发布）相符性分析</w:t>
            </w:r>
          </w:p>
          <w:p>
            <w:pPr>
              <w:spacing w:line="360" w:lineRule="auto"/>
              <w:ind w:firstLine="480" w:firstLineChars="200"/>
              <w:rPr>
                <w:rFonts w:hint="eastAsia" w:cs="Times New Roman"/>
                <w:color w:val="FF0000"/>
                <w:sz w:val="24"/>
                <w:lang w:eastAsia="zh-CN"/>
              </w:rPr>
            </w:pPr>
            <w:r>
              <w:rPr>
                <w:rFonts w:hint="eastAsia" w:cs="Times New Roman"/>
                <w:color w:val="FF0000"/>
                <w:sz w:val="24"/>
                <w:lang w:eastAsia="zh-CN"/>
              </w:rPr>
              <w:t>项目附近水体为</w:t>
            </w:r>
            <w:r>
              <w:rPr>
                <w:rFonts w:hint="eastAsia" w:ascii="Times New Roman" w:hAnsi="Times New Roman" w:cs="Times New Roman"/>
                <w:color w:val="FF0000"/>
                <w:sz w:val="24"/>
              </w:rPr>
              <w:t>引榕</w:t>
            </w:r>
            <w:r>
              <w:rPr>
                <w:rFonts w:hint="eastAsia" w:cs="Times New Roman"/>
                <w:color w:val="FF0000"/>
                <w:sz w:val="24"/>
                <w:lang w:eastAsia="zh-CN"/>
              </w:rPr>
              <w:t>总干</w:t>
            </w:r>
            <w:r>
              <w:rPr>
                <w:rFonts w:hint="eastAsia" w:ascii="Times New Roman" w:hAnsi="Times New Roman" w:cs="Times New Roman"/>
                <w:color w:val="FF0000"/>
                <w:sz w:val="24"/>
              </w:rPr>
              <w:t>渠</w:t>
            </w:r>
            <w:r>
              <w:rPr>
                <w:rFonts w:hint="eastAsia" w:cs="Times New Roman"/>
                <w:color w:val="FF0000"/>
                <w:sz w:val="24"/>
                <w:lang w:eastAsia="zh-CN"/>
              </w:rPr>
              <w:t>，</w:t>
            </w:r>
            <w:r>
              <w:rPr>
                <w:rFonts w:hint="eastAsia" w:ascii="Times New Roman" w:hAnsi="Times New Roman" w:cs="Times New Roman"/>
                <w:color w:val="FF0000"/>
                <w:sz w:val="24"/>
              </w:rPr>
              <w:t>主要功能为工农业用水、灌溉用水和排水，下游汇入练江</w:t>
            </w:r>
            <w:r>
              <w:rPr>
                <w:rFonts w:hint="eastAsia" w:cs="Times New Roman"/>
                <w:color w:val="FF0000"/>
                <w:sz w:val="24"/>
                <w:lang w:eastAsia="zh-CN"/>
              </w:rPr>
              <w:t>。《普宁市人民政府关于印发普宁市练江流域建设项目准入指引的通知》（2016年12月5日发布）要求：“</w:t>
            </w:r>
            <w:r>
              <w:rPr>
                <w:rFonts w:hint="eastAsia" w:cs="Times New Roman"/>
                <w:color w:val="FF0000"/>
                <w:sz w:val="24"/>
                <w:lang w:val="en-US" w:eastAsia="zh-CN"/>
              </w:rPr>
              <w:t>练江流域建设项目准入要求为：（一）禁止建设类项目。</w:t>
            </w:r>
          </w:p>
          <w:p>
            <w:pPr>
              <w:spacing w:line="360" w:lineRule="auto"/>
              <w:rPr>
                <w:rFonts w:hint="eastAsia" w:cs="Times New Roman"/>
                <w:color w:val="FF0000"/>
                <w:sz w:val="24"/>
                <w:lang w:eastAsia="zh-CN"/>
              </w:rPr>
            </w:pPr>
            <w:r>
              <w:rPr>
                <w:rFonts w:hint="eastAsia" w:cs="Times New Roman"/>
                <w:color w:val="FF0000"/>
                <w:sz w:val="24"/>
                <w:lang w:val="en-US" w:eastAsia="zh-CN"/>
              </w:rPr>
              <w:t>除入园项目外，禁止新建、扩建印染、制浆、造纸、电镀、鞣革、线路板、化工、冶炼、发酵酿造、畜禽养殖和危险废物综合利用和处置等水污染行业。（二）暂停审批类项目。</w:t>
            </w:r>
          </w:p>
          <w:p>
            <w:pPr>
              <w:spacing w:line="360" w:lineRule="auto"/>
              <w:rPr>
                <w:rFonts w:hint="eastAsia" w:eastAsia="宋体" w:cs="Times New Roman"/>
                <w:color w:val="FF0000"/>
                <w:sz w:val="24"/>
                <w:lang w:eastAsia="zh-CN"/>
              </w:rPr>
            </w:pPr>
            <w:r>
              <w:rPr>
                <w:rFonts w:hint="eastAsia" w:cs="Times New Roman"/>
                <w:color w:val="FF0000"/>
                <w:sz w:val="24"/>
                <w:lang w:val="en-US" w:eastAsia="zh-CN"/>
              </w:rPr>
              <w:t>在未按省的规定实现相应的水质目标前，暂停审批除电氧化、食品加工和截污管网外的洗车、餐饮、沐足桑拿等耗水性项目，生产过程中含酸洗、磷化、表面处理等工艺的项目和其他排放在练江已超标污染物的项目。（三）严格限制类项目。严格限制水污染型、耗水型和劳动密集型的产业项目。”本项目属于</w:t>
            </w:r>
            <w:r>
              <w:rPr>
                <w:rFonts w:hint="default" w:ascii="Times New Roman" w:hAnsi="Times New Roman" w:cs="Times New Roman"/>
                <w:color w:val="FF0000"/>
                <w:sz w:val="24"/>
              </w:rPr>
              <w:t>非金属废料和碎屑加工处理</w:t>
            </w:r>
            <w:r>
              <w:rPr>
                <w:rFonts w:hint="eastAsia" w:cs="Times New Roman"/>
                <w:color w:val="FF0000"/>
                <w:sz w:val="24"/>
                <w:lang w:eastAsia="zh-CN"/>
              </w:rPr>
              <w:t>，项目主要用水为生活用水，生产过程不耗水，项目产生污水主要为生活污水，</w:t>
            </w:r>
            <w:r>
              <w:rPr>
                <w:color w:val="FF0000"/>
                <w:sz w:val="24"/>
              </w:rPr>
              <w:t>经</w:t>
            </w:r>
            <w:r>
              <w:rPr>
                <w:rFonts w:hint="eastAsia"/>
                <w:color w:val="FF0000"/>
                <w:sz w:val="24"/>
                <w:lang w:eastAsia="zh-CN"/>
              </w:rPr>
              <w:t>生化池</w:t>
            </w:r>
            <w:r>
              <w:rPr>
                <w:rFonts w:hint="eastAsia"/>
                <w:color w:val="FF0000"/>
                <w:sz w:val="24"/>
              </w:rPr>
              <w:t>处理</w:t>
            </w:r>
            <w:r>
              <w:rPr>
                <w:color w:val="FF0000"/>
                <w:sz w:val="24"/>
              </w:rPr>
              <w:t>达到</w:t>
            </w:r>
            <w:r>
              <w:rPr>
                <w:color w:val="FF0000"/>
                <w:sz w:val="24"/>
                <w:lang w:val="en-US"/>
              </w:rPr>
              <w:t>《城市污水再生利用 城市杂用水水质》（GB/T18920-2002）中城市绿化水质标准</w:t>
            </w:r>
            <w:r>
              <w:rPr>
                <w:color w:val="FF0000"/>
                <w:sz w:val="24"/>
              </w:rPr>
              <w:t>后</w:t>
            </w:r>
            <w:r>
              <w:rPr>
                <w:rFonts w:hint="eastAsia"/>
                <w:color w:val="FF0000"/>
                <w:sz w:val="24"/>
              </w:rPr>
              <w:t>用于厂内绿化</w:t>
            </w:r>
            <w:r>
              <w:rPr>
                <w:rFonts w:hint="eastAsia"/>
                <w:color w:val="FF0000"/>
                <w:sz w:val="24"/>
                <w:lang w:eastAsia="zh-CN"/>
              </w:rPr>
              <w:t>，因此本项目</w:t>
            </w:r>
            <w:r>
              <w:rPr>
                <w:rFonts w:hint="eastAsia" w:cs="Times New Roman"/>
                <w:color w:val="FF0000"/>
                <w:sz w:val="24"/>
                <w:lang w:eastAsia="zh-CN"/>
              </w:rPr>
              <w:t>不属于该指引中禁止建设类项目、暂停审批类项目和严格限制类项目。</w:t>
            </w:r>
          </w:p>
          <w:p>
            <w:pPr>
              <w:keepNext/>
              <w:keepLines/>
              <w:spacing w:line="360" w:lineRule="auto"/>
              <w:ind w:firstLine="482" w:firstLineChars="200"/>
              <w:outlineLvl w:val="2"/>
              <w:rPr>
                <w:rFonts w:hint="eastAsia" w:ascii="Times New Roman" w:hAnsi="Times New Roman" w:cs="Times New Roman"/>
                <w:b/>
                <w:color w:val="FF0000"/>
                <w:sz w:val="24"/>
                <w:lang w:val="en-US" w:eastAsia="zh-CN"/>
              </w:rPr>
            </w:pPr>
            <w:r>
              <w:rPr>
                <w:rFonts w:hint="default" w:ascii="Times New Roman" w:hAnsi="Times New Roman" w:cs="Times New Roman"/>
                <w:b/>
                <w:color w:val="FF0000"/>
                <w:sz w:val="24"/>
              </w:rPr>
              <w:t>⑦</w:t>
            </w:r>
            <w:r>
              <w:rPr>
                <w:rFonts w:hint="default" w:ascii="Times New Roman" w:hAnsi="Times New Roman" w:cs="Times New Roman"/>
                <w:b/>
                <w:color w:val="FF0000"/>
                <w:sz w:val="24"/>
                <w:lang w:eastAsia="zh-CN"/>
              </w:rPr>
              <w:t>项目与《</w:t>
            </w:r>
            <w:r>
              <w:rPr>
                <w:rFonts w:hint="default" w:ascii="Times New Roman" w:hAnsi="Times New Roman" w:cs="Times New Roman"/>
                <w:b/>
                <w:color w:val="FF0000"/>
                <w:sz w:val="24"/>
                <w:lang w:val="en-US" w:eastAsia="zh-CN"/>
              </w:rPr>
              <w:t>揭阳市重点流域水环境保护条例》（2019年3月1日施行）</w:t>
            </w:r>
            <w:r>
              <w:rPr>
                <w:rFonts w:hint="eastAsia" w:ascii="Times New Roman" w:hAnsi="Times New Roman" w:cs="Times New Roman"/>
                <w:b/>
                <w:color w:val="FF0000"/>
                <w:sz w:val="24"/>
                <w:lang w:val="en-US" w:eastAsia="zh-CN"/>
              </w:rPr>
              <w:t>相符性</w:t>
            </w:r>
          </w:p>
          <w:p>
            <w:pPr>
              <w:keepNext/>
              <w:keepLines/>
              <w:spacing w:line="360" w:lineRule="auto"/>
              <w:ind w:firstLine="480" w:firstLineChars="200"/>
              <w:outlineLvl w:val="2"/>
              <w:rPr>
                <w:rFonts w:hint="eastAsia"/>
                <w:color w:val="FF0000"/>
                <w:sz w:val="24"/>
                <w:lang w:val="en-US" w:eastAsia="zh-CN"/>
              </w:rPr>
            </w:pPr>
            <w:r>
              <w:rPr>
                <w:rFonts w:hint="default"/>
                <w:color w:val="FF0000"/>
                <w:sz w:val="24"/>
                <w:lang w:eastAsia="zh-CN"/>
              </w:rPr>
              <w:t>《</w:t>
            </w:r>
            <w:r>
              <w:rPr>
                <w:rFonts w:hint="default"/>
                <w:color w:val="FF0000"/>
                <w:sz w:val="24"/>
                <w:lang w:val="en-US" w:eastAsia="zh-CN"/>
              </w:rPr>
              <w:t>揭阳市重点流域水环境保护条例》（2019年3月1日施行</w:t>
            </w:r>
            <w:r>
              <w:rPr>
                <w:rFonts w:hint="eastAsia"/>
                <w:color w:val="FF0000"/>
                <w:sz w:val="24"/>
                <w:lang w:val="en-US" w:eastAsia="zh-CN"/>
              </w:rPr>
              <w:t>）要求：“禁止新建不符合国家产业政策的小型造纸、制革、印染、染料、炼焦、炼硫、炼砷、炼汞、炼油、电镀、农药、石棉、水泥、玻璃、钢铁、火电以及其他严重污染水环境的生产项目。 </w:t>
            </w:r>
          </w:p>
          <w:p>
            <w:pPr>
              <w:keepNext/>
              <w:keepLines/>
              <w:spacing w:line="360" w:lineRule="auto"/>
              <w:ind w:firstLine="480" w:firstLineChars="200"/>
              <w:outlineLvl w:val="2"/>
              <w:rPr>
                <w:rFonts w:hint="eastAsia"/>
                <w:color w:val="FF0000"/>
                <w:sz w:val="24"/>
                <w:lang w:val="en-US" w:eastAsia="zh-CN"/>
              </w:rPr>
            </w:pPr>
            <w:r>
              <w:rPr>
                <w:rFonts w:hint="eastAsia"/>
                <w:color w:val="FF0000"/>
                <w:sz w:val="24"/>
                <w:lang w:val="en-US" w:eastAsia="zh-CN"/>
              </w:rPr>
              <w:t>重点流域供水通道岸线一公里范围内禁止建设印染、电镀、酸洗、冶炼、重化工、化学制浆、有色金属等重污染项目；干流沿岸严格控制印染、五金、冶炼、石油加工、化学原料和化学制品制造、医药制造、化学纤维制造、有色金属等重污染项目。</w:t>
            </w:r>
          </w:p>
          <w:p>
            <w:pPr>
              <w:keepNext/>
              <w:keepLines/>
              <w:spacing w:line="360" w:lineRule="auto"/>
              <w:ind w:firstLine="480" w:firstLineChars="200"/>
              <w:outlineLvl w:val="2"/>
              <w:rPr>
                <w:rFonts w:hint="eastAsia"/>
                <w:color w:val="FF0000"/>
                <w:sz w:val="24"/>
                <w:lang w:val="en-US" w:eastAsia="zh-CN"/>
              </w:rPr>
            </w:pPr>
            <w:r>
              <w:rPr>
                <w:rFonts w:hint="eastAsia"/>
                <w:color w:val="FF0000"/>
                <w:sz w:val="24"/>
                <w:lang w:val="en-US" w:eastAsia="zh-CN"/>
              </w:rPr>
              <w:t>严格控制水污染严重地区和供水通道沿岸等区域高耗水、高污染行业发展，新建、改建、扩建涉水建设项目实行主要污染物和特征污染物排放减量置换。”</w:t>
            </w:r>
          </w:p>
          <w:p>
            <w:pPr>
              <w:keepNext/>
              <w:keepLines/>
              <w:spacing w:line="360" w:lineRule="auto"/>
              <w:ind w:firstLine="480" w:firstLineChars="200"/>
              <w:outlineLvl w:val="2"/>
              <w:rPr>
                <w:rFonts w:hint="eastAsia" w:eastAsia="宋体"/>
                <w:color w:val="FF0000"/>
                <w:sz w:val="24"/>
                <w:lang w:val="en-US" w:eastAsia="zh-CN"/>
              </w:rPr>
            </w:pPr>
            <w:r>
              <w:rPr>
                <w:rFonts w:hint="eastAsia"/>
                <w:color w:val="FF0000"/>
                <w:sz w:val="24"/>
                <w:lang w:val="en-US" w:eastAsia="zh-CN"/>
              </w:rPr>
              <w:t>本项目</w:t>
            </w:r>
            <w:r>
              <w:rPr>
                <w:color w:val="FF0000"/>
                <w:sz w:val="24"/>
              </w:rPr>
              <w:t>属于废弃资源综合利用业，</w:t>
            </w:r>
            <w:r>
              <w:rPr>
                <w:rFonts w:hint="eastAsia"/>
                <w:color w:val="FF0000"/>
                <w:sz w:val="24"/>
                <w:lang w:eastAsia="zh-CN"/>
              </w:rPr>
              <w:t>不属于</w:t>
            </w:r>
            <w:r>
              <w:rPr>
                <w:rFonts w:hint="default"/>
                <w:color w:val="FF0000"/>
                <w:sz w:val="24"/>
                <w:lang w:eastAsia="zh-CN"/>
              </w:rPr>
              <w:t>《</w:t>
            </w:r>
            <w:r>
              <w:rPr>
                <w:rFonts w:hint="default"/>
                <w:color w:val="FF0000"/>
                <w:sz w:val="24"/>
                <w:lang w:val="en-US" w:eastAsia="zh-CN"/>
              </w:rPr>
              <w:t>揭阳市重点流域水环境保护条例》（2019年3月1日施行</w:t>
            </w:r>
            <w:r>
              <w:rPr>
                <w:rFonts w:hint="eastAsia"/>
                <w:color w:val="FF0000"/>
                <w:sz w:val="24"/>
                <w:lang w:val="en-US" w:eastAsia="zh-CN"/>
              </w:rPr>
              <w:t>）所列的禁止和严格控制的项目。</w:t>
            </w:r>
          </w:p>
          <w:p>
            <w:pPr>
              <w:keepNext/>
              <w:keepLines/>
              <w:spacing w:line="360" w:lineRule="auto"/>
              <w:ind w:firstLine="482" w:firstLineChars="200"/>
              <w:outlineLvl w:val="2"/>
              <w:rPr>
                <w:rFonts w:hint="default" w:ascii="Times New Roman" w:hAnsi="Times New Roman" w:cs="Times New Roman"/>
                <w:color w:val="auto"/>
                <w:sz w:val="24"/>
              </w:rPr>
            </w:pPr>
            <w:r>
              <w:rPr>
                <w:rFonts w:hint="default" w:ascii="Times New Roman" w:hAnsi="Times New Roman" w:cs="Times New Roman"/>
                <w:b/>
                <w:color w:val="auto"/>
                <w:sz w:val="24"/>
              </w:rPr>
              <w:t>⑧项目与《广东省节约用水办法》（广东省人民政府令 第240号 2017年8月1日施行）相符性</w:t>
            </w:r>
          </w:p>
          <w:p>
            <w:pPr>
              <w:spacing w:line="360" w:lineRule="auto"/>
              <w:ind w:firstLine="480" w:firstLineChars="200"/>
              <w:rPr>
                <w:color w:val="auto"/>
                <w:sz w:val="24"/>
              </w:rPr>
            </w:pPr>
            <w:r>
              <w:rPr>
                <w:rFonts w:hint="eastAsia"/>
                <w:color w:val="auto"/>
                <w:sz w:val="24"/>
              </w:rPr>
              <w:t>《广东省节约用水办法》</w:t>
            </w:r>
            <w:r>
              <w:rPr>
                <w:color w:val="auto"/>
                <w:sz w:val="24"/>
              </w:rPr>
              <w:t>（</w:t>
            </w:r>
            <w:r>
              <w:rPr>
                <w:rFonts w:hint="eastAsia"/>
                <w:color w:val="auto"/>
                <w:sz w:val="24"/>
              </w:rPr>
              <w:t xml:space="preserve">广东省人民政府令 </w:t>
            </w:r>
            <w:r>
              <w:rPr>
                <w:color w:val="auto"/>
                <w:sz w:val="24"/>
              </w:rPr>
              <w:t>第</w:t>
            </w:r>
            <w:r>
              <w:rPr>
                <w:rFonts w:hint="eastAsia"/>
                <w:color w:val="auto"/>
                <w:sz w:val="24"/>
              </w:rPr>
              <w:t>2</w:t>
            </w:r>
            <w:r>
              <w:rPr>
                <w:color w:val="auto"/>
                <w:sz w:val="24"/>
              </w:rPr>
              <w:t>40号</w:t>
            </w:r>
            <w:r>
              <w:rPr>
                <w:rFonts w:hint="eastAsia"/>
                <w:color w:val="auto"/>
                <w:sz w:val="24"/>
              </w:rPr>
              <w:t xml:space="preserve"> </w:t>
            </w:r>
            <w:r>
              <w:rPr>
                <w:color w:val="auto"/>
                <w:sz w:val="24"/>
              </w:rPr>
              <w:t>2017年</w:t>
            </w:r>
            <w:r>
              <w:rPr>
                <w:rFonts w:hint="eastAsia"/>
                <w:color w:val="auto"/>
                <w:sz w:val="24"/>
              </w:rPr>
              <w:t>8</w:t>
            </w:r>
            <w:r>
              <w:rPr>
                <w:color w:val="auto"/>
                <w:sz w:val="24"/>
              </w:rPr>
              <w:t>月</w:t>
            </w:r>
            <w:r>
              <w:rPr>
                <w:rFonts w:hint="eastAsia"/>
                <w:color w:val="auto"/>
                <w:sz w:val="24"/>
              </w:rPr>
              <w:t>1</w:t>
            </w:r>
            <w:r>
              <w:rPr>
                <w:color w:val="auto"/>
                <w:sz w:val="24"/>
              </w:rPr>
              <w:t>日施行）</w:t>
            </w:r>
            <w:r>
              <w:rPr>
                <w:rFonts w:hint="eastAsia"/>
                <w:color w:val="auto"/>
                <w:sz w:val="24"/>
              </w:rPr>
              <w:t xml:space="preserve">第二十一条要求：“工业用水应当采用节水型工艺、设备和产品，提高水的重复利用率和再生水利用率。” </w:t>
            </w:r>
          </w:p>
          <w:p>
            <w:pPr>
              <w:pStyle w:val="94"/>
              <w:spacing w:after="0" w:line="360" w:lineRule="auto"/>
              <w:ind w:firstLine="480" w:firstLineChars="200"/>
              <w:rPr>
                <w:color w:val="auto"/>
                <w:sz w:val="24"/>
                <w:szCs w:val="24"/>
                <w:lang w:val="en-US"/>
              </w:rPr>
            </w:pPr>
            <w:r>
              <w:rPr>
                <w:rFonts w:hint="eastAsia"/>
                <w:color w:val="auto"/>
                <w:sz w:val="24"/>
              </w:rPr>
              <w:t>本</w:t>
            </w:r>
            <w:r>
              <w:rPr>
                <w:rFonts w:hint="eastAsia"/>
                <w:bCs/>
                <w:color w:val="auto"/>
                <w:sz w:val="24"/>
              </w:rPr>
              <w:t>项目</w:t>
            </w:r>
            <w:r>
              <w:rPr>
                <w:rFonts w:hint="eastAsia"/>
                <w:bCs/>
                <w:color w:val="auto"/>
                <w:sz w:val="24"/>
                <w:lang w:eastAsia="zh-CN"/>
              </w:rPr>
              <w:t>不需</w:t>
            </w:r>
            <w:r>
              <w:rPr>
                <w:rFonts w:hint="eastAsia"/>
                <w:bCs/>
                <w:color w:val="auto"/>
                <w:sz w:val="24"/>
              </w:rPr>
              <w:t>生产用水</w:t>
            </w:r>
            <w:r>
              <w:rPr>
                <w:rFonts w:hint="eastAsia"/>
                <w:color w:val="auto"/>
                <w:spacing w:val="8"/>
                <w:sz w:val="24"/>
              </w:rPr>
              <w:t>。生活</w:t>
            </w:r>
            <w:r>
              <w:rPr>
                <w:color w:val="auto"/>
                <w:spacing w:val="8"/>
                <w:sz w:val="24"/>
              </w:rPr>
              <w:t>用水量</w:t>
            </w:r>
            <w:r>
              <w:rPr>
                <w:rFonts w:hint="eastAsia"/>
                <w:color w:val="auto"/>
                <w:spacing w:val="8"/>
                <w:sz w:val="24"/>
                <w:lang w:val="en-US" w:eastAsia="zh-CN"/>
              </w:rPr>
              <w:t>540</w:t>
            </w:r>
            <w:r>
              <w:rPr>
                <w:color w:val="auto"/>
                <w:spacing w:val="8"/>
                <w:sz w:val="24"/>
              </w:rPr>
              <w:t>吨/年，市政管网供给</w:t>
            </w:r>
            <w:r>
              <w:rPr>
                <w:rFonts w:hint="eastAsia"/>
                <w:color w:val="auto"/>
                <w:spacing w:val="8"/>
                <w:sz w:val="24"/>
              </w:rPr>
              <w:t>。</w:t>
            </w:r>
            <w:r>
              <w:rPr>
                <w:color w:val="auto"/>
                <w:sz w:val="24"/>
              </w:rPr>
              <w:t>项目员工生活污水经</w:t>
            </w:r>
            <w:r>
              <w:rPr>
                <w:rFonts w:hint="eastAsia"/>
                <w:color w:val="auto"/>
                <w:sz w:val="24"/>
                <w:lang w:eastAsia="zh-CN"/>
              </w:rPr>
              <w:t>生化池</w:t>
            </w:r>
            <w:r>
              <w:rPr>
                <w:rFonts w:hint="eastAsia"/>
                <w:color w:val="auto"/>
                <w:sz w:val="24"/>
              </w:rPr>
              <w:t>处理</w:t>
            </w:r>
            <w:r>
              <w:rPr>
                <w:color w:val="auto"/>
                <w:sz w:val="24"/>
              </w:rPr>
              <w:t>达到</w:t>
            </w:r>
            <w:r>
              <w:rPr>
                <w:color w:val="auto"/>
                <w:sz w:val="24"/>
                <w:lang w:val="en-US"/>
              </w:rPr>
              <w:t>《城市污水再生利用 城市杂用水水质》（GB/T18920-2002）中城市绿化水质标准</w:t>
            </w:r>
            <w:r>
              <w:rPr>
                <w:color w:val="auto"/>
                <w:sz w:val="24"/>
              </w:rPr>
              <w:t>后</w:t>
            </w:r>
            <w:r>
              <w:rPr>
                <w:rFonts w:hint="eastAsia"/>
                <w:color w:val="auto"/>
                <w:sz w:val="24"/>
              </w:rPr>
              <w:t>用于厂内绿化，不外排</w:t>
            </w:r>
            <w:r>
              <w:rPr>
                <w:color w:val="auto"/>
                <w:sz w:val="24"/>
              </w:rPr>
              <w:t>。</w:t>
            </w:r>
          </w:p>
          <w:p>
            <w:pPr>
              <w:keepNext w:val="0"/>
              <w:keepLines w:val="0"/>
              <w:widowControl/>
              <w:suppressLineNumbers w:val="0"/>
              <w:spacing w:line="360" w:lineRule="auto"/>
              <w:ind w:left="239" w:leftChars="114" w:firstLine="316" w:firstLineChars="132"/>
              <w:jc w:val="left"/>
              <w:rPr>
                <w:rFonts w:hint="eastAsia"/>
                <w:color w:val="auto"/>
                <w:sz w:val="24"/>
              </w:rPr>
            </w:pPr>
            <w:r>
              <w:rPr>
                <w:rFonts w:hint="eastAsia"/>
                <w:color w:val="auto"/>
                <w:sz w:val="24"/>
              </w:rPr>
              <w:t>综上，本项目与《广东省节约用水办法》</w:t>
            </w:r>
            <w:r>
              <w:rPr>
                <w:color w:val="auto"/>
                <w:sz w:val="24"/>
              </w:rPr>
              <w:t>（</w:t>
            </w:r>
            <w:r>
              <w:rPr>
                <w:rFonts w:hint="eastAsia"/>
                <w:color w:val="auto"/>
                <w:sz w:val="24"/>
              </w:rPr>
              <w:t xml:space="preserve">广东省人民政府令 </w:t>
            </w:r>
            <w:r>
              <w:rPr>
                <w:color w:val="auto"/>
                <w:sz w:val="24"/>
              </w:rPr>
              <w:t>第</w:t>
            </w:r>
            <w:r>
              <w:rPr>
                <w:rFonts w:hint="eastAsia"/>
                <w:color w:val="auto"/>
                <w:sz w:val="24"/>
              </w:rPr>
              <w:t>2</w:t>
            </w:r>
            <w:r>
              <w:rPr>
                <w:color w:val="auto"/>
                <w:sz w:val="24"/>
              </w:rPr>
              <w:t>40号</w:t>
            </w:r>
            <w:r>
              <w:rPr>
                <w:rFonts w:hint="eastAsia"/>
                <w:color w:val="auto"/>
                <w:sz w:val="24"/>
              </w:rPr>
              <w:t xml:space="preserve"> </w:t>
            </w:r>
            <w:r>
              <w:rPr>
                <w:color w:val="auto"/>
                <w:sz w:val="24"/>
              </w:rPr>
              <w:t>2017年</w:t>
            </w:r>
            <w:r>
              <w:rPr>
                <w:rFonts w:hint="eastAsia"/>
                <w:color w:val="auto"/>
                <w:sz w:val="24"/>
              </w:rPr>
              <w:t>8</w:t>
            </w:r>
            <w:r>
              <w:rPr>
                <w:color w:val="auto"/>
                <w:sz w:val="24"/>
              </w:rPr>
              <w:t>月</w:t>
            </w:r>
            <w:r>
              <w:rPr>
                <w:rFonts w:hint="eastAsia"/>
                <w:color w:val="auto"/>
                <w:sz w:val="24"/>
              </w:rPr>
              <w:t>1</w:t>
            </w:r>
            <w:r>
              <w:rPr>
                <w:color w:val="auto"/>
                <w:sz w:val="24"/>
              </w:rPr>
              <w:t>日施行）</w:t>
            </w:r>
            <w:r>
              <w:rPr>
                <w:rFonts w:hint="eastAsia"/>
                <w:color w:val="auto"/>
                <w:sz w:val="24"/>
              </w:rPr>
              <w:t>的要求相符。</w:t>
            </w:r>
          </w:p>
          <w:p>
            <w:pPr>
              <w:keepNext w:val="0"/>
              <w:keepLines w:val="0"/>
              <w:widowControl/>
              <w:suppressLineNumbers w:val="0"/>
              <w:spacing w:line="360" w:lineRule="auto"/>
              <w:ind w:left="239" w:leftChars="114" w:firstLine="318" w:firstLineChars="132"/>
              <w:jc w:val="left"/>
              <w:rPr>
                <w:rFonts w:hint="default" w:ascii="Times New Roman" w:hAnsi="Times New Roman" w:cs="Times New Roman"/>
                <w:b/>
                <w:color w:val="auto"/>
                <w:sz w:val="24"/>
                <w:lang w:val="en-US" w:eastAsia="zh-CN"/>
              </w:rPr>
            </w:pPr>
            <w:r>
              <w:rPr>
                <w:rFonts w:hint="eastAsia" w:cs="Times New Roman"/>
                <w:b/>
                <w:color w:val="auto"/>
                <w:sz w:val="24"/>
                <w:lang w:val="en-US" w:eastAsia="zh-CN"/>
              </w:rPr>
              <w:t>⑨</w:t>
            </w:r>
            <w:r>
              <w:rPr>
                <w:rFonts w:hint="default" w:ascii="Times New Roman" w:hAnsi="Times New Roman" w:cs="Times New Roman"/>
                <w:b/>
                <w:color w:val="auto"/>
                <w:sz w:val="24"/>
                <w:lang w:val="en-US" w:eastAsia="zh-CN"/>
              </w:rPr>
              <w:t>与“三线一单”相符性分析</w:t>
            </w:r>
          </w:p>
          <w:p>
            <w:pPr>
              <w:keepNext w:val="0"/>
              <w:keepLines w:val="0"/>
              <w:widowControl/>
              <w:suppressLineNumbers w:val="0"/>
              <w:spacing w:line="360" w:lineRule="auto"/>
              <w:ind w:left="0" w:leftChars="0" w:firstLine="552" w:firstLineChars="230"/>
              <w:jc w:val="left"/>
              <w:rPr>
                <w:color w:val="auto"/>
              </w:rPr>
            </w:pPr>
            <w:r>
              <w:rPr>
                <w:rFonts w:hint="default" w:ascii="Times New Roman" w:hAnsi="Times New Roman" w:cs="Times New Roman"/>
                <w:color w:val="auto"/>
                <w:sz w:val="24"/>
                <w:lang w:val="en-US" w:eastAsia="zh-CN"/>
              </w:rPr>
              <w:t>根据环境保护部印发的《“十三五”环境影响评价改革实施方案》，“三线一单”是以改善环境质量为核心，将生态保护红线、环境质量底线、资源利用上线落实到不同的环境管控单元，并建立环境准入负面清单的环境分区管控体系。“三线一单”是推动生态环境保护管理系统化、科学化、法治化、精细化、信息化的重要抓手，是推进战略和规划环评落地、环境保护参与空间规划和优化国土空间格局的基础支撑，是实施环境空间管控、强化源头预防和过程监管的重要手段。以下是本项目与“三线一单”的相符性分析：</w:t>
            </w:r>
            <w:r>
              <w:rPr>
                <w:rFonts w:hint="default" w:ascii="Times New Roman" w:hAnsi="Times New Roman" w:cs="Times New Roman"/>
                <w:bCs/>
                <w:color w:val="auto"/>
                <w:sz w:val="24"/>
                <w:szCs w:val="32"/>
                <w:lang w:val="en-US" w:eastAsia="zh-CN"/>
              </w:rPr>
              <w:br w:type="textWrapping"/>
            </w:r>
            <w:r>
              <w:rPr>
                <w:rFonts w:hint="default" w:ascii="Times New Roman" w:hAnsi="Times New Roman" w:cs="Times New Roman"/>
                <w:bCs/>
                <w:color w:val="auto"/>
                <w:sz w:val="24"/>
                <w:szCs w:val="32"/>
                <w:lang w:val="en-US" w:eastAsia="zh-CN"/>
              </w:rPr>
              <w:t xml:space="preserve">   （1）生态保护红线：本项目位于普宁市梅塘镇新光村镇政府西侧</w:t>
            </w:r>
            <w:r>
              <w:rPr>
                <w:rFonts w:hint="eastAsia" w:cs="Times New Roman"/>
                <w:bCs/>
                <w:color w:val="auto"/>
                <w:sz w:val="24"/>
                <w:szCs w:val="32"/>
                <w:lang w:val="en-US" w:eastAsia="zh-CN"/>
              </w:rPr>
              <w:t>，</w:t>
            </w:r>
            <w:r>
              <w:rPr>
                <w:rFonts w:hint="default" w:ascii="Times New Roman" w:hAnsi="Times New Roman" w:cs="Times New Roman"/>
                <w:bCs/>
                <w:color w:val="auto"/>
                <w:sz w:val="24"/>
                <w:szCs w:val="32"/>
                <w:lang w:val="en-US" w:eastAsia="zh-CN"/>
              </w:rPr>
              <w:t>查阅</w:t>
            </w:r>
            <w:r>
              <w:rPr>
                <w:rFonts w:hint="eastAsia"/>
                <w:color w:val="548235" w:themeColor="accent6" w:themeShade="BF"/>
                <w:sz w:val="24"/>
                <w:highlight w:val="none"/>
                <w:lang w:val="en-US" w:eastAsia="zh-CN"/>
              </w:rPr>
              <w:t>《普宁市梅塘镇土地利用总体规划（2010-2020年）》</w:t>
            </w:r>
            <w:r>
              <w:rPr>
                <w:rFonts w:hint="default" w:ascii="Times New Roman" w:hAnsi="Times New Roman" w:cs="Times New Roman"/>
                <w:bCs/>
                <w:color w:val="auto"/>
                <w:sz w:val="24"/>
                <w:szCs w:val="32"/>
                <w:lang w:val="en-US" w:eastAsia="zh-CN"/>
              </w:rPr>
              <w:t>，</w:t>
            </w:r>
            <w:r>
              <w:rPr>
                <w:rFonts w:hint="eastAsia"/>
                <w:color w:val="auto"/>
                <w:sz w:val="24"/>
                <w:highlight w:val="none"/>
                <w:lang w:val="en-US" w:eastAsia="zh-CN"/>
              </w:rPr>
              <w:t>本项目所在地属于城镇建设用地，不属于基本农田保护区和禁止建设区，见附图4</w:t>
            </w:r>
            <w:r>
              <w:rPr>
                <w:rFonts w:hint="default" w:ascii="Times New Roman" w:hAnsi="Times New Roman" w:cs="Times New Roman"/>
                <w:bCs/>
                <w:color w:val="auto"/>
                <w:sz w:val="24"/>
                <w:szCs w:val="32"/>
                <w:lang w:val="en-US" w:eastAsia="zh-CN"/>
              </w:rPr>
              <w:t>，因此，项目的建设符合生态保护红线要求。</w:t>
            </w:r>
            <w:r>
              <w:rPr>
                <w:rFonts w:hint="default" w:ascii="Times New Roman" w:hAnsi="Times New Roman" w:cs="Times New Roman"/>
                <w:bCs/>
                <w:color w:val="auto"/>
                <w:sz w:val="24"/>
                <w:szCs w:val="32"/>
                <w:lang w:val="en-US" w:eastAsia="zh-CN"/>
              </w:rPr>
              <w:br w:type="textWrapping"/>
            </w:r>
            <w:r>
              <w:rPr>
                <w:rFonts w:hint="default" w:ascii="Times New Roman" w:hAnsi="Times New Roman" w:cs="Times New Roman"/>
                <w:bCs/>
                <w:color w:val="auto"/>
                <w:sz w:val="24"/>
                <w:szCs w:val="32"/>
                <w:lang w:val="en-US" w:eastAsia="zh-CN"/>
              </w:rPr>
              <w:t xml:space="preserve">   （2）资源利用上线：项目营运过程中消耗一定量的电源、水资源等资源消耗，项目资源消耗量相对区域资源利用总量较少，符合资源利用上线要求。</w:t>
            </w:r>
            <w:r>
              <w:rPr>
                <w:rFonts w:hint="default" w:ascii="Times New Roman" w:hAnsi="Times New Roman" w:cs="Times New Roman"/>
                <w:bCs/>
                <w:color w:val="auto"/>
                <w:sz w:val="24"/>
                <w:szCs w:val="32"/>
                <w:lang w:val="en-US" w:eastAsia="zh-CN"/>
              </w:rPr>
              <w:br w:type="textWrapping"/>
            </w:r>
            <w:r>
              <w:rPr>
                <w:rFonts w:hint="default" w:ascii="Times New Roman" w:hAnsi="Times New Roman" w:cs="Times New Roman"/>
                <w:bCs/>
                <w:color w:val="auto"/>
                <w:sz w:val="24"/>
                <w:szCs w:val="32"/>
                <w:lang w:val="en-US" w:eastAsia="zh-CN"/>
              </w:rPr>
              <w:t xml:space="preserve">   （3）环境质量底线：本项目大气环境现状能满足《环境空气质量标准》（GB3095-2012）</w:t>
            </w:r>
            <w:r>
              <w:rPr>
                <w:rFonts w:hint="default" w:ascii="Times New Roman" w:hAnsi="Times New Roman" w:cs="Times New Roman"/>
                <w:bCs/>
                <w:color w:val="auto"/>
                <w:sz w:val="24"/>
                <w:szCs w:val="24"/>
                <w:lang w:eastAsia="zh-CN"/>
              </w:rPr>
              <w:t>及</w:t>
            </w:r>
            <w:r>
              <w:rPr>
                <w:rFonts w:hint="default" w:ascii="Times New Roman" w:hAnsi="Times New Roman" w:cs="Times New Roman"/>
                <w:bCs/>
                <w:color w:val="auto"/>
                <w:sz w:val="24"/>
                <w:szCs w:val="24"/>
                <w:lang w:val="en-US" w:eastAsia="zh-CN"/>
              </w:rPr>
              <w:t>2018年</w:t>
            </w:r>
            <w:r>
              <w:rPr>
                <w:rFonts w:hint="default" w:ascii="Times New Roman" w:hAnsi="Times New Roman" w:cs="Times New Roman"/>
                <w:bCs/>
                <w:color w:val="auto"/>
                <w:sz w:val="24"/>
                <w:szCs w:val="24"/>
                <w:lang w:eastAsia="zh-CN"/>
              </w:rPr>
              <w:t>修改单</w:t>
            </w:r>
            <w:r>
              <w:rPr>
                <w:rFonts w:hint="default" w:ascii="Times New Roman" w:hAnsi="Times New Roman" w:cs="Times New Roman"/>
                <w:bCs/>
                <w:color w:val="auto"/>
                <w:sz w:val="24"/>
                <w:szCs w:val="32"/>
                <w:lang w:val="en-US" w:eastAsia="zh-CN"/>
              </w:rPr>
              <w:t>二级标准和声环境现状能满足《声环境质量标准》（GB3096-2008）中的2类标准。项目</w:t>
            </w:r>
            <w:r>
              <w:rPr>
                <w:rFonts w:hint="eastAsia" w:cs="Times New Roman"/>
                <w:bCs/>
                <w:color w:val="auto"/>
                <w:sz w:val="24"/>
                <w:szCs w:val="32"/>
                <w:lang w:val="en-US" w:eastAsia="zh-CN"/>
              </w:rPr>
              <w:t>附近</w:t>
            </w:r>
            <w:r>
              <w:rPr>
                <w:rFonts w:hint="default" w:ascii="Times New Roman" w:hAnsi="Times New Roman" w:cs="Times New Roman"/>
                <w:bCs/>
                <w:color w:val="auto"/>
                <w:sz w:val="24"/>
                <w:szCs w:val="32"/>
                <w:lang w:val="en-US" w:eastAsia="zh-CN"/>
              </w:rPr>
              <w:t>水体引榕总干渠现水质量属于Ⅲ类水。由于本项目</w:t>
            </w:r>
            <w:r>
              <w:rPr>
                <w:rFonts w:hint="eastAsia" w:cs="Times New Roman"/>
                <w:bCs/>
                <w:color w:val="auto"/>
                <w:sz w:val="24"/>
                <w:szCs w:val="32"/>
                <w:lang w:val="en-US" w:eastAsia="zh-CN"/>
              </w:rPr>
              <w:t>技改后无外排污废水，因此符合环境质量底线的要求</w:t>
            </w:r>
            <w:r>
              <w:rPr>
                <w:rFonts w:hint="default" w:ascii="Times New Roman" w:hAnsi="Times New Roman" w:cs="Times New Roman"/>
                <w:bCs/>
                <w:color w:val="auto"/>
                <w:sz w:val="24"/>
                <w:szCs w:val="32"/>
                <w:lang w:val="en-US" w:eastAsia="zh-CN"/>
              </w:rPr>
              <w:t>。</w:t>
            </w:r>
            <w:r>
              <w:rPr>
                <w:rFonts w:hint="default" w:ascii="Times New Roman" w:hAnsi="Times New Roman" w:cs="Times New Roman"/>
                <w:bCs/>
                <w:color w:val="auto"/>
                <w:sz w:val="24"/>
                <w:szCs w:val="32"/>
                <w:lang w:val="en-US" w:eastAsia="zh-CN"/>
              </w:rPr>
              <w:br w:type="textWrapping"/>
            </w:r>
            <w:r>
              <w:rPr>
                <w:rFonts w:hint="default" w:ascii="Times New Roman" w:hAnsi="Times New Roman" w:cs="Times New Roman"/>
                <w:bCs/>
                <w:color w:val="auto"/>
                <w:sz w:val="24"/>
                <w:szCs w:val="32"/>
                <w:lang w:val="en-US" w:eastAsia="zh-CN"/>
              </w:rPr>
              <w:t xml:space="preserve">  （4）负面清单：本项目位于普宁市梅塘镇新光村镇政府西侧，根据《广东省人民政府关于印发广东省主体功能区规划的通知》（粤府〔2012〕120号），普宁市属于重点开发区，查阅《广东省重点开发区产业准入负面清单》（2018年本），本项目不在环境功能区负面清单内。</w:t>
            </w:r>
            <w:r>
              <w:rPr>
                <w:rFonts w:hint="default" w:ascii="Times New Roman" w:hAnsi="Times New Roman" w:cs="Times New Roman"/>
                <w:bCs/>
                <w:color w:val="auto"/>
                <w:sz w:val="24"/>
                <w:szCs w:val="32"/>
                <w:lang w:val="en-US" w:eastAsia="zh-CN"/>
              </w:rPr>
              <w:br w:type="textWrapping"/>
            </w:r>
            <w:r>
              <w:rPr>
                <w:rFonts w:hint="default" w:ascii="Times New Roman" w:hAnsi="Times New Roman" w:cs="Times New Roman"/>
                <w:bCs/>
                <w:color w:val="auto"/>
                <w:sz w:val="24"/>
                <w:szCs w:val="32"/>
                <w:lang w:val="en-US" w:eastAsia="zh-CN"/>
              </w:rPr>
              <w:t xml:space="preserve">    所以，本项目符合“三线一单”的要求。 </w:t>
            </w:r>
          </w:p>
        </w:tc>
      </w:tr>
    </w:tbl>
    <w:p>
      <w:pPr>
        <w:widowControl/>
        <w:jc w:val="left"/>
        <w:rPr>
          <w:b/>
          <w:bCs/>
          <w:color w:val="auto"/>
          <w:sz w:val="28"/>
          <w:szCs w:val="28"/>
        </w:rPr>
      </w:pPr>
      <w:r>
        <w:rPr>
          <w:b/>
          <w:bCs/>
          <w:color w:val="auto"/>
          <w:szCs w:val="28"/>
        </w:rPr>
        <w:br w:type="page"/>
      </w:r>
    </w:p>
    <w:p>
      <w:pPr>
        <w:keepNext/>
        <w:outlineLvl w:val="0"/>
        <w:rPr>
          <w:b/>
          <w:color w:val="auto"/>
          <w:sz w:val="30"/>
          <w:szCs w:val="30"/>
        </w:rPr>
      </w:pPr>
      <w:r>
        <w:rPr>
          <w:b/>
          <w:color w:val="auto"/>
          <w:sz w:val="30"/>
          <w:szCs w:val="30"/>
        </w:rPr>
        <w:t>全本公示</w:t>
      </w:r>
    </w:p>
    <w:tbl>
      <w:tblPr>
        <w:tblStyle w:val="31"/>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88" w:type="dxa"/>
            <w:shd w:val="clear" w:color="auto" w:fill="auto"/>
          </w:tcPr>
          <w:p>
            <w:pPr>
              <w:spacing w:line="360" w:lineRule="auto"/>
              <w:ind w:firstLine="480" w:firstLineChars="200"/>
              <w:rPr>
                <w:color w:val="auto"/>
                <w:sz w:val="24"/>
              </w:rPr>
            </w:pPr>
            <w:r>
              <w:rPr>
                <w:color w:val="auto"/>
                <w:sz w:val="24"/>
              </w:rPr>
              <w:t>本次评价按照《建设项目环境影响评价政府信息公开指南》（试行）要求，对该项目环境影响报告表进行全本公示。</w:t>
            </w:r>
          </w:p>
          <w:p>
            <w:pPr>
              <w:spacing w:line="360" w:lineRule="auto"/>
              <w:ind w:firstLine="480" w:firstLineChars="200"/>
              <w:rPr>
                <w:bCs/>
                <w:color w:val="auto"/>
                <w:sz w:val="24"/>
                <w:highlight w:val="none"/>
              </w:rPr>
            </w:pPr>
            <w:r>
              <w:rPr>
                <w:rFonts w:hint="eastAsia"/>
                <w:bCs/>
                <w:color w:val="auto"/>
                <w:sz w:val="24"/>
                <w:highlight w:val="none"/>
                <w:lang w:val="zh-CN"/>
              </w:rPr>
              <w:t>项目于</w:t>
            </w:r>
            <w:r>
              <w:rPr>
                <w:rFonts w:hint="eastAsia"/>
                <w:bCs/>
                <w:color w:val="auto"/>
                <w:sz w:val="24"/>
                <w:highlight w:val="none"/>
              </w:rPr>
              <w:t>2</w:t>
            </w:r>
            <w:r>
              <w:rPr>
                <w:bCs/>
                <w:color w:val="auto"/>
                <w:sz w:val="24"/>
                <w:highlight w:val="none"/>
              </w:rPr>
              <w:t>019</w:t>
            </w:r>
            <w:r>
              <w:rPr>
                <w:rFonts w:hint="eastAsia"/>
                <w:bCs/>
                <w:color w:val="auto"/>
                <w:sz w:val="24"/>
                <w:highlight w:val="none"/>
                <w:lang w:val="zh-CN"/>
              </w:rPr>
              <w:t>年</w:t>
            </w:r>
            <w:r>
              <w:rPr>
                <w:rFonts w:hint="eastAsia"/>
                <w:bCs/>
                <w:color w:val="auto"/>
                <w:sz w:val="24"/>
                <w:highlight w:val="none"/>
                <w:lang w:val="en-US" w:eastAsia="zh-CN"/>
              </w:rPr>
              <w:t>6</w:t>
            </w:r>
            <w:r>
              <w:rPr>
                <w:rFonts w:hint="eastAsia"/>
                <w:bCs/>
                <w:color w:val="auto"/>
                <w:sz w:val="24"/>
                <w:highlight w:val="none"/>
                <w:lang w:val="zh-CN"/>
              </w:rPr>
              <w:t>月</w:t>
            </w:r>
            <w:r>
              <w:rPr>
                <w:rFonts w:hint="eastAsia"/>
                <w:bCs/>
                <w:color w:val="auto"/>
                <w:sz w:val="24"/>
                <w:highlight w:val="none"/>
                <w:lang w:val="en-US" w:eastAsia="zh-CN"/>
              </w:rPr>
              <w:t>17</w:t>
            </w:r>
            <w:r>
              <w:rPr>
                <w:rFonts w:hint="eastAsia"/>
                <w:bCs/>
                <w:color w:val="auto"/>
                <w:sz w:val="24"/>
                <w:highlight w:val="none"/>
                <w:lang w:val="zh-CN"/>
              </w:rPr>
              <w:t>日</w:t>
            </w:r>
            <w:r>
              <w:rPr>
                <w:rFonts w:hint="eastAsia"/>
                <w:bCs/>
                <w:color w:val="auto"/>
                <w:sz w:val="24"/>
                <w:highlight w:val="none"/>
              </w:rPr>
              <w:t>—2</w:t>
            </w:r>
            <w:r>
              <w:rPr>
                <w:bCs/>
                <w:color w:val="auto"/>
                <w:sz w:val="24"/>
                <w:highlight w:val="none"/>
              </w:rPr>
              <w:t>019</w:t>
            </w:r>
            <w:r>
              <w:rPr>
                <w:rFonts w:hint="eastAsia"/>
                <w:bCs/>
                <w:color w:val="auto"/>
                <w:sz w:val="24"/>
                <w:highlight w:val="none"/>
                <w:lang w:val="zh-CN"/>
              </w:rPr>
              <w:t>年</w:t>
            </w:r>
            <w:r>
              <w:rPr>
                <w:rFonts w:hint="eastAsia"/>
                <w:bCs/>
                <w:color w:val="auto"/>
                <w:sz w:val="24"/>
                <w:highlight w:val="none"/>
                <w:lang w:val="en-US" w:eastAsia="zh-CN"/>
              </w:rPr>
              <w:t>6</w:t>
            </w:r>
            <w:r>
              <w:rPr>
                <w:rFonts w:hint="eastAsia"/>
                <w:bCs/>
                <w:color w:val="auto"/>
                <w:sz w:val="24"/>
                <w:highlight w:val="none"/>
                <w:lang w:val="zh-CN"/>
              </w:rPr>
              <w:t>月</w:t>
            </w:r>
            <w:r>
              <w:rPr>
                <w:rFonts w:hint="eastAsia"/>
                <w:bCs/>
                <w:color w:val="auto"/>
                <w:sz w:val="24"/>
                <w:highlight w:val="none"/>
                <w:lang w:val="en-US" w:eastAsia="zh-CN"/>
              </w:rPr>
              <w:t>28</w:t>
            </w:r>
            <w:r>
              <w:rPr>
                <w:rFonts w:hint="eastAsia"/>
                <w:bCs/>
                <w:color w:val="auto"/>
                <w:sz w:val="24"/>
                <w:highlight w:val="none"/>
                <w:lang w:val="zh-CN"/>
              </w:rPr>
              <w:t>日在网站对本项目进行全本公示</w:t>
            </w:r>
            <w:r>
              <w:rPr>
                <w:rFonts w:hint="eastAsia"/>
                <w:bCs/>
                <w:color w:val="auto"/>
                <w:sz w:val="24"/>
                <w:highlight w:val="none"/>
              </w:rPr>
              <w:t>，</w:t>
            </w:r>
            <w:r>
              <w:rPr>
                <w:rFonts w:hint="eastAsia"/>
                <w:bCs/>
                <w:color w:val="auto"/>
                <w:sz w:val="24"/>
                <w:highlight w:val="none"/>
                <w:lang w:val="zh-CN"/>
              </w:rPr>
              <w:t>公示网址为http://www.jyysthb.com/Web/ArticleBody/66</w:t>
            </w:r>
            <w:r>
              <w:rPr>
                <w:rFonts w:hint="eastAsia"/>
                <w:bCs/>
                <w:color w:val="auto"/>
                <w:sz w:val="24"/>
                <w:highlight w:val="none"/>
              </w:rPr>
              <w:t>。</w:t>
            </w:r>
          </w:p>
          <w:p>
            <w:pPr>
              <w:spacing w:line="360" w:lineRule="auto"/>
              <w:ind w:firstLine="480" w:firstLineChars="200"/>
              <w:rPr>
                <w:color w:val="auto"/>
                <w:sz w:val="24"/>
              </w:rPr>
            </w:pPr>
            <w:r>
              <w:rPr>
                <w:color w:val="auto"/>
                <w:sz w:val="24"/>
              </w:rPr>
              <w:t>在公示的期间内，建设单位、评价单位均未收到公众来电、来信或来访，没有公众表示反对意见，公示照片可如下图所示。</w:t>
            </w:r>
          </w:p>
          <w:p>
            <w:pPr>
              <w:jc w:val="center"/>
              <w:rPr>
                <w:rFonts w:hint="eastAsia"/>
              </w:rPr>
            </w:pPr>
            <w:r>
              <w:drawing>
                <wp:inline distT="0" distB="0" distL="114300" distR="114300">
                  <wp:extent cx="5272405" cy="5848985"/>
                  <wp:effectExtent l="0" t="0" r="444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5272405" cy="5848985"/>
                          </a:xfrm>
                          <a:prstGeom prst="rect">
                            <a:avLst/>
                          </a:prstGeom>
                          <a:noFill/>
                          <a:ln>
                            <a:noFill/>
                          </a:ln>
                        </pic:spPr>
                      </pic:pic>
                    </a:graphicData>
                  </a:graphic>
                </wp:inline>
              </w:drawing>
            </w:r>
            <w:r>
              <w:drawing>
                <wp:inline distT="0" distB="0" distL="114300" distR="114300">
                  <wp:extent cx="5272405" cy="2289175"/>
                  <wp:effectExtent l="0" t="0" r="4445" b="15875"/>
                  <wp:docPr id="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
                          <pic:cNvPicPr>
                            <a:picLocks noChangeAspect="1"/>
                          </pic:cNvPicPr>
                        </pic:nvPicPr>
                        <pic:blipFill>
                          <a:blip r:embed="rId18"/>
                          <a:stretch>
                            <a:fillRect/>
                          </a:stretch>
                        </pic:blipFill>
                        <pic:spPr>
                          <a:xfrm>
                            <a:off x="0" y="0"/>
                            <a:ext cx="5272405" cy="2289175"/>
                          </a:xfrm>
                          <a:prstGeom prst="rect">
                            <a:avLst/>
                          </a:prstGeom>
                          <a:noFill/>
                          <a:ln>
                            <a:noFill/>
                          </a:ln>
                        </pic:spPr>
                      </pic:pic>
                    </a:graphicData>
                  </a:graphic>
                </wp:inline>
              </w:drawing>
            </w:r>
          </w:p>
          <w:p>
            <w:pPr>
              <w:widowControl/>
              <w:jc w:val="center"/>
              <w:rPr>
                <w:color w:val="auto"/>
              </w:rPr>
            </w:pPr>
          </w:p>
          <w:p>
            <w:pPr>
              <w:widowControl/>
              <w:jc w:val="center"/>
              <w:rPr>
                <w:color w:val="auto"/>
              </w:rPr>
            </w:pPr>
          </w:p>
          <w:p>
            <w:pPr>
              <w:spacing w:line="360" w:lineRule="auto"/>
              <w:ind w:firstLine="480" w:firstLineChars="200"/>
              <w:rPr>
                <w:color w:val="auto"/>
                <w:sz w:val="24"/>
              </w:rPr>
            </w:pPr>
            <w:r>
              <w:rPr>
                <w:color w:val="auto"/>
                <w:sz w:val="24"/>
              </w:rPr>
              <w:t>本项目建设单位需承诺，项目在营运期间出现环境问题投诉时，项目将及时停业整改环保措施，直至消除对环境敏感点的不良影响，未消除不良影响的情况下不进行生产。</w:t>
            </w:r>
          </w:p>
          <w:p>
            <w:pPr>
              <w:spacing w:line="360" w:lineRule="auto"/>
              <w:ind w:firstLine="480" w:firstLineChars="200"/>
              <w:rPr>
                <w:color w:val="auto"/>
                <w:sz w:val="24"/>
              </w:rPr>
            </w:pPr>
            <w:r>
              <w:rPr>
                <w:color w:val="auto"/>
                <w:sz w:val="24"/>
              </w:rPr>
              <w:t>综上，在建设方按要求实行各方面环保措施，切实执行本报告中所提出的各项环保治理措施，减少项目在营运期间对居民生活及环境的影响，公众是支持该项目的建设的。</w:t>
            </w:r>
          </w:p>
          <w:p>
            <w:pPr>
              <w:rPr>
                <w:color w:val="auto"/>
              </w:rPr>
            </w:pPr>
          </w:p>
        </w:tc>
      </w:tr>
    </w:tbl>
    <w:p>
      <w:pPr>
        <w:widowControl/>
        <w:jc w:val="left"/>
        <w:rPr>
          <w:b/>
          <w:bCs/>
          <w:color w:val="auto"/>
          <w:sz w:val="28"/>
          <w:szCs w:val="28"/>
        </w:rPr>
      </w:pPr>
      <w:r>
        <w:rPr>
          <w:b/>
          <w:bCs/>
          <w:color w:val="auto"/>
          <w:szCs w:val="28"/>
        </w:rPr>
        <w:br w:type="page"/>
      </w:r>
    </w:p>
    <w:p>
      <w:pPr>
        <w:pStyle w:val="3"/>
        <w:jc w:val="left"/>
        <w:rPr>
          <w:b/>
          <w:bCs/>
          <w:color w:val="auto"/>
          <w:szCs w:val="28"/>
        </w:rPr>
      </w:pPr>
      <w:r>
        <w:rPr>
          <w:b/>
          <w:bCs/>
          <w:color w:val="auto"/>
          <w:szCs w:val="28"/>
        </w:rPr>
        <w:t>结论与建议</w:t>
      </w:r>
    </w:p>
    <w:tbl>
      <w:tblPr>
        <w:tblStyle w:val="31"/>
        <w:tblW w:w="9468"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4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3015" w:hRule="atLeast"/>
        </w:trPr>
        <w:tc>
          <w:tcPr>
            <w:tcW w:w="9468" w:type="dxa"/>
            <w:tcBorders>
              <w:bottom w:val="single" w:color="000000" w:sz="6" w:space="0"/>
            </w:tcBorders>
          </w:tcPr>
          <w:p>
            <w:pPr>
              <w:adjustRightInd w:val="0"/>
              <w:spacing w:line="360" w:lineRule="auto"/>
              <w:ind w:firstLine="482" w:firstLineChars="200"/>
              <w:rPr>
                <w:b/>
                <w:color w:val="auto"/>
                <w:sz w:val="24"/>
              </w:rPr>
            </w:pPr>
            <w:r>
              <w:rPr>
                <w:b/>
                <w:bCs/>
                <w:color w:val="auto"/>
                <w:sz w:val="24"/>
              </w:rPr>
              <w:t>一、项目概况</w:t>
            </w:r>
          </w:p>
          <w:p>
            <w:pPr>
              <w:pStyle w:val="46"/>
              <w:adjustRightInd w:val="0"/>
              <w:snapToGrid/>
              <w:ind w:firstLine="480" w:firstLineChars="200"/>
              <w:rPr>
                <w:rFonts w:ascii="Times New Roman"/>
                <w:color w:val="auto"/>
              </w:rPr>
            </w:pPr>
            <w:r>
              <w:rPr>
                <w:rFonts w:hint="eastAsia" w:ascii="Times New Roman"/>
                <w:color w:val="auto"/>
                <w:lang w:eastAsia="zh-CN"/>
              </w:rPr>
              <w:t>普宁市梅塘强彬纺织厂</w:t>
            </w:r>
            <w:r>
              <w:rPr>
                <w:rFonts w:ascii="Times New Roman"/>
                <w:color w:val="auto"/>
              </w:rPr>
              <w:t>位于</w:t>
            </w:r>
            <w:r>
              <w:rPr>
                <w:rFonts w:hint="eastAsia" w:ascii="Times New Roman"/>
                <w:color w:val="auto"/>
                <w:lang w:eastAsia="zh-CN"/>
              </w:rPr>
              <w:t>普宁市梅塘镇新光村镇政府西侧</w:t>
            </w:r>
            <w:r>
              <w:rPr>
                <w:rFonts w:ascii="Times New Roman"/>
                <w:color w:val="auto"/>
              </w:rPr>
              <w:t>（北纬23°2</w:t>
            </w:r>
            <w:r>
              <w:rPr>
                <w:rFonts w:hint="eastAsia" w:ascii="Times New Roman"/>
                <w:color w:val="auto"/>
                <w:lang w:val="en-US" w:eastAsia="zh-CN"/>
              </w:rPr>
              <w:t>1</w:t>
            </w:r>
            <w:r>
              <w:rPr>
                <w:rFonts w:ascii="Times New Roman"/>
                <w:color w:val="auto"/>
              </w:rPr>
              <w:t>'25"，东经11</w:t>
            </w:r>
            <w:r>
              <w:rPr>
                <w:rFonts w:hint="eastAsia" w:ascii="Times New Roman"/>
                <w:color w:val="auto"/>
                <w:lang w:val="en-US" w:eastAsia="zh-CN"/>
              </w:rPr>
              <w:t>6</w:t>
            </w:r>
            <w:r>
              <w:rPr>
                <w:rFonts w:ascii="Times New Roman"/>
                <w:color w:val="auto"/>
              </w:rPr>
              <w:t>°</w:t>
            </w:r>
            <w:r>
              <w:rPr>
                <w:rFonts w:hint="eastAsia" w:ascii="Times New Roman"/>
                <w:color w:val="auto"/>
                <w:lang w:val="en-US" w:eastAsia="zh-CN"/>
              </w:rPr>
              <w:t>4</w:t>
            </w:r>
            <w:r>
              <w:rPr>
                <w:rFonts w:ascii="Times New Roman"/>
                <w:color w:val="auto"/>
              </w:rPr>
              <w:t>'</w:t>
            </w:r>
            <w:r>
              <w:rPr>
                <w:rFonts w:hint="eastAsia" w:ascii="Times New Roman"/>
                <w:color w:val="auto"/>
                <w:lang w:val="en-US" w:eastAsia="zh-CN"/>
              </w:rPr>
              <w:t>59</w:t>
            </w:r>
            <w:r>
              <w:rPr>
                <w:rFonts w:ascii="Times New Roman"/>
                <w:color w:val="auto"/>
              </w:rPr>
              <w:t>"）。项目总投资</w:t>
            </w:r>
            <w:r>
              <w:rPr>
                <w:rFonts w:hint="eastAsia" w:ascii="Times New Roman"/>
                <w:color w:val="auto"/>
                <w:lang w:val="en-US" w:eastAsia="zh-CN"/>
              </w:rPr>
              <w:t>2</w:t>
            </w:r>
            <w:r>
              <w:rPr>
                <w:rFonts w:ascii="Times New Roman"/>
                <w:color w:val="auto"/>
              </w:rPr>
              <w:t>0</w:t>
            </w:r>
            <w:r>
              <w:rPr>
                <w:rFonts w:hint="eastAsia" w:ascii="Times New Roman"/>
                <w:color w:val="auto"/>
              </w:rPr>
              <w:t>0</w:t>
            </w:r>
            <w:r>
              <w:rPr>
                <w:rFonts w:ascii="Times New Roman"/>
                <w:color w:val="auto"/>
              </w:rPr>
              <w:t>万元，其中环保投资</w:t>
            </w:r>
            <w:r>
              <w:rPr>
                <w:rFonts w:hint="eastAsia" w:ascii="Times New Roman"/>
                <w:color w:val="auto"/>
                <w:lang w:val="en-US" w:eastAsia="zh-CN"/>
              </w:rPr>
              <w:t>2</w:t>
            </w:r>
            <w:r>
              <w:rPr>
                <w:rFonts w:hint="eastAsia" w:ascii="Times New Roman"/>
                <w:color w:val="auto"/>
              </w:rPr>
              <w:t>0</w:t>
            </w:r>
            <w:r>
              <w:rPr>
                <w:rFonts w:ascii="Times New Roman"/>
                <w:color w:val="auto"/>
              </w:rPr>
              <w:t>万元，占地面积</w:t>
            </w:r>
            <w:r>
              <w:rPr>
                <w:rFonts w:hint="eastAsia" w:ascii="Times New Roman"/>
                <w:color w:val="auto"/>
                <w:lang w:val="en-US" w:eastAsia="zh-CN"/>
              </w:rPr>
              <w:t>500</w:t>
            </w:r>
            <w:r>
              <w:rPr>
                <w:rFonts w:ascii="Times New Roman"/>
                <w:color w:val="auto"/>
              </w:rPr>
              <w:t>0 m</w:t>
            </w:r>
            <w:r>
              <w:rPr>
                <w:rFonts w:ascii="Times New Roman"/>
                <w:color w:val="auto"/>
                <w:vertAlign w:val="superscript"/>
              </w:rPr>
              <w:t>2</w:t>
            </w:r>
            <w:r>
              <w:rPr>
                <w:rFonts w:ascii="Times New Roman"/>
                <w:color w:val="auto"/>
              </w:rPr>
              <w:t>，建筑面积</w:t>
            </w:r>
            <w:r>
              <w:rPr>
                <w:rFonts w:hint="eastAsia" w:ascii="Times New Roman"/>
                <w:color w:val="auto"/>
                <w:lang w:val="en-US" w:eastAsia="zh-CN"/>
              </w:rPr>
              <w:t>5</w:t>
            </w:r>
            <w:r>
              <w:rPr>
                <w:rFonts w:ascii="Times New Roman"/>
                <w:color w:val="auto"/>
              </w:rPr>
              <w:t>000m</w:t>
            </w:r>
            <w:r>
              <w:rPr>
                <w:rFonts w:ascii="Times New Roman"/>
                <w:color w:val="auto"/>
                <w:vertAlign w:val="superscript"/>
              </w:rPr>
              <w:t>2</w:t>
            </w:r>
            <w:r>
              <w:rPr>
                <w:rFonts w:ascii="Times New Roman"/>
                <w:color w:val="auto"/>
              </w:rPr>
              <w:t>，</w:t>
            </w:r>
            <w:r>
              <w:rPr>
                <w:rFonts w:hint="default" w:ascii="Times New Roman" w:hAnsi="Times New Roman" w:cs="Times New Roman"/>
                <w:color w:val="00B050"/>
                <w:sz w:val="24"/>
              </w:rPr>
              <w:t>绿化面积</w:t>
            </w:r>
            <w:r>
              <w:rPr>
                <w:rFonts w:hint="default" w:ascii="Times New Roman" w:hAnsi="Times New Roman" w:cs="Times New Roman"/>
                <w:color w:val="00B050"/>
                <w:sz w:val="24"/>
                <w:lang w:val="en-US" w:eastAsia="zh-CN"/>
              </w:rPr>
              <w:t>500</w:t>
            </w:r>
            <w:r>
              <w:rPr>
                <w:rFonts w:hint="default" w:ascii="Times New Roman" w:hAnsi="Times New Roman" w:cs="Times New Roman"/>
                <w:color w:val="00B050"/>
                <w:sz w:val="24"/>
              </w:rPr>
              <w:t>m</w:t>
            </w:r>
            <w:r>
              <w:rPr>
                <w:rFonts w:hint="default" w:ascii="Times New Roman" w:hAnsi="Times New Roman" w:cs="Times New Roman"/>
                <w:color w:val="00B050"/>
                <w:sz w:val="24"/>
                <w:vertAlign w:val="superscript"/>
              </w:rPr>
              <w:t>2</w:t>
            </w:r>
            <w:r>
              <w:rPr>
                <w:rFonts w:hint="default" w:ascii="Times New Roman" w:hAnsi="Times New Roman" w:cs="Times New Roman"/>
                <w:color w:val="auto"/>
                <w:sz w:val="24"/>
              </w:rPr>
              <w:t>，</w:t>
            </w:r>
            <w:r>
              <w:rPr>
                <w:rFonts w:hint="eastAsia"/>
                <w:color w:val="auto"/>
              </w:rPr>
              <w:t>项目主要利用</w:t>
            </w:r>
            <w:r>
              <w:rPr>
                <w:rFonts w:hint="eastAsia"/>
                <w:color w:val="auto"/>
                <w:lang w:eastAsia="zh-CN"/>
              </w:rPr>
              <w:t>碎布</w:t>
            </w:r>
            <w:r>
              <w:rPr>
                <w:rFonts w:hint="eastAsia"/>
                <w:color w:val="auto"/>
              </w:rPr>
              <w:t>加工生产</w:t>
            </w:r>
            <w:r>
              <w:rPr>
                <w:rFonts w:hint="eastAsia"/>
                <w:color w:val="auto"/>
                <w:lang w:eastAsia="zh-CN"/>
              </w:rPr>
              <w:t>再生棉</w:t>
            </w:r>
            <w:r>
              <w:rPr>
                <w:rFonts w:ascii="Times New Roman"/>
                <w:color w:val="auto"/>
              </w:rPr>
              <w:t>，生产规模为年产</w:t>
            </w:r>
            <w:r>
              <w:rPr>
                <w:rFonts w:hint="eastAsia" w:ascii="Times New Roman"/>
                <w:color w:val="auto"/>
                <w:lang w:eastAsia="zh-CN"/>
              </w:rPr>
              <w:t>再生棉</w:t>
            </w:r>
            <w:r>
              <w:rPr>
                <w:rFonts w:hint="eastAsia" w:ascii="Times New Roman"/>
                <w:color w:val="auto"/>
                <w:lang w:val="en-US" w:eastAsia="zh-CN"/>
              </w:rPr>
              <w:t>200</w:t>
            </w:r>
            <w:r>
              <w:rPr>
                <w:rFonts w:ascii="Times New Roman"/>
                <w:color w:val="auto"/>
              </w:rPr>
              <w:t>吨。</w:t>
            </w:r>
          </w:p>
          <w:p>
            <w:pPr>
              <w:adjustRightInd w:val="0"/>
              <w:spacing w:line="360" w:lineRule="auto"/>
              <w:ind w:firstLine="482" w:firstLineChars="200"/>
              <w:rPr>
                <w:b/>
                <w:bCs/>
                <w:color w:val="auto"/>
                <w:sz w:val="24"/>
              </w:rPr>
            </w:pPr>
            <w:r>
              <w:rPr>
                <w:b/>
                <w:bCs/>
                <w:color w:val="auto"/>
                <w:sz w:val="24"/>
              </w:rPr>
              <w:t>二、环境质量现状</w:t>
            </w:r>
          </w:p>
          <w:p>
            <w:pPr>
              <w:pStyle w:val="46"/>
              <w:adjustRightInd w:val="0"/>
              <w:snapToGrid/>
              <w:ind w:firstLine="480" w:firstLineChars="200"/>
              <w:rPr>
                <w:rFonts w:hint="default" w:ascii="Times New Roman"/>
                <w:color w:val="auto"/>
                <w:szCs w:val="21"/>
              </w:rPr>
            </w:pPr>
            <w:r>
              <w:rPr>
                <w:color w:val="auto"/>
                <w:sz w:val="24"/>
              </w:rPr>
              <w:t>1、项目附近水体为</w:t>
            </w:r>
            <w:r>
              <w:rPr>
                <w:rFonts w:hint="eastAsia"/>
                <w:color w:val="auto"/>
                <w:sz w:val="24"/>
                <w:lang w:eastAsia="zh-CN"/>
              </w:rPr>
              <w:t>引榕总干渠</w:t>
            </w:r>
            <w:r>
              <w:rPr>
                <w:color w:val="auto"/>
                <w:sz w:val="24"/>
              </w:rPr>
              <w:t>，水质控制目标为</w:t>
            </w:r>
            <w:r>
              <w:rPr>
                <w:rFonts w:hint="eastAsia" w:ascii="Times New Roman"/>
                <w:color w:val="auto"/>
                <w:szCs w:val="21"/>
              </w:rPr>
              <w:fldChar w:fldCharType="begin"/>
            </w:r>
            <w:r>
              <w:rPr>
                <w:rFonts w:hint="eastAsia" w:ascii="Times New Roman"/>
                <w:color w:val="auto"/>
                <w:szCs w:val="21"/>
              </w:rPr>
              <w:instrText xml:space="preserve"> = 3 \* ROMAN </w:instrText>
            </w:r>
            <w:r>
              <w:rPr>
                <w:rFonts w:hint="eastAsia" w:ascii="Times New Roman"/>
                <w:color w:val="auto"/>
                <w:szCs w:val="21"/>
              </w:rPr>
              <w:fldChar w:fldCharType="separate"/>
            </w:r>
            <w:r>
              <w:rPr>
                <w:rFonts w:hint="eastAsia" w:ascii="Times New Roman"/>
                <w:color w:val="auto"/>
                <w:szCs w:val="21"/>
              </w:rPr>
              <w:t>V</w:t>
            </w:r>
            <w:r>
              <w:rPr>
                <w:rFonts w:hint="eastAsia" w:ascii="Times New Roman"/>
                <w:color w:val="auto"/>
                <w:szCs w:val="21"/>
              </w:rPr>
              <w:fldChar w:fldCharType="end"/>
            </w:r>
            <w:r>
              <w:rPr>
                <w:color w:val="auto"/>
                <w:sz w:val="24"/>
              </w:rPr>
              <w:t>类。监测结果表明，</w:t>
            </w:r>
            <w:r>
              <w:rPr>
                <w:rFonts w:hint="eastAsia" w:ascii="Times New Roman"/>
                <w:color w:val="auto"/>
                <w:szCs w:val="21"/>
              </w:rPr>
              <w:t>项目附近水体</w:t>
            </w:r>
            <w:r>
              <w:rPr>
                <w:rFonts w:hint="eastAsia" w:ascii="Times New Roman"/>
                <w:color w:val="auto"/>
                <w:szCs w:val="21"/>
                <w:lang w:eastAsia="zh-CN"/>
              </w:rPr>
              <w:t>引榕总干渠梅塘段（引榕南村附近）溶解氧、氨氮、总磷</w:t>
            </w:r>
            <w:r>
              <w:rPr>
                <w:rFonts w:hint="default" w:ascii="Times New Roman"/>
                <w:color w:val="auto"/>
                <w:szCs w:val="21"/>
              </w:rPr>
              <w:t>监测因子</w:t>
            </w:r>
            <w:r>
              <w:rPr>
                <w:rFonts w:hint="default" w:ascii="Times New Roman"/>
                <w:color w:val="auto"/>
                <w:szCs w:val="21"/>
                <w:lang w:eastAsia="zh-CN"/>
              </w:rPr>
              <w:t>水样</w:t>
            </w:r>
            <w:r>
              <w:rPr>
                <w:rFonts w:hint="default" w:ascii="Times New Roman"/>
                <w:color w:val="auto"/>
                <w:szCs w:val="21"/>
              </w:rPr>
              <w:t>超过</w:t>
            </w:r>
            <w:r>
              <w:rPr>
                <w:rFonts w:ascii="Times New Roman"/>
                <w:color w:val="auto"/>
                <w:szCs w:val="21"/>
              </w:rPr>
              <w:t>《地表水环境质量标准》</w:t>
            </w:r>
            <w:r>
              <w:rPr>
                <w:rFonts w:hint="eastAsia" w:ascii="Times New Roman"/>
                <w:color w:val="auto"/>
                <w:szCs w:val="21"/>
              </w:rPr>
              <w:t>（</w:t>
            </w:r>
            <w:r>
              <w:rPr>
                <w:rFonts w:ascii="Times New Roman"/>
                <w:color w:val="auto"/>
                <w:szCs w:val="21"/>
              </w:rPr>
              <w:t>GB3838-2002</w:t>
            </w:r>
            <w:r>
              <w:rPr>
                <w:rFonts w:hint="eastAsia" w:ascii="Times New Roman"/>
                <w:color w:val="auto"/>
                <w:szCs w:val="21"/>
              </w:rPr>
              <w:t>）</w:t>
            </w:r>
            <w:r>
              <w:rPr>
                <w:rFonts w:hint="eastAsia" w:ascii="Times New Roman"/>
                <w:color w:val="auto"/>
                <w:szCs w:val="21"/>
              </w:rPr>
              <w:fldChar w:fldCharType="begin"/>
            </w:r>
            <w:r>
              <w:rPr>
                <w:rFonts w:hint="eastAsia" w:ascii="Times New Roman"/>
                <w:color w:val="auto"/>
                <w:szCs w:val="21"/>
              </w:rPr>
              <w:instrText xml:space="preserve"> = 3 \* ROMAN </w:instrText>
            </w:r>
            <w:r>
              <w:rPr>
                <w:rFonts w:hint="eastAsia" w:ascii="Times New Roman"/>
                <w:color w:val="auto"/>
                <w:szCs w:val="21"/>
              </w:rPr>
              <w:fldChar w:fldCharType="separate"/>
            </w:r>
            <w:r>
              <w:rPr>
                <w:rFonts w:hint="eastAsia" w:ascii="Times New Roman"/>
                <w:color w:val="auto"/>
                <w:szCs w:val="21"/>
              </w:rPr>
              <w:t>V</w:t>
            </w:r>
            <w:r>
              <w:rPr>
                <w:rFonts w:hint="eastAsia" w:ascii="Times New Roman"/>
                <w:color w:val="auto"/>
                <w:szCs w:val="21"/>
              </w:rPr>
              <w:fldChar w:fldCharType="end"/>
            </w:r>
            <w:r>
              <w:rPr>
                <w:rFonts w:ascii="Times New Roman"/>
                <w:color w:val="auto"/>
                <w:szCs w:val="21"/>
              </w:rPr>
              <w:t>类水质标准的限值，</w:t>
            </w:r>
            <w:r>
              <w:rPr>
                <w:rFonts w:hint="default" w:ascii="Times New Roman"/>
                <w:color w:val="auto"/>
                <w:szCs w:val="21"/>
              </w:rPr>
              <w:t>其他因子监测结果基本符合标准</w:t>
            </w:r>
            <w:r>
              <w:rPr>
                <w:rFonts w:hint="eastAsia" w:ascii="Times New Roman"/>
                <w:color w:val="auto"/>
                <w:szCs w:val="21"/>
                <w:lang w:eastAsia="zh-CN"/>
              </w:rPr>
              <w:t>，</w:t>
            </w:r>
            <w:r>
              <w:rPr>
                <w:rFonts w:hint="default" w:ascii="Times New Roman"/>
                <w:color w:val="auto"/>
                <w:szCs w:val="21"/>
              </w:rPr>
              <w:t>总体而言，超标现象与水域周边生活污水的排放量有关，大量未经处理的生活污水直接排放对水质产生较大影响。</w:t>
            </w:r>
          </w:p>
          <w:p>
            <w:pPr>
              <w:adjustRightInd w:val="0"/>
              <w:spacing w:line="360" w:lineRule="auto"/>
              <w:ind w:firstLine="480" w:firstLineChars="200"/>
              <w:rPr>
                <w:color w:val="auto"/>
                <w:kern w:val="0"/>
                <w:sz w:val="24"/>
              </w:rPr>
            </w:pPr>
            <w:r>
              <w:rPr>
                <w:color w:val="auto"/>
                <w:sz w:val="24"/>
              </w:rPr>
              <w:t>2、项目所在区域的环境空气中评价因子项目所在区域的环境空气中评价因子NO</w:t>
            </w:r>
            <w:r>
              <w:rPr>
                <w:color w:val="auto"/>
                <w:sz w:val="24"/>
                <w:vertAlign w:val="subscript"/>
              </w:rPr>
              <w:t>2</w:t>
            </w:r>
            <w:r>
              <w:rPr>
                <w:color w:val="auto"/>
                <w:sz w:val="24"/>
              </w:rPr>
              <w:t>、SO</w:t>
            </w:r>
            <w:r>
              <w:rPr>
                <w:color w:val="auto"/>
                <w:sz w:val="24"/>
                <w:vertAlign w:val="subscript"/>
              </w:rPr>
              <w:t>2</w:t>
            </w:r>
            <w:r>
              <w:rPr>
                <w:color w:val="auto"/>
                <w:sz w:val="24"/>
              </w:rPr>
              <w:t>、</w:t>
            </w:r>
            <w:r>
              <w:rPr>
                <w:bCs/>
                <w:color w:val="auto"/>
                <w:kern w:val="0"/>
                <w:sz w:val="24"/>
              </w:rPr>
              <w:t>PM</w:t>
            </w:r>
            <w:r>
              <w:rPr>
                <w:bCs/>
                <w:color w:val="auto"/>
                <w:kern w:val="0"/>
                <w:sz w:val="24"/>
                <w:vertAlign w:val="subscript"/>
              </w:rPr>
              <w:t>10</w:t>
            </w:r>
            <w:r>
              <w:rPr>
                <w:color w:val="auto"/>
                <w:sz w:val="24"/>
              </w:rPr>
              <w:t>、</w:t>
            </w:r>
            <w:r>
              <w:rPr>
                <w:rFonts w:hint="eastAsia"/>
                <w:color w:val="auto"/>
                <w:sz w:val="24"/>
              </w:rPr>
              <w:t>T</w:t>
            </w:r>
            <w:r>
              <w:rPr>
                <w:color w:val="auto"/>
                <w:sz w:val="24"/>
              </w:rPr>
              <w:t>SP达到《环境空气质量标准》(GB3095—2012)</w:t>
            </w:r>
            <w:r>
              <w:rPr>
                <w:rFonts w:hint="eastAsia"/>
                <w:color w:val="auto"/>
                <w:sz w:val="24"/>
                <w:lang w:eastAsia="zh-CN"/>
              </w:rPr>
              <w:t>及</w:t>
            </w:r>
            <w:r>
              <w:rPr>
                <w:rFonts w:hint="eastAsia"/>
                <w:color w:val="FF0000"/>
                <w:sz w:val="24"/>
                <w:lang w:val="en-US" w:eastAsia="zh-CN"/>
              </w:rPr>
              <w:t>2018年修改单</w:t>
            </w:r>
            <w:r>
              <w:rPr>
                <w:color w:val="auto"/>
                <w:sz w:val="24"/>
              </w:rPr>
              <w:t>二级标准，说明所在区域环境质量较好。</w:t>
            </w:r>
          </w:p>
          <w:p>
            <w:pPr>
              <w:adjustRightInd w:val="0"/>
              <w:spacing w:line="360" w:lineRule="auto"/>
              <w:ind w:firstLine="480" w:firstLineChars="200"/>
              <w:rPr>
                <w:color w:val="auto"/>
                <w:sz w:val="24"/>
              </w:rPr>
            </w:pPr>
            <w:r>
              <w:rPr>
                <w:color w:val="auto"/>
                <w:sz w:val="24"/>
              </w:rPr>
              <w:t>3、根据监测结果，项目</w:t>
            </w:r>
            <w:r>
              <w:rPr>
                <w:rFonts w:hint="eastAsia"/>
                <w:color w:val="auto"/>
                <w:sz w:val="24"/>
              </w:rPr>
              <w:t>厂界</w:t>
            </w:r>
            <w:r>
              <w:rPr>
                <w:color w:val="auto"/>
                <w:sz w:val="24"/>
              </w:rPr>
              <w:t>均达到《声环境质量标准》（GB3096-2008）2类标准的要求【即昼间≤60dB(A)，夜间≤50dB(A)】。从总体来看，本区域噪声现状的环境质量较好。</w:t>
            </w:r>
          </w:p>
          <w:p>
            <w:pPr>
              <w:adjustRightInd w:val="0"/>
              <w:spacing w:line="360" w:lineRule="auto"/>
              <w:ind w:firstLine="482" w:firstLineChars="200"/>
              <w:rPr>
                <w:b/>
                <w:bCs/>
                <w:color w:val="auto"/>
                <w:sz w:val="24"/>
              </w:rPr>
            </w:pPr>
            <w:bookmarkStart w:id="28" w:name="_Toc407028273"/>
            <w:r>
              <w:rPr>
                <w:b/>
                <w:bCs/>
                <w:color w:val="auto"/>
                <w:sz w:val="24"/>
              </w:rPr>
              <w:t>三、环境影响评价结论</w:t>
            </w:r>
          </w:p>
          <w:p>
            <w:pPr>
              <w:adjustRightInd w:val="0"/>
              <w:spacing w:line="360" w:lineRule="auto"/>
              <w:ind w:firstLine="482" w:firstLineChars="200"/>
              <w:rPr>
                <w:b/>
                <w:bCs/>
                <w:color w:val="auto"/>
                <w:sz w:val="24"/>
              </w:rPr>
            </w:pPr>
            <w:r>
              <w:rPr>
                <w:b/>
                <w:bCs/>
                <w:color w:val="auto"/>
                <w:sz w:val="24"/>
              </w:rPr>
              <w:t>1、环境空气影响评价结论</w:t>
            </w:r>
          </w:p>
          <w:p>
            <w:pPr>
              <w:spacing w:line="360" w:lineRule="auto"/>
              <w:ind w:firstLine="480" w:firstLineChars="200"/>
              <w:rPr>
                <w:bCs/>
                <w:color w:val="auto"/>
                <w:sz w:val="24"/>
              </w:rPr>
            </w:pPr>
            <w:r>
              <w:rPr>
                <w:rFonts w:hint="eastAsia"/>
                <w:color w:val="auto"/>
                <w:sz w:val="24"/>
                <w:lang w:eastAsia="zh-CN"/>
              </w:rPr>
              <w:t>开松、梳棉过程排放</w:t>
            </w:r>
            <w:r>
              <w:rPr>
                <w:color w:val="auto"/>
                <w:sz w:val="24"/>
              </w:rPr>
              <w:t>废气经</w:t>
            </w:r>
            <w:r>
              <w:rPr>
                <w:rFonts w:hint="eastAsia"/>
                <w:color w:val="auto"/>
                <w:sz w:val="24"/>
                <w:lang w:val="en-US" w:eastAsia="zh-CN"/>
              </w:rPr>
              <w:t>2台多筒式除尘机</w:t>
            </w:r>
            <w:r>
              <w:rPr>
                <w:color w:val="auto"/>
                <w:sz w:val="24"/>
              </w:rPr>
              <w:t>处理</w:t>
            </w:r>
            <w:r>
              <w:rPr>
                <w:rFonts w:hint="eastAsia"/>
                <w:color w:val="auto"/>
                <w:sz w:val="24"/>
                <w:lang w:eastAsia="zh-CN"/>
              </w:rPr>
              <w:t>达标后经</w:t>
            </w:r>
            <w:r>
              <w:rPr>
                <w:rFonts w:hint="eastAsia"/>
                <w:color w:val="auto"/>
                <w:sz w:val="24"/>
                <w:lang w:val="en-US" w:eastAsia="zh-CN"/>
              </w:rPr>
              <w:t>2根15m高排气筒</w:t>
            </w:r>
            <w:r>
              <w:rPr>
                <w:color w:val="auto"/>
                <w:sz w:val="24"/>
              </w:rPr>
              <w:t>高空排放，可满足</w:t>
            </w:r>
            <w:r>
              <w:rPr>
                <w:rFonts w:hint="eastAsia"/>
                <w:color w:val="auto"/>
                <w:sz w:val="24"/>
                <w:lang w:eastAsia="zh-CN"/>
              </w:rPr>
              <w:t>广东省地方标准</w:t>
            </w:r>
            <w:r>
              <w:rPr>
                <w:color w:val="auto"/>
                <w:sz w:val="24"/>
              </w:rPr>
              <w:t>《大气污染物排放</w:t>
            </w:r>
            <w:r>
              <w:rPr>
                <w:rFonts w:hint="eastAsia"/>
                <w:color w:val="auto"/>
                <w:sz w:val="24"/>
                <w:lang w:eastAsia="zh-CN"/>
              </w:rPr>
              <w:t>限值</w:t>
            </w:r>
            <w:r>
              <w:rPr>
                <w:color w:val="auto"/>
                <w:sz w:val="24"/>
              </w:rPr>
              <w:t>》（</w:t>
            </w:r>
            <w:r>
              <w:rPr>
                <w:rFonts w:hint="eastAsia"/>
                <w:color w:val="auto"/>
                <w:sz w:val="24"/>
                <w:lang w:val="en-US" w:eastAsia="zh-CN"/>
              </w:rPr>
              <w:t>DB44/27-2001</w:t>
            </w:r>
            <w:r>
              <w:rPr>
                <w:color w:val="auto"/>
                <w:sz w:val="24"/>
              </w:rPr>
              <w:t>）</w:t>
            </w:r>
            <w:r>
              <w:rPr>
                <w:rFonts w:hint="eastAsia"/>
                <w:color w:val="auto"/>
                <w:sz w:val="24"/>
                <w:lang w:eastAsia="zh-CN"/>
              </w:rPr>
              <w:t>第二时段二级标准无组织排放监控浓度限值</w:t>
            </w:r>
            <w:r>
              <w:rPr>
                <w:color w:val="auto"/>
                <w:sz w:val="24"/>
              </w:rPr>
              <w:t>。综上，项目</w:t>
            </w:r>
            <w:r>
              <w:rPr>
                <w:rFonts w:hint="eastAsia"/>
                <w:color w:val="auto"/>
                <w:sz w:val="24"/>
              </w:rPr>
              <w:t>废气</w:t>
            </w:r>
            <w:r>
              <w:rPr>
                <w:color w:val="auto"/>
                <w:sz w:val="24"/>
              </w:rPr>
              <w:t>处置合理，对周边环境影响不大。</w:t>
            </w:r>
          </w:p>
          <w:p>
            <w:pPr>
              <w:spacing w:line="360" w:lineRule="auto"/>
              <w:ind w:firstLine="482" w:firstLineChars="200"/>
              <w:rPr>
                <w:b/>
                <w:bCs/>
                <w:color w:val="auto"/>
                <w:sz w:val="24"/>
              </w:rPr>
            </w:pPr>
            <w:r>
              <w:rPr>
                <w:b/>
                <w:bCs/>
                <w:color w:val="auto"/>
                <w:sz w:val="24"/>
              </w:rPr>
              <w:t>2、水环境影响评价结论</w:t>
            </w:r>
            <w:bookmarkEnd w:id="28"/>
          </w:p>
          <w:p>
            <w:pPr>
              <w:spacing w:line="360" w:lineRule="auto"/>
              <w:ind w:firstLine="520" w:firstLineChars="200"/>
              <w:rPr>
                <w:bCs/>
                <w:color w:val="auto"/>
                <w:sz w:val="24"/>
              </w:rPr>
            </w:pPr>
            <w:r>
              <w:rPr>
                <w:color w:val="auto"/>
                <w:spacing w:val="10"/>
                <w:sz w:val="24"/>
              </w:rPr>
              <w:t>项目生产过程</w:t>
            </w:r>
            <w:r>
              <w:rPr>
                <w:rFonts w:hint="eastAsia"/>
                <w:color w:val="auto"/>
                <w:spacing w:val="10"/>
                <w:sz w:val="24"/>
                <w:lang w:eastAsia="zh-CN"/>
              </w:rPr>
              <w:t>不需生产用水，因此没有生产废水产生</w:t>
            </w:r>
            <w:r>
              <w:rPr>
                <w:rFonts w:hint="eastAsia"/>
                <w:color w:val="auto"/>
                <w:spacing w:val="10"/>
                <w:sz w:val="24"/>
              </w:rPr>
              <w:t>，</w:t>
            </w:r>
            <w:r>
              <w:rPr>
                <w:bCs/>
                <w:color w:val="auto"/>
                <w:sz w:val="24"/>
              </w:rPr>
              <w:t>项目</w:t>
            </w:r>
            <w:r>
              <w:rPr>
                <w:color w:val="auto"/>
                <w:sz w:val="24"/>
              </w:rPr>
              <w:t>生活污水经</w:t>
            </w:r>
            <w:r>
              <w:rPr>
                <w:rFonts w:hint="eastAsia"/>
                <w:color w:val="auto"/>
                <w:sz w:val="24"/>
                <w:lang w:eastAsia="zh-CN"/>
              </w:rPr>
              <w:t>生化池</w:t>
            </w:r>
            <w:r>
              <w:rPr>
                <w:rFonts w:hint="eastAsia"/>
                <w:color w:val="auto"/>
                <w:sz w:val="24"/>
              </w:rPr>
              <w:t>处理</w:t>
            </w:r>
            <w:r>
              <w:rPr>
                <w:color w:val="auto"/>
                <w:sz w:val="24"/>
              </w:rPr>
              <w:t>达到《城市污水再生利用 城市杂用水水质》（GB/T18920-2002）中城市绿化水质标准后用于厂内绿化。综上，项目</w:t>
            </w:r>
            <w:r>
              <w:rPr>
                <w:rFonts w:hint="eastAsia"/>
                <w:color w:val="auto"/>
                <w:sz w:val="24"/>
              </w:rPr>
              <w:t>废水</w:t>
            </w:r>
            <w:r>
              <w:rPr>
                <w:color w:val="auto"/>
                <w:sz w:val="24"/>
              </w:rPr>
              <w:t>处置合理，对周边环境影响不大。</w:t>
            </w:r>
          </w:p>
          <w:p>
            <w:pPr>
              <w:spacing w:line="360" w:lineRule="auto"/>
              <w:ind w:firstLine="482" w:firstLineChars="200"/>
              <w:rPr>
                <w:b/>
                <w:bCs/>
                <w:color w:val="auto"/>
                <w:sz w:val="24"/>
              </w:rPr>
            </w:pPr>
            <w:r>
              <w:rPr>
                <w:b/>
                <w:bCs/>
                <w:color w:val="auto"/>
                <w:sz w:val="24"/>
              </w:rPr>
              <w:t>3、固体废弃物影响评价结论</w:t>
            </w:r>
          </w:p>
          <w:p>
            <w:pPr>
              <w:spacing w:line="360" w:lineRule="auto"/>
              <w:ind w:firstLine="480" w:firstLineChars="200"/>
              <w:rPr>
                <w:color w:val="auto"/>
                <w:sz w:val="24"/>
              </w:rPr>
            </w:pPr>
            <w:r>
              <w:rPr>
                <w:color w:val="auto"/>
                <w:sz w:val="24"/>
              </w:rPr>
              <w:t>项目产生的固体废物主要是边角料</w:t>
            </w:r>
            <w:r>
              <w:rPr>
                <w:rFonts w:hint="eastAsia"/>
                <w:color w:val="auto"/>
                <w:sz w:val="24"/>
                <w:lang w:eastAsia="zh-CN"/>
              </w:rPr>
              <w:t>、多筒式除尘机收集的粉尘</w:t>
            </w:r>
            <w:r>
              <w:rPr>
                <w:color w:val="auto"/>
                <w:sz w:val="24"/>
              </w:rPr>
              <w:t xml:space="preserve">和生活垃圾。 </w:t>
            </w:r>
          </w:p>
          <w:p>
            <w:pPr>
              <w:spacing w:line="360" w:lineRule="auto"/>
              <w:ind w:firstLine="480" w:firstLineChars="200"/>
              <w:rPr>
                <w:color w:val="auto"/>
                <w:sz w:val="24"/>
              </w:rPr>
            </w:pPr>
            <w:r>
              <w:rPr>
                <w:color w:val="auto"/>
                <w:sz w:val="24"/>
              </w:rPr>
              <w:t>边角料</w:t>
            </w:r>
            <w:r>
              <w:rPr>
                <w:rFonts w:hint="eastAsia"/>
                <w:bCs/>
                <w:color w:val="FF0000"/>
                <w:sz w:val="24"/>
                <w:szCs w:val="20"/>
                <w:lang w:val="en-US" w:eastAsia="zh-CN"/>
              </w:rPr>
              <w:t>经回收后作为原料继续利用</w:t>
            </w:r>
            <w:r>
              <w:rPr>
                <w:rFonts w:hint="eastAsia"/>
                <w:color w:val="auto"/>
                <w:sz w:val="24"/>
                <w:lang w:eastAsia="zh-CN"/>
              </w:rPr>
              <w:t>，多筒式除尘机收集的粉尘</w:t>
            </w:r>
            <w:r>
              <w:rPr>
                <w:rFonts w:hint="default" w:ascii="Times New Roman" w:hAnsi="Times New Roman" w:eastAsia="宋体" w:cs="Times New Roman"/>
                <w:b w:val="0"/>
                <w:bCs w:val="0"/>
                <w:color w:val="auto"/>
                <w:kern w:val="2"/>
                <w:sz w:val="24"/>
                <w:szCs w:val="24"/>
                <w:lang w:val="en-US" w:eastAsia="zh-CN" w:bidi="ar-SA"/>
              </w:rPr>
              <w:t>集中收集交由环卫部门处理</w:t>
            </w:r>
            <w:r>
              <w:rPr>
                <w:color w:val="auto"/>
                <w:sz w:val="24"/>
                <w:szCs w:val="20"/>
              </w:rPr>
              <w:t>。</w:t>
            </w:r>
            <w:r>
              <w:rPr>
                <w:color w:val="auto"/>
                <w:sz w:val="24"/>
              </w:rPr>
              <w:t>生活垃圾由环卫部门运走。</w:t>
            </w:r>
          </w:p>
          <w:p>
            <w:pPr>
              <w:spacing w:line="360" w:lineRule="auto"/>
              <w:ind w:firstLine="480" w:firstLineChars="200"/>
              <w:rPr>
                <w:bCs/>
                <w:color w:val="auto"/>
                <w:sz w:val="24"/>
              </w:rPr>
            </w:pPr>
            <w:r>
              <w:rPr>
                <w:color w:val="auto"/>
                <w:sz w:val="24"/>
              </w:rPr>
              <w:t>综上，项目各项固体废物处置合理、去向明确，对周边环境影响不大。</w:t>
            </w:r>
          </w:p>
          <w:p>
            <w:pPr>
              <w:spacing w:line="360" w:lineRule="auto"/>
              <w:ind w:firstLine="482" w:firstLineChars="200"/>
              <w:rPr>
                <w:b/>
                <w:bCs/>
                <w:color w:val="auto"/>
                <w:sz w:val="24"/>
              </w:rPr>
            </w:pPr>
            <w:r>
              <w:rPr>
                <w:b/>
                <w:bCs/>
                <w:color w:val="auto"/>
                <w:sz w:val="24"/>
              </w:rPr>
              <w:t>4、声环境影响评价结论</w:t>
            </w:r>
          </w:p>
          <w:p>
            <w:pPr>
              <w:spacing w:line="360" w:lineRule="auto"/>
              <w:ind w:firstLine="520" w:firstLineChars="200"/>
              <w:rPr>
                <w:color w:val="auto"/>
                <w:sz w:val="24"/>
              </w:rPr>
            </w:pPr>
            <w:r>
              <w:rPr>
                <w:color w:val="auto"/>
                <w:spacing w:val="10"/>
                <w:sz w:val="24"/>
              </w:rPr>
              <w:t>通过对噪声源采取适当隔音</w:t>
            </w:r>
            <w:r>
              <w:rPr>
                <w:color w:val="auto"/>
                <w:sz w:val="24"/>
              </w:rPr>
              <w:t>、降噪措施，使得项目产生的噪声达到《工业企业厂界环境噪声排放标准》(GB12348—2008) 2类标准要求。对周围环境影响</w:t>
            </w:r>
            <w:r>
              <w:rPr>
                <w:rFonts w:hint="eastAsia"/>
                <w:color w:val="auto"/>
                <w:sz w:val="24"/>
              </w:rPr>
              <w:t>不大</w:t>
            </w:r>
            <w:r>
              <w:rPr>
                <w:color w:val="auto"/>
                <w:sz w:val="24"/>
              </w:rPr>
              <w:t>。</w:t>
            </w:r>
          </w:p>
          <w:p>
            <w:pPr>
              <w:spacing w:line="360" w:lineRule="auto"/>
              <w:ind w:firstLine="482" w:firstLineChars="200"/>
              <w:rPr>
                <w:rFonts w:hint="eastAsia"/>
                <w:b/>
                <w:bCs/>
                <w:color w:val="00B050"/>
                <w:sz w:val="24"/>
                <w:lang w:val="en-US" w:eastAsia="zh-CN"/>
              </w:rPr>
            </w:pPr>
            <w:r>
              <w:rPr>
                <w:rFonts w:hint="eastAsia"/>
                <w:b/>
                <w:bCs/>
                <w:color w:val="00B050"/>
                <w:sz w:val="24"/>
                <w:lang w:val="en-US" w:eastAsia="zh-CN"/>
              </w:rPr>
              <w:t>5、土壤环境影响评价结论</w:t>
            </w:r>
          </w:p>
          <w:p>
            <w:pPr>
              <w:spacing w:line="360" w:lineRule="auto"/>
              <w:ind w:firstLine="520" w:firstLineChars="200"/>
              <w:rPr>
                <w:rFonts w:hint="eastAsia"/>
                <w:color w:val="00B050"/>
                <w:spacing w:val="10"/>
                <w:sz w:val="24"/>
              </w:rPr>
            </w:pPr>
            <w:r>
              <w:rPr>
                <w:rFonts w:hint="eastAsia"/>
                <w:color w:val="00B050"/>
                <w:spacing w:val="10"/>
                <w:sz w:val="24"/>
              </w:rPr>
              <w:t>根据《环境影响评价技术导则 土壤环境（试行）》【HJ964-2018】附录A“土壤环境影响评价项目类别”，本项目属于IV类类别，根据导则中表4“污染影响型评价工作等级划分表”，本项目可不开展土壤环境影响评价工作。</w:t>
            </w:r>
          </w:p>
          <w:p>
            <w:pPr>
              <w:spacing w:line="360" w:lineRule="auto"/>
              <w:ind w:firstLine="482" w:firstLineChars="200"/>
              <w:rPr>
                <w:rFonts w:hint="eastAsia"/>
                <w:b/>
                <w:bCs/>
                <w:color w:val="00B050"/>
                <w:sz w:val="24"/>
                <w:lang w:val="en-US" w:eastAsia="zh-CN"/>
              </w:rPr>
            </w:pPr>
            <w:r>
              <w:rPr>
                <w:rFonts w:hint="eastAsia"/>
                <w:b/>
                <w:bCs/>
                <w:color w:val="00B050"/>
                <w:sz w:val="24"/>
                <w:lang w:val="en-US" w:eastAsia="zh-CN"/>
              </w:rPr>
              <w:t>6、地下水环境影响分析结论</w:t>
            </w:r>
          </w:p>
          <w:p>
            <w:pPr>
              <w:spacing w:line="360" w:lineRule="auto"/>
              <w:ind w:firstLine="520" w:firstLineChars="200"/>
              <w:rPr>
                <w:rFonts w:hint="eastAsia"/>
                <w:color w:val="00B050"/>
                <w:spacing w:val="10"/>
                <w:sz w:val="24"/>
              </w:rPr>
            </w:pPr>
            <w:r>
              <w:rPr>
                <w:rFonts w:hint="eastAsia"/>
                <w:color w:val="00B050"/>
                <w:spacing w:val="10"/>
                <w:sz w:val="24"/>
              </w:rPr>
              <w:t>根据《环境影响评价技术导则 地下水环境》【HJ610-2016】附录A“地下水环境影响评价行业分类表”，本项目属于IV类地下水环境影响评价项目类别，可不开展地下水环境影响评价工作。</w:t>
            </w:r>
          </w:p>
          <w:p>
            <w:pPr>
              <w:spacing w:line="360" w:lineRule="auto"/>
              <w:ind w:firstLine="482" w:firstLineChars="200"/>
              <w:rPr>
                <w:rFonts w:hint="eastAsia"/>
                <w:b/>
                <w:bCs/>
                <w:color w:val="00B050"/>
                <w:sz w:val="24"/>
                <w:lang w:val="en-US" w:eastAsia="zh-CN"/>
              </w:rPr>
            </w:pPr>
            <w:r>
              <w:rPr>
                <w:rFonts w:hint="eastAsia"/>
                <w:b/>
                <w:bCs/>
                <w:color w:val="00B050"/>
                <w:sz w:val="24"/>
                <w:lang w:val="en-US" w:eastAsia="zh-CN"/>
              </w:rPr>
              <w:t>7、环境风险影响分析结论</w:t>
            </w:r>
          </w:p>
          <w:p>
            <w:pPr>
              <w:spacing w:line="360" w:lineRule="auto"/>
              <w:ind w:firstLine="520" w:firstLineChars="200"/>
              <w:rPr>
                <w:rFonts w:hint="eastAsia"/>
                <w:color w:val="00B050"/>
                <w:spacing w:val="10"/>
                <w:sz w:val="24"/>
                <w:lang w:eastAsia="zh-CN"/>
              </w:rPr>
            </w:pPr>
            <w:r>
              <w:rPr>
                <w:rFonts w:hint="eastAsia"/>
                <w:color w:val="00B050"/>
                <w:spacing w:val="10"/>
                <w:sz w:val="24"/>
              </w:rPr>
              <w:t>评价建议建设单位根据项目环境风险特征制定相应的环境风险防范措施，同时制定环境风险应急预案、应急环境监测、抢救、救援及控制措施，本着预防为主的原则，落实环境风险防范措施及环境风险应急预案后，项日建设环境风险事故容易得到控制，对环境影响较小。</w:t>
            </w:r>
            <w:r>
              <w:rPr>
                <w:rFonts w:hint="eastAsia"/>
                <w:color w:val="00B050"/>
                <w:spacing w:val="10"/>
                <w:sz w:val="24"/>
                <w:lang w:eastAsia="zh-CN"/>
              </w:rPr>
              <w:t>综上，该项目不涉及重大危险源，生产过程中在严格按照风险防范措施处理情况下，该项目环境风险是可以接受的。</w:t>
            </w:r>
          </w:p>
          <w:p>
            <w:pPr>
              <w:spacing w:line="360" w:lineRule="auto"/>
              <w:ind w:firstLine="482" w:firstLineChars="200"/>
              <w:rPr>
                <w:rFonts w:hint="eastAsia"/>
                <w:b/>
                <w:bCs/>
                <w:color w:val="00B050"/>
                <w:sz w:val="24"/>
                <w:lang w:val="en-US" w:eastAsia="zh-CN"/>
              </w:rPr>
            </w:pPr>
            <w:r>
              <w:rPr>
                <w:rFonts w:hint="eastAsia"/>
                <w:b/>
                <w:bCs/>
                <w:color w:val="00B050"/>
                <w:sz w:val="24"/>
                <w:lang w:val="en-US" w:eastAsia="zh-CN"/>
              </w:rPr>
              <w:t>8、清洁生产评价结论</w:t>
            </w:r>
          </w:p>
          <w:p>
            <w:pPr>
              <w:spacing w:line="360" w:lineRule="auto"/>
              <w:ind w:firstLine="520" w:firstLineChars="200"/>
              <w:rPr>
                <w:rFonts w:hint="default"/>
                <w:color w:val="00B050"/>
                <w:spacing w:val="10"/>
                <w:sz w:val="24"/>
              </w:rPr>
            </w:pPr>
            <w:r>
              <w:rPr>
                <w:rFonts w:hint="default"/>
                <w:color w:val="00B050"/>
                <w:spacing w:val="10"/>
                <w:sz w:val="24"/>
              </w:rPr>
              <w:t>根据清洁生产的要求，其中一级要求：企业的生产行为，各项要求均达到国际上同行业先进水平；二级要求：各项要求均达到国内同行业先进水平；三级要求：企业的生产行为的各项要求均达到国内同行业平均水平。该项目的清洁生产得分为74.9，在70～80之间，可以达到二级要求，即企业各项目指标基本可以达到国内同行业的先进水平。</w:t>
            </w:r>
          </w:p>
          <w:p>
            <w:pPr>
              <w:adjustRightInd w:val="0"/>
              <w:spacing w:line="360" w:lineRule="auto"/>
              <w:ind w:firstLine="482" w:firstLineChars="200"/>
              <w:rPr>
                <w:b/>
                <w:bCs/>
                <w:color w:val="auto"/>
                <w:sz w:val="24"/>
              </w:rPr>
            </w:pPr>
            <w:r>
              <w:rPr>
                <w:b/>
                <w:bCs/>
                <w:color w:val="auto"/>
                <w:sz w:val="24"/>
              </w:rPr>
              <w:t>四、项目产业政策与规划的符合性</w:t>
            </w:r>
          </w:p>
          <w:p>
            <w:pPr>
              <w:spacing w:line="360" w:lineRule="auto"/>
              <w:ind w:firstLine="480" w:firstLineChars="200"/>
              <w:rPr>
                <w:rFonts w:hint="default" w:eastAsia="宋体"/>
                <w:color w:val="FF0000"/>
                <w:sz w:val="24"/>
                <w:lang w:val="en-US" w:eastAsia="zh-CN"/>
              </w:rPr>
            </w:pPr>
            <w:r>
              <w:rPr>
                <w:bCs/>
                <w:color w:val="FF0000"/>
                <w:sz w:val="24"/>
              </w:rPr>
              <w:t>项目</w:t>
            </w:r>
            <w:r>
              <w:rPr>
                <w:rFonts w:hint="eastAsia"/>
                <w:bCs/>
                <w:color w:val="FF0000"/>
                <w:sz w:val="24"/>
              </w:rPr>
              <w:t>属于</w:t>
            </w:r>
            <w:r>
              <w:rPr>
                <w:color w:val="FF0000"/>
                <w:sz w:val="24"/>
              </w:rPr>
              <w:t>《产业结构调整指导目录》（2011年本，及其2013年修正）</w:t>
            </w:r>
            <w:r>
              <w:rPr>
                <w:bCs/>
                <w:color w:val="FF0000"/>
                <w:sz w:val="24"/>
              </w:rPr>
              <w:t>中的</w:t>
            </w:r>
            <w:r>
              <w:rPr>
                <w:rFonts w:hint="eastAsia"/>
                <w:bCs/>
                <w:color w:val="FF0000"/>
                <w:sz w:val="24"/>
              </w:rPr>
              <w:t>鼓励类，且不属于</w:t>
            </w:r>
            <w:r>
              <w:rPr>
                <w:color w:val="FF0000"/>
                <w:sz w:val="24"/>
              </w:rPr>
              <w:t>《产业结构调整指导目录》（2011年本，及其2013年修正）</w:t>
            </w:r>
            <w:r>
              <w:rPr>
                <w:bCs/>
                <w:color w:val="FF0000"/>
                <w:sz w:val="24"/>
              </w:rPr>
              <w:t>、《广东省产业结构调整指导目录（2007年本）》</w:t>
            </w:r>
            <w:r>
              <w:rPr>
                <w:rFonts w:hint="eastAsia"/>
                <w:bCs/>
                <w:color w:val="FF0000"/>
                <w:sz w:val="24"/>
                <w:lang w:eastAsia="zh-CN"/>
              </w:rPr>
              <w:t>中的</w:t>
            </w:r>
            <w:r>
              <w:rPr>
                <w:rFonts w:hint="eastAsia"/>
                <w:bCs/>
                <w:color w:val="FF0000"/>
                <w:sz w:val="24"/>
              </w:rPr>
              <w:t>限制类和禁止类，</w:t>
            </w:r>
            <w:r>
              <w:rPr>
                <w:bCs/>
                <w:color w:val="FF0000"/>
                <w:sz w:val="24"/>
              </w:rPr>
              <w:t>符合国家和地方相关产业政策。</w:t>
            </w:r>
            <w:r>
              <w:rPr>
                <w:rFonts w:hint="default" w:ascii="Times New Roman" w:hAnsi="Times New Roman" w:eastAsia="宋体" w:cs="Times New Roman"/>
                <w:color w:val="FF0000"/>
                <w:lang w:val="en-US" w:eastAsia="zh-CN"/>
              </w:rPr>
              <w:t>符合</w:t>
            </w:r>
            <w:r>
              <w:rPr>
                <w:rFonts w:hint="default" w:ascii="Times New Roman" w:hAnsi="Times New Roman" w:eastAsia="宋体" w:cs="Times New Roman"/>
                <w:color w:val="FF0000"/>
                <w:sz w:val="24"/>
                <w:lang w:eastAsia="zh-CN"/>
              </w:rPr>
              <w:t>《国务院关于加快发展生产性服务业促进产业结构调整升级的指导意见》（国发[2014]26号）的要求</w:t>
            </w:r>
            <w:r>
              <w:rPr>
                <w:rFonts w:hint="eastAsia" w:ascii="Times New Roman" w:hAnsi="Times New Roman" w:cs="Times New Roman"/>
                <w:color w:val="FF0000"/>
                <w:sz w:val="24"/>
                <w:lang w:eastAsia="zh-CN"/>
              </w:rPr>
              <w:t>。</w:t>
            </w:r>
            <w:r>
              <w:rPr>
                <w:color w:val="FF0000"/>
                <w:sz w:val="24"/>
              </w:rPr>
              <w:t>项目</w:t>
            </w:r>
            <w:r>
              <w:rPr>
                <w:rFonts w:hint="eastAsia"/>
                <w:color w:val="FF0000"/>
                <w:sz w:val="24"/>
                <w:lang w:eastAsia="zh-CN"/>
              </w:rPr>
              <w:t>不在《</w:t>
            </w:r>
            <w:r>
              <w:rPr>
                <w:color w:val="FF0000"/>
                <w:sz w:val="24"/>
                <w:szCs w:val="22"/>
              </w:rPr>
              <w:t>普宁市城市总体规划(2015-203</w:t>
            </w:r>
            <w:r>
              <w:rPr>
                <w:rFonts w:hint="eastAsia"/>
                <w:color w:val="FF0000"/>
                <w:sz w:val="24"/>
                <w:szCs w:val="22"/>
              </w:rPr>
              <w:t>5</w:t>
            </w:r>
            <w:r>
              <w:rPr>
                <w:color w:val="FF0000"/>
                <w:sz w:val="24"/>
                <w:szCs w:val="22"/>
              </w:rPr>
              <w:t>年)》形成</w:t>
            </w:r>
            <w:r>
              <w:rPr>
                <w:rFonts w:hint="eastAsia"/>
                <w:color w:val="FF0000"/>
                <w:sz w:val="24"/>
                <w:szCs w:val="22"/>
                <w:lang w:eastAsia="zh-CN"/>
              </w:rPr>
              <w:t>的</w:t>
            </w:r>
            <w:r>
              <w:rPr>
                <w:color w:val="FF0000"/>
                <w:sz w:val="24"/>
                <w:szCs w:val="22"/>
              </w:rPr>
              <w:t>“一主三副，两轴五支点”的市域城镇空间总体结构</w:t>
            </w:r>
            <w:r>
              <w:rPr>
                <w:rFonts w:hint="eastAsia"/>
                <w:color w:val="FF0000"/>
                <w:sz w:val="24"/>
                <w:szCs w:val="22"/>
                <w:lang w:eastAsia="zh-CN"/>
              </w:rPr>
              <w:t>中</w:t>
            </w:r>
            <w:r>
              <w:rPr>
                <w:rFonts w:hint="eastAsia"/>
                <w:color w:val="FF0000"/>
                <w:sz w:val="24"/>
              </w:rPr>
              <w:t>，</w:t>
            </w:r>
            <w:r>
              <w:rPr>
                <w:color w:val="FF0000"/>
                <w:sz w:val="24"/>
              </w:rPr>
              <w:t>因此，项目的建设</w:t>
            </w:r>
            <w:r>
              <w:rPr>
                <w:rFonts w:hint="eastAsia"/>
                <w:color w:val="FF0000"/>
                <w:sz w:val="24"/>
                <w:lang w:eastAsia="zh-CN"/>
              </w:rPr>
              <w:t>不会与</w:t>
            </w:r>
            <w:r>
              <w:rPr>
                <w:color w:val="FF0000"/>
                <w:sz w:val="24"/>
              </w:rPr>
              <w:t>普宁市城市总体规划</w:t>
            </w:r>
            <w:r>
              <w:rPr>
                <w:rFonts w:hint="eastAsia"/>
                <w:color w:val="FF0000"/>
                <w:sz w:val="24"/>
                <w:lang w:eastAsia="zh-CN"/>
              </w:rPr>
              <w:t>相抵触</w:t>
            </w:r>
            <w:r>
              <w:rPr>
                <w:color w:val="FF0000"/>
                <w:sz w:val="24"/>
              </w:rPr>
              <w:t>。</w:t>
            </w:r>
            <w:r>
              <w:rPr>
                <w:rFonts w:hint="eastAsia"/>
                <w:color w:val="FF0000"/>
                <w:sz w:val="24"/>
                <w:lang w:eastAsia="zh-CN"/>
              </w:rPr>
              <w:t>项目符合</w:t>
            </w:r>
            <w:r>
              <w:rPr>
                <w:rFonts w:hint="eastAsia"/>
                <w:bCs/>
                <w:color w:val="FF0000"/>
                <w:sz w:val="24"/>
                <w:highlight w:val="none"/>
                <w:lang w:eastAsia="zh-CN"/>
              </w:rPr>
              <w:t>《普宁市梅塘镇总体规划（2016-2035年）》近期（2016-2020年）规划，</w:t>
            </w:r>
            <w:r>
              <w:rPr>
                <w:bCs/>
                <w:color w:val="FF0000"/>
                <w:sz w:val="24"/>
                <w:highlight w:val="none"/>
              </w:rPr>
              <w:t>根据普宁市</w:t>
            </w:r>
            <w:r>
              <w:rPr>
                <w:rFonts w:hint="eastAsia"/>
                <w:bCs/>
                <w:color w:val="FF0000"/>
                <w:sz w:val="24"/>
                <w:highlight w:val="none"/>
                <w:lang w:eastAsia="zh-CN"/>
              </w:rPr>
              <w:t>梅塘</w:t>
            </w:r>
            <w:r>
              <w:rPr>
                <w:bCs/>
                <w:color w:val="FF0000"/>
                <w:sz w:val="24"/>
                <w:highlight w:val="none"/>
              </w:rPr>
              <w:t>镇人民政府出具的《证明》，本项目选址合理</w:t>
            </w:r>
            <w:r>
              <w:rPr>
                <w:rFonts w:hint="eastAsia"/>
                <w:bCs/>
                <w:color w:val="FF0000"/>
                <w:sz w:val="24"/>
                <w:highlight w:val="none"/>
                <w:lang w:eastAsia="zh-CN"/>
              </w:rPr>
              <w:t>，</w:t>
            </w:r>
            <w:r>
              <w:rPr>
                <w:bCs/>
                <w:color w:val="FF0000"/>
                <w:sz w:val="24"/>
                <w:highlight w:val="none"/>
              </w:rPr>
              <w:t>同时根据普宁市</w:t>
            </w:r>
            <w:r>
              <w:rPr>
                <w:rFonts w:hint="eastAsia"/>
                <w:bCs/>
                <w:color w:val="FF0000"/>
                <w:sz w:val="24"/>
                <w:highlight w:val="none"/>
                <w:lang w:eastAsia="zh-CN"/>
              </w:rPr>
              <w:t>梅塘</w:t>
            </w:r>
            <w:r>
              <w:rPr>
                <w:bCs/>
                <w:color w:val="FF0000"/>
                <w:sz w:val="24"/>
                <w:highlight w:val="none"/>
              </w:rPr>
              <w:t>镇村镇规划建设管理</w:t>
            </w:r>
            <w:r>
              <w:rPr>
                <w:rFonts w:hint="eastAsia"/>
                <w:bCs/>
                <w:color w:val="FF0000"/>
                <w:sz w:val="24"/>
                <w:highlight w:val="none"/>
                <w:lang w:eastAsia="zh-CN"/>
              </w:rPr>
              <w:t>所</w:t>
            </w:r>
            <w:r>
              <w:rPr>
                <w:bCs/>
                <w:color w:val="FF0000"/>
                <w:sz w:val="24"/>
                <w:highlight w:val="none"/>
              </w:rPr>
              <w:t>出具的《证明》，该用地符合</w:t>
            </w:r>
            <w:r>
              <w:rPr>
                <w:rFonts w:hint="eastAsia"/>
                <w:bCs/>
                <w:color w:val="FF0000"/>
                <w:sz w:val="24"/>
                <w:highlight w:val="none"/>
                <w:lang w:eastAsia="zh-CN"/>
              </w:rPr>
              <w:t>梅塘</w:t>
            </w:r>
            <w:r>
              <w:rPr>
                <w:bCs/>
                <w:color w:val="FF0000"/>
                <w:sz w:val="24"/>
                <w:highlight w:val="none"/>
              </w:rPr>
              <w:t>镇建设规划。</w:t>
            </w:r>
            <w:r>
              <w:rPr>
                <w:rFonts w:hint="eastAsia"/>
                <w:bCs/>
                <w:color w:val="FF0000"/>
                <w:sz w:val="24"/>
                <w:highlight w:val="none"/>
                <w:lang w:eastAsia="zh-CN"/>
              </w:rPr>
              <w:t>项目符合</w:t>
            </w:r>
            <w:r>
              <w:rPr>
                <w:bCs/>
                <w:color w:val="FF0000"/>
                <w:sz w:val="24"/>
                <w:szCs w:val="32"/>
              </w:rPr>
              <w:t>《关于印发广东省主体功能区规划的配套环保政策的通知》（粤环〔2014〕7号）</w:t>
            </w:r>
            <w:r>
              <w:rPr>
                <w:rFonts w:hint="eastAsia"/>
                <w:bCs/>
                <w:color w:val="FF0000"/>
                <w:sz w:val="24"/>
                <w:szCs w:val="32"/>
                <w:lang w:eastAsia="zh-CN"/>
              </w:rPr>
              <w:t>、</w:t>
            </w:r>
            <w:r>
              <w:rPr>
                <w:bCs/>
                <w:color w:val="FF0000"/>
                <w:sz w:val="24"/>
                <w:szCs w:val="32"/>
              </w:rPr>
              <w:t>《揭阳市环境保护规划（2007-2020）》</w:t>
            </w:r>
            <w:r>
              <w:rPr>
                <w:rFonts w:hint="eastAsia"/>
                <w:bCs/>
                <w:color w:val="FF0000"/>
                <w:sz w:val="24"/>
                <w:szCs w:val="32"/>
                <w:lang w:eastAsia="zh-CN"/>
              </w:rPr>
              <w:t>、</w:t>
            </w:r>
            <w:r>
              <w:rPr>
                <w:color w:val="FF0000"/>
                <w:sz w:val="24"/>
                <w:szCs w:val="22"/>
              </w:rPr>
              <w:t>《关于印发&lt;关于加强河流污染防治工作的通知&gt;的通知》（环发〔2007〕201号）</w:t>
            </w:r>
            <w:r>
              <w:rPr>
                <w:rFonts w:hint="eastAsia"/>
                <w:color w:val="FF0000"/>
                <w:sz w:val="24"/>
                <w:szCs w:val="22"/>
                <w:lang w:eastAsia="zh-CN"/>
              </w:rPr>
              <w:t>、</w:t>
            </w:r>
            <w:r>
              <w:rPr>
                <w:color w:val="FF0000"/>
                <w:sz w:val="24"/>
                <w:szCs w:val="22"/>
              </w:rPr>
              <w:t>《广东省饮用水源水质保护条例》（2010年7月23日广东省第十一届人大常委会第二十次会议修正）</w:t>
            </w:r>
            <w:r>
              <w:rPr>
                <w:rFonts w:hint="eastAsia"/>
                <w:color w:val="FF0000"/>
                <w:sz w:val="24"/>
                <w:szCs w:val="22"/>
                <w:lang w:eastAsia="zh-CN"/>
              </w:rPr>
              <w:t>、</w:t>
            </w:r>
            <w:r>
              <w:rPr>
                <w:color w:val="FF0000"/>
                <w:sz w:val="24"/>
                <w:szCs w:val="22"/>
              </w:rPr>
              <w:t>《关于印发&lt;南粤水更清行动计划（修订本）（2017～2020年）&gt;的通知》（粤环〔2017〕28号）</w:t>
            </w:r>
            <w:r>
              <w:rPr>
                <w:rFonts w:hint="eastAsia"/>
                <w:color w:val="FF0000"/>
                <w:sz w:val="24"/>
                <w:szCs w:val="22"/>
                <w:lang w:eastAsia="zh-CN"/>
              </w:rPr>
              <w:t>、《揭阳市榕江流域水质达标方案（2017-2020年）》、</w:t>
            </w:r>
            <w:r>
              <w:rPr>
                <w:rFonts w:hint="eastAsia"/>
                <w:color w:val="00B050"/>
                <w:sz w:val="24"/>
                <w:szCs w:val="22"/>
                <w:lang w:eastAsia="zh-CN"/>
              </w:rPr>
              <w:t>《练江流域水环境综合整治方案（2014-2020)》</w:t>
            </w:r>
            <w:r>
              <w:rPr>
                <w:rFonts w:hint="eastAsia"/>
                <w:color w:val="FF0000"/>
                <w:sz w:val="24"/>
                <w:szCs w:val="22"/>
                <w:lang w:eastAsia="zh-CN"/>
              </w:rPr>
              <w:t>、《普宁市人民政府关于印发普宁市练江流域建设项目准入指引的通知》（2016年12月5日发布）、《</w:t>
            </w:r>
            <w:r>
              <w:rPr>
                <w:rFonts w:hint="eastAsia"/>
                <w:color w:val="FF0000"/>
                <w:sz w:val="24"/>
                <w:szCs w:val="22"/>
                <w:lang w:val="en-US" w:eastAsia="zh-CN"/>
              </w:rPr>
              <w:t>揭阳市重点流域水环境保护条例》（2019年3月1日施行）和《广东省节约用水办法》（广东省人民政府令 第240号 2017年8月1日施行）等相关规划的要求。</w:t>
            </w:r>
          </w:p>
          <w:p>
            <w:pPr>
              <w:adjustRightInd w:val="0"/>
              <w:spacing w:line="360" w:lineRule="auto"/>
              <w:ind w:firstLine="482" w:firstLineChars="200"/>
              <w:rPr>
                <w:b/>
                <w:bCs/>
                <w:color w:val="auto"/>
                <w:sz w:val="24"/>
              </w:rPr>
            </w:pPr>
            <w:r>
              <w:rPr>
                <w:rFonts w:hint="eastAsia"/>
                <w:b/>
                <w:bCs/>
                <w:color w:val="auto"/>
                <w:sz w:val="24"/>
              </w:rPr>
              <w:t>五</w:t>
            </w:r>
            <w:r>
              <w:rPr>
                <w:b/>
                <w:bCs/>
                <w:color w:val="auto"/>
                <w:sz w:val="24"/>
              </w:rPr>
              <w:t>、全本公示结论</w:t>
            </w:r>
          </w:p>
          <w:p>
            <w:pPr>
              <w:spacing w:line="360" w:lineRule="auto"/>
              <w:ind w:firstLine="480" w:firstLineChars="200"/>
              <w:rPr>
                <w:bCs/>
                <w:color w:val="auto"/>
                <w:sz w:val="24"/>
                <w:highlight w:val="none"/>
              </w:rPr>
            </w:pPr>
            <w:r>
              <w:rPr>
                <w:rFonts w:hint="eastAsia"/>
                <w:bCs/>
                <w:color w:val="auto"/>
                <w:sz w:val="24"/>
                <w:highlight w:val="none"/>
                <w:lang w:val="zh-CN"/>
              </w:rPr>
              <w:t>项目于</w:t>
            </w:r>
            <w:r>
              <w:rPr>
                <w:rFonts w:hint="eastAsia"/>
                <w:bCs/>
                <w:color w:val="auto"/>
                <w:sz w:val="24"/>
                <w:highlight w:val="none"/>
              </w:rPr>
              <w:t>2</w:t>
            </w:r>
            <w:r>
              <w:rPr>
                <w:bCs/>
                <w:color w:val="auto"/>
                <w:sz w:val="24"/>
                <w:highlight w:val="none"/>
              </w:rPr>
              <w:t>019</w:t>
            </w:r>
            <w:r>
              <w:rPr>
                <w:rFonts w:hint="eastAsia"/>
                <w:bCs/>
                <w:color w:val="auto"/>
                <w:sz w:val="24"/>
                <w:highlight w:val="none"/>
                <w:lang w:val="zh-CN"/>
              </w:rPr>
              <w:t>年</w:t>
            </w:r>
            <w:r>
              <w:rPr>
                <w:rFonts w:hint="eastAsia"/>
                <w:bCs/>
                <w:color w:val="auto"/>
                <w:sz w:val="24"/>
                <w:highlight w:val="none"/>
                <w:lang w:val="en-US" w:eastAsia="zh-CN"/>
              </w:rPr>
              <w:t>6</w:t>
            </w:r>
            <w:r>
              <w:rPr>
                <w:rFonts w:hint="eastAsia"/>
                <w:bCs/>
                <w:color w:val="auto"/>
                <w:sz w:val="24"/>
                <w:highlight w:val="none"/>
                <w:lang w:val="zh-CN"/>
              </w:rPr>
              <w:t>月</w:t>
            </w:r>
            <w:r>
              <w:rPr>
                <w:rFonts w:hint="eastAsia"/>
                <w:bCs/>
                <w:color w:val="auto"/>
                <w:sz w:val="24"/>
                <w:highlight w:val="none"/>
                <w:lang w:val="en-US" w:eastAsia="zh-CN"/>
              </w:rPr>
              <w:t>17</w:t>
            </w:r>
            <w:r>
              <w:rPr>
                <w:rFonts w:hint="eastAsia"/>
                <w:bCs/>
                <w:color w:val="auto"/>
                <w:sz w:val="24"/>
                <w:highlight w:val="none"/>
                <w:lang w:val="zh-CN"/>
              </w:rPr>
              <w:t>日</w:t>
            </w:r>
            <w:r>
              <w:rPr>
                <w:rFonts w:hint="eastAsia"/>
                <w:bCs/>
                <w:color w:val="auto"/>
                <w:sz w:val="24"/>
                <w:highlight w:val="none"/>
              </w:rPr>
              <w:t>—2</w:t>
            </w:r>
            <w:r>
              <w:rPr>
                <w:bCs/>
                <w:color w:val="auto"/>
                <w:sz w:val="24"/>
                <w:highlight w:val="none"/>
              </w:rPr>
              <w:t>019</w:t>
            </w:r>
            <w:r>
              <w:rPr>
                <w:rFonts w:hint="eastAsia"/>
                <w:bCs/>
                <w:color w:val="auto"/>
                <w:sz w:val="24"/>
                <w:highlight w:val="none"/>
                <w:lang w:val="zh-CN"/>
              </w:rPr>
              <w:t>年</w:t>
            </w:r>
            <w:r>
              <w:rPr>
                <w:rFonts w:hint="eastAsia"/>
                <w:bCs/>
                <w:color w:val="auto"/>
                <w:sz w:val="24"/>
                <w:highlight w:val="none"/>
                <w:lang w:val="en-US" w:eastAsia="zh-CN"/>
              </w:rPr>
              <w:t>6</w:t>
            </w:r>
            <w:r>
              <w:rPr>
                <w:rFonts w:hint="eastAsia"/>
                <w:bCs/>
                <w:color w:val="auto"/>
                <w:sz w:val="24"/>
                <w:highlight w:val="none"/>
                <w:lang w:val="zh-CN"/>
              </w:rPr>
              <w:t>月</w:t>
            </w:r>
            <w:r>
              <w:rPr>
                <w:rFonts w:hint="eastAsia"/>
                <w:bCs/>
                <w:color w:val="auto"/>
                <w:sz w:val="24"/>
                <w:highlight w:val="none"/>
                <w:lang w:val="en-US" w:eastAsia="zh-CN"/>
              </w:rPr>
              <w:t>28</w:t>
            </w:r>
            <w:r>
              <w:rPr>
                <w:rFonts w:hint="eastAsia"/>
                <w:bCs/>
                <w:color w:val="auto"/>
                <w:sz w:val="24"/>
                <w:highlight w:val="none"/>
                <w:lang w:val="zh-CN"/>
              </w:rPr>
              <w:t>日在网站对本项目进行全本公示</w:t>
            </w:r>
            <w:r>
              <w:rPr>
                <w:rFonts w:hint="eastAsia"/>
                <w:bCs/>
                <w:color w:val="auto"/>
                <w:sz w:val="24"/>
                <w:highlight w:val="none"/>
              </w:rPr>
              <w:t>，</w:t>
            </w:r>
            <w:r>
              <w:rPr>
                <w:rFonts w:hint="eastAsia"/>
                <w:bCs/>
                <w:color w:val="auto"/>
                <w:sz w:val="24"/>
                <w:highlight w:val="none"/>
                <w:lang w:val="zh-CN"/>
              </w:rPr>
              <w:t>公示网址为http://www.jyysthb.com/Web/ArticleBody/66</w:t>
            </w:r>
            <w:r>
              <w:rPr>
                <w:rFonts w:hint="eastAsia"/>
                <w:bCs/>
                <w:color w:val="auto"/>
                <w:sz w:val="24"/>
                <w:highlight w:val="none"/>
              </w:rPr>
              <w:t>。</w:t>
            </w:r>
          </w:p>
          <w:p>
            <w:pPr>
              <w:spacing w:line="360" w:lineRule="auto"/>
              <w:ind w:firstLine="480" w:firstLineChars="200"/>
              <w:rPr>
                <w:color w:val="auto"/>
                <w:sz w:val="24"/>
              </w:rPr>
            </w:pPr>
            <w:r>
              <w:rPr>
                <w:bCs/>
                <w:color w:val="auto"/>
                <w:sz w:val="24"/>
                <w:lang w:val="zh-CN"/>
              </w:rPr>
              <w:t>在公示的期间内，建设单位、评价单位均未收到公众来电、来信或来访。</w:t>
            </w:r>
            <w:r>
              <w:rPr>
                <w:color w:val="auto"/>
                <w:sz w:val="24"/>
              </w:rPr>
              <w:t>本项目建设单位需承诺，项目在营运期间出现环境问题投诉时，项目将及时停业整改环保措施，直至消除对环境敏感点的不良影响，未消除不良影响的情况下不进行生产。</w:t>
            </w:r>
          </w:p>
          <w:p>
            <w:pPr>
              <w:spacing w:line="360" w:lineRule="auto"/>
              <w:ind w:firstLine="480" w:firstLineChars="200"/>
              <w:rPr>
                <w:bCs/>
                <w:color w:val="auto"/>
                <w:sz w:val="24"/>
                <w:lang w:val="zh-CN"/>
              </w:rPr>
            </w:pPr>
            <w:r>
              <w:rPr>
                <w:bCs/>
                <w:color w:val="auto"/>
                <w:sz w:val="24"/>
                <w:lang w:val="zh-CN"/>
              </w:rPr>
              <w:t>在建设方按要求实行各方面环保措施，切实执行本报告中所提出的各项环保治理措施，减少项目在建设及营运期间对居民生活及环境的影响，公众是支持该项目的建设的。</w:t>
            </w:r>
          </w:p>
          <w:p>
            <w:pPr>
              <w:adjustRightInd w:val="0"/>
              <w:spacing w:line="360" w:lineRule="auto"/>
              <w:ind w:firstLine="482" w:firstLineChars="200"/>
              <w:rPr>
                <w:b/>
                <w:bCs/>
                <w:color w:val="auto"/>
                <w:sz w:val="24"/>
              </w:rPr>
            </w:pPr>
            <w:r>
              <w:rPr>
                <w:b/>
                <w:bCs/>
                <w:color w:val="auto"/>
                <w:sz w:val="24"/>
              </w:rPr>
              <w:t>六、建议</w:t>
            </w:r>
          </w:p>
          <w:p>
            <w:pPr>
              <w:spacing w:line="360" w:lineRule="auto"/>
              <w:ind w:firstLine="480" w:firstLineChars="200"/>
              <w:rPr>
                <w:bCs/>
                <w:color w:val="auto"/>
                <w:sz w:val="24"/>
                <w:lang w:val="zh-CN"/>
              </w:rPr>
            </w:pPr>
            <w:r>
              <w:rPr>
                <w:bCs/>
                <w:color w:val="auto"/>
                <w:sz w:val="24"/>
                <w:lang w:val="zh-CN"/>
              </w:rPr>
              <w:t xml:space="preserve">认真执行污染防治设施与主体工程“三同时”制度，各项污染治理设施均应按要求报当地环保行政管理部门验收后投入使用。 </w:t>
            </w:r>
          </w:p>
          <w:p>
            <w:pPr>
              <w:spacing w:line="360" w:lineRule="auto"/>
              <w:ind w:firstLine="480" w:firstLineChars="200"/>
              <w:rPr>
                <w:bCs/>
                <w:color w:val="auto"/>
                <w:sz w:val="24"/>
              </w:rPr>
            </w:pPr>
            <w:r>
              <w:rPr>
                <w:bCs/>
                <w:color w:val="auto"/>
                <w:sz w:val="24"/>
              </w:rPr>
              <w:t>1、切实做好各项环保措施和绿化措施，减少本项目污染物对周边环境的影响。</w:t>
            </w:r>
          </w:p>
          <w:p>
            <w:pPr>
              <w:spacing w:line="360" w:lineRule="auto"/>
              <w:ind w:firstLine="480" w:firstLineChars="200"/>
              <w:rPr>
                <w:bCs/>
                <w:color w:val="auto"/>
                <w:sz w:val="24"/>
              </w:rPr>
            </w:pPr>
            <w:r>
              <w:rPr>
                <w:bCs/>
                <w:color w:val="auto"/>
                <w:sz w:val="24"/>
              </w:rPr>
              <w:t>2、项目的环境保护设施必须与主体工程同时设计、同时施工、同时投入使用；项目建成后必须报经当地环境保护部门同意方可投入试运行；治理设施必须经当地环境保护部门验收合格后才能正式投入使用。</w:t>
            </w:r>
          </w:p>
          <w:p>
            <w:pPr>
              <w:spacing w:line="360" w:lineRule="auto"/>
              <w:ind w:firstLine="480" w:firstLineChars="200"/>
              <w:rPr>
                <w:b/>
                <w:bCs/>
                <w:color w:val="auto"/>
                <w:sz w:val="24"/>
              </w:rPr>
            </w:pPr>
            <w:r>
              <w:rPr>
                <w:bCs/>
                <w:color w:val="auto"/>
                <w:sz w:val="24"/>
              </w:rPr>
              <w:t>综上所述，项目在切实落实“三同时”和本评价所要求的污染防治措施的情况下，排放的污染物浓度基本符合排放标准的要求，污染物排放总量也能满足所在区域总量控制的要求，在正常情况下，对该区域的环境影响可以承受。</w:t>
            </w:r>
            <w:r>
              <w:rPr>
                <w:b/>
                <w:bCs/>
                <w:color w:val="auto"/>
                <w:sz w:val="24"/>
              </w:rPr>
              <w:t>因此，从环保的角度来评价，</w:t>
            </w:r>
            <w:r>
              <w:rPr>
                <w:rFonts w:hint="eastAsia"/>
                <w:b/>
                <w:color w:val="auto"/>
                <w:sz w:val="24"/>
                <w:lang w:eastAsia="zh-CN"/>
              </w:rPr>
              <w:t>普宁市梅塘强彬纺织厂年产200吨再生棉项目</w:t>
            </w:r>
            <w:r>
              <w:rPr>
                <w:b/>
                <w:bCs/>
                <w:color w:val="auto"/>
                <w:sz w:val="24"/>
              </w:rPr>
              <w:t>是可行的。</w:t>
            </w:r>
          </w:p>
          <w:p>
            <w:pPr>
              <w:spacing w:line="360" w:lineRule="auto"/>
              <w:ind w:firstLine="482" w:firstLineChars="200"/>
              <w:jc w:val="right"/>
              <w:rPr>
                <w:b/>
                <w:bCs/>
                <w:color w:val="auto"/>
                <w:sz w:val="24"/>
              </w:rPr>
            </w:pPr>
            <w:r>
              <w:rPr>
                <w:rFonts w:hint="eastAsia"/>
                <w:b/>
                <w:bCs/>
                <w:color w:val="auto"/>
                <w:sz w:val="24"/>
                <w:lang w:eastAsia="zh-CN"/>
              </w:rPr>
              <w:t>深圳环新生态技术有限公司</w:t>
            </w:r>
          </w:p>
          <w:p>
            <w:pPr>
              <w:spacing w:line="360" w:lineRule="auto"/>
              <w:jc w:val="left"/>
              <w:rPr>
                <w:b/>
                <w:bCs/>
                <w:color w:val="auto"/>
                <w:sz w:val="24"/>
              </w:rPr>
            </w:pPr>
            <w:r>
              <w:rPr>
                <w:rFonts w:hint="eastAsia"/>
                <w:b/>
                <w:bCs/>
                <w:color w:val="auto"/>
                <w:sz w:val="24"/>
              </w:rPr>
              <w:t>声明：</w:t>
            </w:r>
          </w:p>
          <w:p>
            <w:pPr>
              <w:spacing w:line="360" w:lineRule="auto"/>
              <w:ind w:firstLine="561" w:firstLineChars="233"/>
              <w:jc w:val="left"/>
              <w:rPr>
                <w:b/>
                <w:bCs/>
                <w:color w:val="auto"/>
                <w:sz w:val="24"/>
              </w:rPr>
            </w:pPr>
            <w:r>
              <w:rPr>
                <w:rFonts w:hint="eastAsia"/>
                <w:b/>
                <w:bCs/>
                <w:color w:val="auto"/>
                <w:sz w:val="24"/>
              </w:rPr>
              <w:t>本单位认可本报告的全部内容。</w:t>
            </w:r>
          </w:p>
          <w:p>
            <w:pPr>
              <w:spacing w:line="360" w:lineRule="auto"/>
              <w:ind w:firstLine="561" w:firstLineChars="233"/>
              <w:jc w:val="left"/>
              <w:rPr>
                <w:b/>
                <w:bCs/>
                <w:color w:val="auto"/>
                <w:sz w:val="24"/>
              </w:rPr>
            </w:pPr>
          </w:p>
          <w:p>
            <w:pPr>
              <w:wordWrap w:val="0"/>
              <w:spacing w:line="360" w:lineRule="auto"/>
              <w:ind w:firstLine="561" w:firstLineChars="233"/>
              <w:jc w:val="right"/>
              <w:rPr>
                <w:b/>
                <w:bCs/>
                <w:color w:val="auto"/>
                <w:sz w:val="24"/>
              </w:rPr>
            </w:pPr>
            <w:r>
              <w:rPr>
                <w:rFonts w:hint="eastAsia"/>
                <w:b/>
                <w:bCs/>
                <w:color w:val="auto"/>
                <w:sz w:val="24"/>
              </w:rPr>
              <w:t>单位法人或授权人签名：</w:t>
            </w:r>
            <w:r>
              <w:rPr>
                <w:rFonts w:hint="eastAsia"/>
                <w:b/>
                <w:bCs/>
                <w:color w:val="auto"/>
                <w:sz w:val="24"/>
                <w:u w:val="single"/>
              </w:rPr>
              <w:t xml:space="preserve">           </w:t>
            </w:r>
            <w:r>
              <w:rPr>
                <w:rFonts w:hint="eastAsia"/>
                <w:b/>
                <w:bCs/>
                <w:color w:val="auto"/>
                <w:sz w:val="24"/>
              </w:rPr>
              <w:t xml:space="preserve"> </w:t>
            </w:r>
          </w:p>
          <w:p>
            <w:pPr>
              <w:wordWrap w:val="0"/>
              <w:spacing w:line="360" w:lineRule="auto"/>
              <w:ind w:firstLine="561" w:firstLineChars="233"/>
              <w:jc w:val="right"/>
              <w:rPr>
                <w:b/>
                <w:bCs/>
                <w:color w:val="auto"/>
                <w:sz w:val="24"/>
              </w:rPr>
            </w:pPr>
            <w:r>
              <w:rPr>
                <w:rFonts w:hint="eastAsia"/>
                <w:b/>
                <w:bCs/>
                <w:color w:val="auto"/>
                <w:sz w:val="24"/>
              </w:rPr>
              <w:t xml:space="preserve">年    月    日  </w:t>
            </w:r>
          </w:p>
        </w:tc>
      </w:tr>
    </w:tbl>
    <w:p>
      <w:pPr>
        <w:rPr>
          <w:color w:val="auto"/>
        </w:rPr>
        <w:sectPr>
          <w:footerReference r:id="rId11"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tbl>
      <w:tblPr>
        <w:tblStyle w:val="3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6" w:hRule="atLeast"/>
        </w:trPr>
        <w:tc>
          <w:tcPr>
            <w:tcW w:w="9288" w:type="dxa"/>
          </w:tcPr>
          <w:p>
            <w:pPr>
              <w:pStyle w:val="43"/>
              <w:spacing w:before="200" w:line="240" w:lineRule="auto"/>
              <w:ind w:firstLine="0"/>
              <w:rPr>
                <w:rFonts w:eastAsia="黑体"/>
                <w:color w:val="auto"/>
              </w:rPr>
            </w:pPr>
            <w:r>
              <w:rPr>
                <w:rFonts w:eastAsia="黑体"/>
                <w:bCs/>
                <w:color w:val="auto"/>
              </w:rPr>
              <w:t>预审意见：</w:t>
            </w: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r>
              <w:rPr>
                <w:rFonts w:eastAsia="宋体"/>
                <w:color w:val="auto"/>
              </w:rPr>
              <w:t>　　　　　　　　　　　　　　　　　　　　　　　　　　　　　　　公　章</w:t>
            </w:r>
          </w:p>
          <w:p>
            <w:pPr>
              <w:pStyle w:val="43"/>
              <w:spacing w:before="200" w:line="240" w:lineRule="auto"/>
              <w:ind w:firstLine="0"/>
              <w:rPr>
                <w:rFonts w:eastAsia="宋体"/>
                <w:color w:val="auto"/>
              </w:rPr>
            </w:pPr>
            <w:r>
              <w:rPr>
                <w:rFonts w:eastAsia="宋体"/>
                <w:color w:val="auto"/>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1" w:hRule="atLeast"/>
        </w:trPr>
        <w:tc>
          <w:tcPr>
            <w:tcW w:w="9288" w:type="dxa"/>
          </w:tcPr>
          <w:p>
            <w:pPr>
              <w:pStyle w:val="43"/>
              <w:spacing w:before="200" w:line="240" w:lineRule="auto"/>
              <w:ind w:firstLine="0"/>
              <w:rPr>
                <w:rFonts w:eastAsia="黑体"/>
                <w:bCs/>
                <w:color w:val="auto"/>
              </w:rPr>
            </w:pPr>
            <w:r>
              <w:rPr>
                <w:rFonts w:eastAsia="黑体"/>
                <w:bCs/>
                <w:color w:val="auto"/>
              </w:rPr>
              <w:t>下一级环境保护行政主管部门审查意见：</w:t>
            </w: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r>
              <w:rPr>
                <w:rFonts w:eastAsia="宋体"/>
                <w:color w:val="auto"/>
              </w:rPr>
              <w:t>　　　　　　　　　　　　　　　　　　　　　　　　　　　　　　　公　章</w:t>
            </w:r>
          </w:p>
          <w:p>
            <w:pPr>
              <w:pStyle w:val="43"/>
              <w:spacing w:before="200" w:line="240" w:lineRule="auto"/>
              <w:ind w:firstLine="0"/>
              <w:rPr>
                <w:rFonts w:eastAsia="宋体"/>
                <w:color w:val="auto"/>
              </w:rPr>
            </w:pPr>
            <w:r>
              <w:rPr>
                <w:rFonts w:eastAsia="宋体"/>
                <w:color w:val="auto"/>
              </w:rPr>
              <w:t>经办人：　　　　　　　　　　　　　　　　　　　　　　　　　　年　　月　　日</w:t>
            </w:r>
          </w:p>
          <w:p>
            <w:pPr>
              <w:pStyle w:val="43"/>
              <w:spacing w:before="200" w:line="240" w:lineRule="auto"/>
              <w:ind w:firstLine="0"/>
              <w:rPr>
                <w:rFonts w:eastAsia="宋体"/>
                <w:color w:val="auto"/>
              </w:rPr>
            </w:pPr>
          </w:p>
        </w:tc>
      </w:tr>
    </w:tbl>
    <w:p>
      <w:pPr>
        <w:pStyle w:val="43"/>
        <w:spacing w:before="200" w:line="240" w:lineRule="auto"/>
        <w:ind w:firstLine="0"/>
        <w:rPr>
          <w:rFonts w:eastAsia="宋体"/>
          <w:b/>
          <w:bCs/>
          <w:color w:val="auto"/>
          <w:sz w:val="28"/>
        </w:rPr>
        <w:sectPr>
          <w:footerReference r:id="rId12" w:type="default"/>
          <w:pgSz w:w="11906" w:h="16838"/>
          <w:pgMar w:top="1134" w:right="1191" w:bottom="1463" w:left="1418" w:header="907" w:footer="907" w:gutter="0"/>
          <w:pgBorders>
            <w:top w:val="none" w:sz="0" w:space="0"/>
            <w:left w:val="none" w:sz="0" w:space="0"/>
            <w:bottom w:val="none" w:sz="0" w:space="0"/>
            <w:right w:val="none" w:sz="0" w:space="0"/>
          </w:pgBorders>
          <w:cols w:space="720" w:num="1"/>
          <w:docGrid w:linePitch="326" w:charSpace="0"/>
        </w:sectPr>
      </w:pPr>
    </w:p>
    <w:tbl>
      <w:tblPr>
        <w:tblStyle w:val="31"/>
        <w:tblpPr w:leftFromText="180" w:rightFromText="180" w:horzAnchor="margin" w:tblpY="32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49" w:hRule="atLeast"/>
        </w:trPr>
        <w:tc>
          <w:tcPr>
            <w:tcW w:w="9288" w:type="dxa"/>
            <w:tcBorders>
              <w:bottom w:val="single" w:color="auto" w:sz="4" w:space="0"/>
            </w:tcBorders>
          </w:tcPr>
          <w:p>
            <w:pPr>
              <w:pStyle w:val="43"/>
              <w:spacing w:before="200" w:line="240" w:lineRule="auto"/>
              <w:ind w:firstLine="0"/>
              <w:rPr>
                <w:rFonts w:eastAsia="黑体"/>
                <w:bCs/>
                <w:color w:val="auto"/>
              </w:rPr>
            </w:pPr>
            <w:r>
              <w:rPr>
                <w:rFonts w:eastAsia="黑体"/>
                <w:bCs/>
                <w:color w:val="auto"/>
              </w:rPr>
              <w:t>审批意见：</w:t>
            </w: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p>
          <w:p>
            <w:pPr>
              <w:pStyle w:val="43"/>
              <w:spacing w:before="200" w:line="240" w:lineRule="auto"/>
              <w:ind w:firstLine="0"/>
              <w:rPr>
                <w:rFonts w:eastAsia="宋体"/>
                <w:color w:val="auto"/>
              </w:rPr>
            </w:pPr>
            <w:r>
              <w:rPr>
                <w:rFonts w:eastAsia="宋体"/>
                <w:color w:val="auto"/>
              </w:rPr>
              <w:t>　　　　　　　　　　　　　　　　　　　　　　　　　　　　　　　公　章</w:t>
            </w:r>
          </w:p>
          <w:p>
            <w:pPr>
              <w:pStyle w:val="43"/>
              <w:spacing w:before="200" w:line="240" w:lineRule="auto"/>
              <w:ind w:firstLine="0"/>
              <w:rPr>
                <w:rFonts w:eastAsia="宋体"/>
                <w:color w:val="auto"/>
              </w:rPr>
            </w:pPr>
            <w:r>
              <w:rPr>
                <w:rFonts w:eastAsia="宋体"/>
                <w:color w:val="auto"/>
              </w:rPr>
              <w:t>经办人：　　　　　　　　　　　　　　　　　　　　　　　　　　　年　　月　　日</w:t>
            </w:r>
          </w:p>
        </w:tc>
      </w:tr>
    </w:tbl>
    <w:p>
      <w:pPr>
        <w:rPr>
          <w:color w:val="auto"/>
        </w:rPr>
      </w:pPr>
    </w:p>
    <w:p>
      <w:pPr>
        <w:keepNext/>
        <w:keepLines/>
        <w:spacing w:line="360" w:lineRule="auto"/>
        <w:outlineLvl w:val="1"/>
        <w:rPr>
          <w:color w:val="auto"/>
        </w:rPr>
      </w:pPr>
      <w:r>
        <w:rPr>
          <w:color w:val="auto"/>
        </w:rPr>
        <w:br w:type="page"/>
      </w:r>
      <w:r>
        <w:rPr>
          <w:rFonts w:hint="eastAsia"/>
          <w:b/>
          <w:color w:val="auto"/>
          <w:sz w:val="28"/>
          <w:szCs w:val="21"/>
        </w:rPr>
        <w:t>附表1</w:t>
      </w:r>
      <w:r>
        <w:rPr>
          <w:b/>
          <w:color w:val="auto"/>
          <w:sz w:val="28"/>
          <w:szCs w:val="21"/>
        </w:rPr>
        <w:t xml:space="preserve"> </w:t>
      </w:r>
      <w:r>
        <w:rPr>
          <w:rFonts w:hint="eastAsia"/>
          <w:b/>
          <w:color w:val="auto"/>
          <w:sz w:val="28"/>
          <w:szCs w:val="21"/>
        </w:rPr>
        <w:t>建设项目大气环境影响评价自查表</w:t>
      </w:r>
    </w:p>
    <w:tbl>
      <w:tblPr>
        <w:tblStyle w:val="31"/>
        <w:tblW w:w="8336" w:type="dxa"/>
        <w:jc w:val="center"/>
        <w:tblInd w:w="0" w:type="dxa"/>
        <w:tblLayout w:type="fixed"/>
        <w:tblCellMar>
          <w:top w:w="15" w:type="dxa"/>
          <w:left w:w="15" w:type="dxa"/>
          <w:bottom w:w="15" w:type="dxa"/>
          <w:right w:w="15" w:type="dxa"/>
        </w:tblCellMar>
      </w:tblPr>
      <w:tblGrid>
        <w:gridCol w:w="781"/>
        <w:gridCol w:w="1187"/>
        <w:gridCol w:w="914"/>
        <w:gridCol w:w="554"/>
        <w:gridCol w:w="94"/>
        <w:gridCol w:w="206"/>
        <w:gridCol w:w="291"/>
        <w:gridCol w:w="204"/>
        <w:gridCol w:w="478"/>
        <w:gridCol w:w="359"/>
        <w:gridCol w:w="25"/>
        <w:gridCol w:w="143"/>
        <w:gridCol w:w="182"/>
        <w:gridCol w:w="459"/>
        <w:gridCol w:w="171"/>
        <w:gridCol w:w="88"/>
        <w:gridCol w:w="400"/>
        <w:gridCol w:w="107"/>
        <w:gridCol w:w="29"/>
        <w:gridCol w:w="126"/>
        <w:gridCol w:w="815"/>
        <w:gridCol w:w="723"/>
      </w:tblGrid>
      <w:tr>
        <w:tblPrEx>
          <w:tblLayout w:type="fixed"/>
          <w:tblCellMar>
            <w:top w:w="15" w:type="dxa"/>
            <w:left w:w="15" w:type="dxa"/>
            <w:bottom w:w="15" w:type="dxa"/>
            <w:right w:w="15" w:type="dxa"/>
          </w:tblCellMar>
        </w:tblPrEx>
        <w:trPr>
          <w:trHeight w:val="340"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工作内容</w:t>
            </w:r>
          </w:p>
        </w:tc>
        <w:tc>
          <w:tcPr>
            <w:tcW w:w="6368" w:type="dxa"/>
            <w:gridSpan w:val="2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自查项目</w:t>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评价等级与范围</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评价等级</w:t>
            </w:r>
          </w:p>
        </w:tc>
        <w:tc>
          <w:tcPr>
            <w:tcW w:w="22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一级</w:t>
            </w:r>
            <w:r>
              <w:rPr>
                <w:color w:val="auto"/>
                <w:sz w:val="18"/>
                <w:szCs w:val="18"/>
              </w:rPr>
              <w:sym w:font="Wingdings 2" w:char="00A3"/>
            </w:r>
          </w:p>
        </w:tc>
        <w:tc>
          <w:tcPr>
            <w:tcW w:w="230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二级</w:t>
            </w:r>
            <w:r>
              <w:rPr>
                <w:rFonts w:hint="eastAsia"/>
                <w:color w:val="auto"/>
                <w:sz w:val="13"/>
                <w:szCs w:val="11"/>
                <w:bdr w:val="single" w:color="auto" w:sz="4" w:space="0"/>
              </w:rPr>
              <w:t>√</w:t>
            </w:r>
          </w:p>
        </w:tc>
        <w:tc>
          <w:tcPr>
            <w:tcW w:w="1800"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三级</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评价范围</w:t>
            </w:r>
          </w:p>
        </w:tc>
        <w:tc>
          <w:tcPr>
            <w:tcW w:w="22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边长=50km</w:t>
            </w:r>
            <w:r>
              <w:rPr>
                <w:color w:val="auto"/>
                <w:sz w:val="18"/>
                <w:szCs w:val="18"/>
              </w:rPr>
              <w:sym w:font="Wingdings 2" w:char="00A3"/>
            </w:r>
          </w:p>
        </w:tc>
        <w:tc>
          <w:tcPr>
            <w:tcW w:w="230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边长5~50km</w:t>
            </w:r>
            <w:r>
              <w:rPr>
                <w:rFonts w:hint="eastAsia"/>
                <w:color w:val="auto"/>
                <w:sz w:val="13"/>
                <w:szCs w:val="11"/>
                <w:bdr w:val="single" w:color="auto" w:sz="4" w:space="0"/>
              </w:rPr>
              <w:t>√</w:t>
            </w:r>
          </w:p>
        </w:tc>
        <w:tc>
          <w:tcPr>
            <w:tcW w:w="1800"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边长=5km</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评价因子</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SO</w:t>
            </w:r>
            <w:r>
              <w:rPr>
                <w:color w:val="auto"/>
                <w:kern w:val="0"/>
                <w:sz w:val="18"/>
                <w:szCs w:val="18"/>
                <w:vertAlign w:val="subscript"/>
                <w:lang w:bidi="ar"/>
              </w:rPr>
              <w:t>2</w:t>
            </w:r>
            <w:r>
              <w:rPr>
                <w:color w:val="auto"/>
                <w:kern w:val="0"/>
                <w:sz w:val="18"/>
                <w:szCs w:val="18"/>
                <w:lang w:bidi="ar"/>
              </w:rPr>
              <w:t>+NO</w:t>
            </w:r>
            <w:r>
              <w:rPr>
                <w:color w:val="auto"/>
                <w:kern w:val="0"/>
                <w:sz w:val="18"/>
                <w:szCs w:val="18"/>
                <w:vertAlign w:val="subscript"/>
                <w:lang w:bidi="ar"/>
              </w:rPr>
              <w:t>x</w:t>
            </w:r>
            <w:r>
              <w:rPr>
                <w:color w:val="auto"/>
                <w:kern w:val="0"/>
                <w:sz w:val="18"/>
                <w:szCs w:val="18"/>
                <w:lang w:bidi="ar"/>
              </w:rPr>
              <w:t>排放量</w:t>
            </w:r>
          </w:p>
        </w:tc>
        <w:tc>
          <w:tcPr>
            <w:tcW w:w="22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w:t>
            </w:r>
            <w:r>
              <w:rPr>
                <w:rStyle w:val="114"/>
                <w:rFonts w:hint="default"/>
                <w:color w:val="auto"/>
                <w:sz w:val="18"/>
                <w:szCs w:val="18"/>
                <w:lang w:bidi="ar"/>
              </w:rPr>
              <w:t>2000t/a</w:t>
            </w:r>
            <w:r>
              <w:rPr>
                <w:color w:val="auto"/>
                <w:sz w:val="18"/>
                <w:szCs w:val="18"/>
              </w:rPr>
              <w:sym w:font="Wingdings 2" w:char="00A3"/>
            </w:r>
          </w:p>
        </w:tc>
        <w:tc>
          <w:tcPr>
            <w:tcW w:w="230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500~2000t/a</w:t>
            </w:r>
            <w:r>
              <w:rPr>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&lt;500t/a</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评价因子</w:t>
            </w:r>
          </w:p>
        </w:tc>
        <w:tc>
          <w:tcPr>
            <w:tcW w:w="312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kern w:val="0"/>
                <w:sz w:val="18"/>
                <w:szCs w:val="18"/>
                <w:lang w:bidi="ar"/>
              </w:rPr>
            </w:pPr>
            <w:r>
              <w:rPr>
                <w:color w:val="auto"/>
                <w:kern w:val="0"/>
                <w:sz w:val="18"/>
                <w:szCs w:val="18"/>
                <w:lang w:bidi="ar"/>
              </w:rPr>
              <w:t>基本污染物（</w:t>
            </w:r>
            <w:r>
              <w:rPr>
                <w:rFonts w:hint="eastAsia"/>
                <w:color w:val="auto"/>
                <w:kern w:val="0"/>
                <w:sz w:val="18"/>
                <w:szCs w:val="18"/>
                <w:lang w:bidi="ar"/>
              </w:rPr>
              <w:t>颗粒物</w:t>
            </w:r>
            <w:r>
              <w:rPr>
                <w:color w:val="auto"/>
                <w:kern w:val="0"/>
                <w:sz w:val="18"/>
                <w:szCs w:val="18"/>
                <w:lang w:bidi="ar"/>
              </w:rPr>
              <w:t>）</w:t>
            </w:r>
          </w:p>
          <w:p>
            <w:pPr>
              <w:widowControl/>
              <w:adjustRightInd w:val="0"/>
              <w:snapToGrid w:val="0"/>
              <w:jc w:val="center"/>
              <w:textAlignment w:val="center"/>
              <w:rPr>
                <w:color w:val="auto"/>
                <w:sz w:val="18"/>
                <w:szCs w:val="18"/>
              </w:rPr>
            </w:pPr>
            <w:r>
              <w:rPr>
                <w:color w:val="auto"/>
                <w:kern w:val="0"/>
                <w:sz w:val="18"/>
                <w:szCs w:val="18"/>
                <w:lang w:bidi="ar"/>
              </w:rPr>
              <w:t>其他污染物（</w:t>
            </w:r>
            <w:r>
              <w:rPr>
                <w:rFonts w:hint="eastAsia"/>
                <w:color w:val="auto"/>
                <w:kern w:val="0"/>
                <w:sz w:val="18"/>
                <w:szCs w:val="18"/>
                <w:lang w:bidi="ar"/>
              </w:rPr>
              <w:t xml:space="preserve">    </w:t>
            </w:r>
            <w:r>
              <w:rPr>
                <w:color w:val="auto"/>
                <w:kern w:val="0"/>
                <w:sz w:val="18"/>
                <w:szCs w:val="18"/>
                <w:lang w:bidi="ar"/>
              </w:rPr>
              <w:t>）</w:t>
            </w:r>
          </w:p>
        </w:tc>
        <w:tc>
          <w:tcPr>
            <w:tcW w:w="3243" w:type="dxa"/>
            <w:gridSpan w:val="11"/>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kern w:val="0"/>
                <w:sz w:val="18"/>
                <w:szCs w:val="18"/>
                <w:lang w:bidi="ar"/>
              </w:rPr>
            </w:pPr>
            <w:r>
              <w:rPr>
                <w:color w:val="auto"/>
                <w:kern w:val="0"/>
                <w:sz w:val="18"/>
                <w:szCs w:val="18"/>
                <w:lang w:bidi="ar"/>
              </w:rPr>
              <w:t>包括二次PM</w:t>
            </w:r>
            <w:r>
              <w:rPr>
                <w:color w:val="auto"/>
                <w:kern w:val="0"/>
                <w:sz w:val="18"/>
                <w:szCs w:val="18"/>
                <w:vertAlign w:val="subscript"/>
                <w:lang w:bidi="ar"/>
              </w:rPr>
              <w:t>2.5</w:t>
            </w:r>
            <w:r>
              <w:rPr>
                <w:color w:val="auto"/>
                <w:sz w:val="18"/>
                <w:szCs w:val="18"/>
              </w:rPr>
              <w:sym w:font="Wingdings 2" w:char="00A3"/>
            </w:r>
          </w:p>
          <w:p>
            <w:pPr>
              <w:widowControl/>
              <w:adjustRightInd w:val="0"/>
              <w:snapToGrid w:val="0"/>
              <w:jc w:val="center"/>
              <w:textAlignment w:val="center"/>
              <w:rPr>
                <w:color w:val="auto"/>
                <w:sz w:val="18"/>
                <w:szCs w:val="18"/>
              </w:rPr>
            </w:pPr>
            <w:r>
              <w:rPr>
                <w:color w:val="auto"/>
                <w:kern w:val="0"/>
                <w:sz w:val="18"/>
                <w:szCs w:val="18"/>
                <w:lang w:bidi="ar"/>
              </w:rPr>
              <w:t>不包括二次PM</w:t>
            </w:r>
            <w:r>
              <w:rPr>
                <w:color w:val="auto"/>
                <w:kern w:val="0"/>
                <w:sz w:val="18"/>
                <w:szCs w:val="18"/>
                <w:vertAlign w:val="subscript"/>
                <w:lang w:bidi="ar"/>
              </w:rPr>
              <w:t>2.5</w:t>
            </w:r>
            <w:r>
              <w:rPr>
                <w:rFonts w:hint="eastAsia"/>
                <w:color w:val="auto"/>
                <w:sz w:val="13"/>
                <w:szCs w:val="11"/>
                <w:bdr w:val="single" w:color="auto" w:sz="4" w:space="0"/>
              </w:rPr>
              <w:t>√</w:t>
            </w:r>
          </w:p>
        </w:tc>
      </w:tr>
      <w:tr>
        <w:tblPrEx>
          <w:tblLayout w:type="fixed"/>
          <w:tblCellMar>
            <w:top w:w="15" w:type="dxa"/>
            <w:left w:w="15" w:type="dxa"/>
            <w:bottom w:w="15" w:type="dxa"/>
            <w:right w:w="15" w:type="dxa"/>
          </w:tblCellMar>
        </w:tblPrEx>
        <w:trPr>
          <w:trHeight w:val="340"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评价标准</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评价标准</w:t>
            </w:r>
          </w:p>
        </w:tc>
        <w:tc>
          <w:tcPr>
            <w:tcW w:w="156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国家标准</w:t>
            </w:r>
            <w:r>
              <w:rPr>
                <w:color w:val="auto"/>
                <w:sz w:val="18"/>
                <w:szCs w:val="18"/>
              </w:rPr>
              <w:sym w:font="Wingdings 2" w:char="00A3"/>
            </w:r>
          </w:p>
        </w:tc>
        <w:tc>
          <w:tcPr>
            <w:tcW w:w="15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地方标准</w:t>
            </w:r>
            <w:r>
              <w:rPr>
                <w:rFonts w:hint="eastAsia"/>
                <w:color w:val="auto"/>
                <w:sz w:val="13"/>
                <w:szCs w:val="11"/>
                <w:bdr w:val="single" w:color="auto" w:sz="4" w:space="0"/>
              </w:rPr>
              <w:t>√</w:t>
            </w:r>
          </w:p>
        </w:tc>
        <w:tc>
          <w:tcPr>
            <w:tcW w:w="1579" w:type="dxa"/>
            <w:gridSpan w:val="8"/>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附录D</w:t>
            </w:r>
            <w:r>
              <w:rPr>
                <w:color w:val="auto"/>
                <w:sz w:val="18"/>
                <w:szCs w:val="18"/>
              </w:rPr>
              <w:sym w:font="Wingdings 2" w:char="00A3"/>
            </w:r>
          </w:p>
        </w:tc>
        <w:tc>
          <w:tcPr>
            <w:tcW w:w="1664"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其他标准</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现状评价</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环境功能区</w:t>
            </w:r>
          </w:p>
        </w:tc>
        <w:tc>
          <w:tcPr>
            <w:tcW w:w="22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一类区</w:t>
            </w:r>
            <w:r>
              <w:rPr>
                <w:color w:val="auto"/>
                <w:sz w:val="18"/>
                <w:szCs w:val="18"/>
              </w:rPr>
              <w:sym w:font="Wingdings 2" w:char="00A3"/>
            </w:r>
          </w:p>
        </w:tc>
        <w:tc>
          <w:tcPr>
            <w:tcW w:w="230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二类区</w:t>
            </w:r>
            <w:r>
              <w:rPr>
                <w:rFonts w:hint="eastAsia"/>
                <w:color w:val="auto"/>
                <w:sz w:val="13"/>
                <w:szCs w:val="11"/>
                <w:bdr w:val="single" w:color="auto" w:sz="4" w:space="0"/>
              </w:rPr>
              <w:t>√</w:t>
            </w:r>
          </w:p>
        </w:tc>
        <w:tc>
          <w:tcPr>
            <w:tcW w:w="1800"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一类区和二类区</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评价基准年</w:t>
            </w:r>
          </w:p>
        </w:tc>
        <w:tc>
          <w:tcPr>
            <w:tcW w:w="6368" w:type="dxa"/>
            <w:gridSpan w:val="2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w:t>
            </w:r>
            <w:r>
              <w:rPr>
                <w:rFonts w:hint="eastAsia"/>
                <w:color w:val="auto"/>
                <w:kern w:val="0"/>
                <w:sz w:val="18"/>
                <w:szCs w:val="18"/>
                <w:lang w:bidi="ar"/>
              </w:rPr>
              <w:t xml:space="preserve"> </w:t>
            </w:r>
            <w:r>
              <w:rPr>
                <w:color w:val="auto"/>
                <w:kern w:val="0"/>
                <w:sz w:val="18"/>
                <w:szCs w:val="18"/>
                <w:lang w:bidi="ar"/>
              </w:rPr>
              <w:t>2019）年</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环境空气质量现状调查数据来源</w:t>
            </w:r>
          </w:p>
        </w:tc>
        <w:tc>
          <w:tcPr>
            <w:tcW w:w="22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长期例行监测数据</w:t>
            </w:r>
            <w:r>
              <w:rPr>
                <w:color w:val="auto"/>
                <w:sz w:val="18"/>
                <w:szCs w:val="18"/>
              </w:rPr>
              <w:sym w:font="Wingdings 2" w:char="00A3"/>
            </w:r>
          </w:p>
        </w:tc>
        <w:tc>
          <w:tcPr>
            <w:tcW w:w="230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主管部门发布的数据</w:t>
            </w:r>
            <w:r>
              <w:rPr>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现状补充监测</w:t>
            </w:r>
            <w:r>
              <w:rPr>
                <w:rFonts w:hint="eastAsia"/>
                <w:color w:val="auto"/>
                <w:sz w:val="13"/>
                <w:szCs w:val="11"/>
                <w:bdr w:val="single" w:color="auto" w:sz="4" w:space="0"/>
              </w:rPr>
              <w:t>√</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现状评价</w:t>
            </w:r>
          </w:p>
        </w:tc>
        <w:tc>
          <w:tcPr>
            <w:tcW w:w="312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达标区</w:t>
            </w:r>
            <w:r>
              <w:rPr>
                <w:rFonts w:hint="eastAsia"/>
                <w:color w:val="auto"/>
                <w:sz w:val="13"/>
                <w:szCs w:val="11"/>
                <w:bdr w:val="single" w:color="auto" w:sz="4" w:space="0"/>
              </w:rPr>
              <w:t>√</w:t>
            </w:r>
          </w:p>
        </w:tc>
        <w:tc>
          <w:tcPr>
            <w:tcW w:w="3243" w:type="dxa"/>
            <w:gridSpan w:val="11"/>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不达标区</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污染源普查</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调查内容</w:t>
            </w:r>
          </w:p>
        </w:tc>
        <w:tc>
          <w:tcPr>
            <w:tcW w:w="2059"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kern w:val="0"/>
                <w:sz w:val="18"/>
                <w:szCs w:val="18"/>
                <w:lang w:bidi="ar"/>
              </w:rPr>
            </w:pPr>
            <w:r>
              <w:rPr>
                <w:color w:val="auto"/>
                <w:kern w:val="0"/>
                <w:sz w:val="18"/>
                <w:szCs w:val="18"/>
                <w:lang w:bidi="ar"/>
              </w:rPr>
              <w:t>本项目正常排放源</w:t>
            </w:r>
            <w:r>
              <w:rPr>
                <w:rFonts w:hint="eastAsia"/>
                <w:color w:val="auto"/>
                <w:sz w:val="13"/>
                <w:szCs w:val="11"/>
                <w:bdr w:val="single" w:color="auto" w:sz="4" w:space="0"/>
              </w:rPr>
              <w:t>√</w:t>
            </w:r>
          </w:p>
          <w:p>
            <w:pPr>
              <w:widowControl/>
              <w:adjustRightInd w:val="0"/>
              <w:snapToGrid w:val="0"/>
              <w:jc w:val="center"/>
              <w:textAlignment w:val="center"/>
              <w:rPr>
                <w:color w:val="auto"/>
                <w:kern w:val="0"/>
                <w:sz w:val="18"/>
                <w:szCs w:val="18"/>
                <w:lang w:bidi="ar"/>
              </w:rPr>
            </w:pPr>
            <w:r>
              <w:rPr>
                <w:color w:val="auto"/>
                <w:kern w:val="0"/>
                <w:sz w:val="18"/>
                <w:szCs w:val="18"/>
                <w:lang w:bidi="ar"/>
              </w:rPr>
              <w:t>本项目非正常排放源</w:t>
            </w:r>
            <w:r>
              <w:rPr>
                <w:color w:val="auto"/>
                <w:sz w:val="18"/>
                <w:szCs w:val="18"/>
              </w:rPr>
              <w:sym w:font="Wingdings 2" w:char="00A3"/>
            </w:r>
          </w:p>
          <w:p>
            <w:pPr>
              <w:widowControl/>
              <w:adjustRightInd w:val="0"/>
              <w:snapToGrid w:val="0"/>
              <w:jc w:val="center"/>
              <w:textAlignment w:val="center"/>
              <w:rPr>
                <w:color w:val="auto"/>
                <w:sz w:val="18"/>
                <w:szCs w:val="18"/>
              </w:rPr>
            </w:pPr>
            <w:r>
              <w:rPr>
                <w:color w:val="auto"/>
                <w:kern w:val="0"/>
                <w:sz w:val="18"/>
                <w:szCs w:val="18"/>
                <w:lang w:bidi="ar"/>
              </w:rPr>
              <w:t>现有污染源</w:t>
            </w:r>
            <w:r>
              <w:rPr>
                <w:color w:val="auto"/>
                <w:sz w:val="18"/>
                <w:szCs w:val="18"/>
              </w:rPr>
              <w:sym w:font="Wingdings 2" w:char="00A3"/>
            </w:r>
          </w:p>
        </w:tc>
        <w:tc>
          <w:tcPr>
            <w:tcW w:w="1391"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拟替代的污染源</w:t>
            </w:r>
            <w:r>
              <w:rPr>
                <w:color w:val="auto"/>
                <w:sz w:val="18"/>
                <w:szCs w:val="18"/>
              </w:rPr>
              <w:sym w:font="Wingdings 2" w:char="00A3"/>
            </w:r>
          </w:p>
        </w:tc>
        <w:tc>
          <w:tcPr>
            <w:tcW w:w="1254"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其他在建、拟建项目污染源</w:t>
            </w:r>
            <w:r>
              <w:rPr>
                <w:color w:val="auto"/>
                <w:sz w:val="18"/>
                <w:szCs w:val="18"/>
              </w:rPr>
              <w:sym w:font="Wingdings 2" w:char="00A3"/>
            </w:r>
          </w:p>
        </w:tc>
        <w:tc>
          <w:tcPr>
            <w:tcW w:w="1664"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区域污染源</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大气影响预测与评价</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预测模型</w:t>
            </w:r>
          </w:p>
        </w:tc>
        <w:tc>
          <w:tcPr>
            <w:tcW w:w="91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AERMOD</w:t>
            </w:r>
            <w:r>
              <w:rPr>
                <w:rFonts w:hint="eastAsia"/>
                <w:color w:val="auto"/>
                <w:sz w:val="13"/>
                <w:szCs w:val="11"/>
                <w:bdr w:val="single" w:color="auto" w:sz="4" w:space="0"/>
              </w:rPr>
              <w:t>√</w:t>
            </w:r>
          </w:p>
        </w:tc>
        <w:tc>
          <w:tcPr>
            <w:tcW w:w="648"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ADMS</w:t>
            </w:r>
            <w:r>
              <w:rPr>
                <w:color w:val="auto"/>
                <w:sz w:val="18"/>
                <w:szCs w:val="18"/>
              </w:rPr>
              <w:sym w:font="Wingdings 2" w:char="00A3"/>
            </w:r>
          </w:p>
        </w:tc>
        <w:tc>
          <w:tcPr>
            <w:tcW w:w="1179" w:type="dxa"/>
            <w:gridSpan w:val="4"/>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AUSTAL2000</w:t>
            </w:r>
            <w:r>
              <w:rPr>
                <w:color w:val="auto"/>
                <w:sz w:val="18"/>
                <w:szCs w:val="18"/>
              </w:rPr>
              <w:sym w:font="Wingdings 2" w:char="00A3"/>
            </w:r>
          </w:p>
        </w:tc>
        <w:tc>
          <w:tcPr>
            <w:tcW w:w="1168"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EDMS/AEDT</w:t>
            </w:r>
            <w:r>
              <w:rPr>
                <w:color w:val="auto"/>
                <w:sz w:val="18"/>
                <w:szCs w:val="18"/>
              </w:rPr>
              <w:sym w:font="Wingdings 2" w:char="00A3"/>
            </w:r>
          </w:p>
        </w:tc>
        <w:tc>
          <w:tcPr>
            <w:tcW w:w="921"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CALPUFF</w:t>
            </w:r>
            <w:r>
              <w:rPr>
                <w:color w:val="auto"/>
                <w:sz w:val="18"/>
                <w:szCs w:val="18"/>
              </w:rPr>
              <w:sym w:font="Wingdings 2" w:char="00A3"/>
            </w:r>
          </w:p>
        </w:tc>
        <w:tc>
          <w:tcPr>
            <w:tcW w:w="815"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网格模型</w:t>
            </w:r>
            <w:r>
              <w:rPr>
                <w:color w:val="auto"/>
                <w:sz w:val="18"/>
                <w:szCs w:val="18"/>
              </w:rPr>
              <w:sym w:font="Wingdings 2" w:char="00A3"/>
            </w:r>
          </w:p>
        </w:tc>
        <w:tc>
          <w:tcPr>
            <w:tcW w:w="723"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kern w:val="0"/>
                <w:sz w:val="18"/>
                <w:szCs w:val="18"/>
                <w:lang w:bidi="ar"/>
              </w:rPr>
            </w:pPr>
            <w:r>
              <w:rPr>
                <w:color w:val="auto"/>
                <w:kern w:val="0"/>
                <w:sz w:val="18"/>
                <w:szCs w:val="18"/>
                <w:lang w:bidi="ar"/>
              </w:rPr>
              <w:t>其他</w:t>
            </w:r>
          </w:p>
          <w:p>
            <w:pPr>
              <w:widowControl/>
              <w:adjustRightInd w:val="0"/>
              <w:snapToGrid w:val="0"/>
              <w:jc w:val="center"/>
              <w:textAlignment w:val="center"/>
              <w:rPr>
                <w:color w:val="auto"/>
                <w:sz w:val="18"/>
                <w:szCs w:val="18"/>
              </w:rPr>
            </w:pP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预测范围</w:t>
            </w:r>
          </w:p>
        </w:tc>
        <w:tc>
          <w:tcPr>
            <w:tcW w:w="2263"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边长≥50km</w:t>
            </w:r>
            <w:r>
              <w:rPr>
                <w:color w:val="auto"/>
                <w:sz w:val="18"/>
                <w:szCs w:val="18"/>
              </w:rPr>
              <w:sym w:font="Wingdings 2" w:char="00A3"/>
            </w:r>
          </w:p>
        </w:tc>
        <w:tc>
          <w:tcPr>
            <w:tcW w:w="230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边长5~50km</w:t>
            </w:r>
            <w:r>
              <w:rPr>
                <w:rFonts w:hint="eastAsia"/>
                <w:color w:val="auto"/>
                <w:sz w:val="13"/>
                <w:szCs w:val="11"/>
                <w:bdr w:val="single" w:color="auto" w:sz="4" w:space="0"/>
              </w:rPr>
              <w:t>√</w:t>
            </w:r>
          </w:p>
        </w:tc>
        <w:tc>
          <w:tcPr>
            <w:tcW w:w="1800" w:type="dxa"/>
            <w:gridSpan w:val="5"/>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边长=5km</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预测因子</w:t>
            </w:r>
          </w:p>
        </w:tc>
        <w:tc>
          <w:tcPr>
            <w:tcW w:w="312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预测因子（</w:t>
            </w:r>
            <w:r>
              <w:rPr>
                <w:rFonts w:hint="eastAsia"/>
                <w:color w:val="auto"/>
                <w:kern w:val="0"/>
                <w:sz w:val="18"/>
                <w:szCs w:val="18"/>
                <w:lang w:bidi="ar"/>
              </w:rPr>
              <w:t>颗粒物</w:t>
            </w:r>
            <w:r>
              <w:rPr>
                <w:color w:val="auto"/>
                <w:kern w:val="0"/>
                <w:sz w:val="18"/>
                <w:szCs w:val="18"/>
                <w:lang w:bidi="ar"/>
              </w:rPr>
              <w:t>）</w:t>
            </w:r>
          </w:p>
        </w:tc>
        <w:tc>
          <w:tcPr>
            <w:tcW w:w="3243" w:type="dxa"/>
            <w:gridSpan w:val="11"/>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包括二次PM</w:t>
            </w:r>
            <w:r>
              <w:rPr>
                <w:color w:val="auto"/>
                <w:kern w:val="0"/>
                <w:sz w:val="18"/>
                <w:szCs w:val="18"/>
                <w:vertAlign w:val="subscript"/>
                <w:lang w:bidi="ar"/>
              </w:rPr>
              <w:t>2.5</w:t>
            </w:r>
            <w:r>
              <w:rPr>
                <w:color w:val="auto"/>
                <w:sz w:val="18"/>
                <w:szCs w:val="18"/>
              </w:rPr>
              <w:sym w:font="Wingdings 2" w:char="00A3"/>
            </w:r>
          </w:p>
          <w:p>
            <w:pPr>
              <w:widowControl/>
              <w:adjustRightInd w:val="0"/>
              <w:snapToGrid w:val="0"/>
              <w:jc w:val="center"/>
              <w:textAlignment w:val="center"/>
              <w:rPr>
                <w:color w:val="auto"/>
                <w:sz w:val="18"/>
                <w:szCs w:val="18"/>
              </w:rPr>
            </w:pPr>
            <w:r>
              <w:rPr>
                <w:color w:val="auto"/>
                <w:kern w:val="0"/>
                <w:sz w:val="18"/>
                <w:szCs w:val="18"/>
                <w:lang w:bidi="ar"/>
              </w:rPr>
              <w:t>不包括二次PM</w:t>
            </w:r>
            <w:r>
              <w:rPr>
                <w:color w:val="auto"/>
                <w:kern w:val="0"/>
                <w:sz w:val="18"/>
                <w:szCs w:val="18"/>
                <w:vertAlign w:val="subscript"/>
                <w:lang w:bidi="ar"/>
              </w:rPr>
              <w:t>2.5</w:t>
            </w:r>
            <w:r>
              <w:rPr>
                <w:rFonts w:hint="eastAsia"/>
                <w:color w:val="auto"/>
                <w:sz w:val="13"/>
                <w:szCs w:val="11"/>
                <w:bdr w:val="single" w:color="auto" w:sz="4" w:space="0"/>
              </w:rPr>
              <w:t>√</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正常排放短期浓度贡献值</w:t>
            </w:r>
          </w:p>
        </w:tc>
        <w:tc>
          <w:tcPr>
            <w:tcW w:w="3125" w:type="dxa"/>
            <w:gridSpan w:val="9"/>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最大占标率≤100%</w:t>
            </w:r>
            <w:r>
              <w:rPr>
                <w:color w:val="auto"/>
                <w:sz w:val="18"/>
                <w:szCs w:val="18"/>
              </w:rPr>
              <w:sym w:font="Wingdings 2" w:char="00A3"/>
            </w:r>
          </w:p>
        </w:tc>
        <w:tc>
          <w:tcPr>
            <w:tcW w:w="3243" w:type="dxa"/>
            <w:gridSpan w:val="11"/>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最大占标率&gt;100%</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vMerge w:val="restart"/>
            <w:tcBorders>
              <w:top w:val="single" w:color="000000" w:sz="4" w:space="0"/>
              <w:left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正常排放年均浓度贡献值</w:t>
            </w:r>
          </w:p>
        </w:tc>
        <w:tc>
          <w:tcPr>
            <w:tcW w:w="156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一类区</w:t>
            </w:r>
          </w:p>
        </w:tc>
        <w:tc>
          <w:tcPr>
            <w:tcW w:w="2518"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最大占标率≤10%</w:t>
            </w:r>
            <w:r>
              <w:rPr>
                <w:color w:val="auto"/>
                <w:sz w:val="18"/>
                <w:szCs w:val="18"/>
              </w:rPr>
              <w:sym w:font="Wingdings 2" w:char="00A3"/>
            </w:r>
          </w:p>
        </w:tc>
        <w:tc>
          <w:tcPr>
            <w:tcW w:w="2288" w:type="dxa"/>
            <w:gridSpan w:val="7"/>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最大占标率&gt;10%</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vMerge w:val="continue"/>
            <w:tcBorders>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56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二类区</w:t>
            </w:r>
          </w:p>
        </w:tc>
        <w:tc>
          <w:tcPr>
            <w:tcW w:w="2518"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最大占标率≤30%</w:t>
            </w:r>
            <w:r>
              <w:rPr>
                <w:rFonts w:hint="eastAsia"/>
                <w:color w:val="auto"/>
                <w:sz w:val="13"/>
                <w:szCs w:val="11"/>
                <w:bdr w:val="single" w:color="auto" w:sz="4" w:space="0"/>
              </w:rPr>
              <w:t>√</w:t>
            </w:r>
          </w:p>
        </w:tc>
        <w:tc>
          <w:tcPr>
            <w:tcW w:w="2288" w:type="dxa"/>
            <w:gridSpan w:val="7"/>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最大占标率&gt;30%</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废正常排放1h浓度贡献值</w:t>
            </w:r>
          </w:p>
        </w:tc>
        <w:tc>
          <w:tcPr>
            <w:tcW w:w="1562" w:type="dxa"/>
            <w:gridSpan w:val="3"/>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非正常持续时长（</w:t>
            </w:r>
            <w:r>
              <w:rPr>
                <w:rFonts w:hint="eastAsia"/>
                <w:color w:val="auto"/>
                <w:kern w:val="0"/>
                <w:sz w:val="18"/>
                <w:szCs w:val="18"/>
                <w:lang w:bidi="ar"/>
              </w:rPr>
              <w:t xml:space="preserve">    </w:t>
            </w:r>
            <w:r>
              <w:rPr>
                <w:color w:val="auto"/>
                <w:kern w:val="0"/>
                <w:sz w:val="18"/>
                <w:szCs w:val="18"/>
                <w:lang w:bidi="ar"/>
              </w:rPr>
              <w:t>）h</w:t>
            </w:r>
          </w:p>
        </w:tc>
        <w:tc>
          <w:tcPr>
            <w:tcW w:w="2518"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最大占标率≤100%</w:t>
            </w:r>
            <w:r>
              <w:rPr>
                <w:color w:val="auto"/>
                <w:sz w:val="18"/>
                <w:szCs w:val="18"/>
              </w:rPr>
              <w:sym w:font="Wingdings 2" w:char="00A3"/>
            </w:r>
          </w:p>
        </w:tc>
        <w:tc>
          <w:tcPr>
            <w:tcW w:w="2288" w:type="dxa"/>
            <w:gridSpan w:val="7"/>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本项目</w:t>
            </w:r>
            <w:r>
              <w:rPr>
                <w:color w:val="auto"/>
                <w:kern w:val="0"/>
                <w:sz w:val="18"/>
                <w:szCs w:val="18"/>
                <w:lang w:bidi="ar"/>
              </w:rPr>
              <w:t>最大占标率&gt;100%</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保证率日平均浓度和年平均浓度叠加值</w:t>
            </w:r>
          </w:p>
        </w:tc>
        <w:tc>
          <w:tcPr>
            <w:tcW w:w="3268"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叠加</w:t>
            </w:r>
            <w:r>
              <w:rPr>
                <w:color w:val="auto"/>
                <w:kern w:val="0"/>
                <w:sz w:val="18"/>
                <w:szCs w:val="18"/>
                <w:lang w:bidi="ar"/>
              </w:rPr>
              <w:t>达标</w:t>
            </w:r>
            <w:r>
              <w:rPr>
                <w:rFonts w:hint="eastAsia"/>
                <w:color w:val="auto"/>
                <w:sz w:val="13"/>
                <w:szCs w:val="11"/>
                <w:bdr w:val="single" w:color="auto" w:sz="4" w:space="0"/>
              </w:rPr>
              <w:t>√</w:t>
            </w:r>
          </w:p>
        </w:tc>
        <w:tc>
          <w:tcPr>
            <w:tcW w:w="3100"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C</w:t>
            </w:r>
            <w:r>
              <w:rPr>
                <w:color w:val="auto"/>
                <w:kern w:val="0"/>
                <w:sz w:val="18"/>
                <w:szCs w:val="18"/>
                <w:vertAlign w:val="subscript"/>
                <w:lang w:bidi="ar"/>
              </w:rPr>
              <w:t>叠加</w:t>
            </w:r>
            <w:r>
              <w:rPr>
                <w:color w:val="auto"/>
                <w:kern w:val="0"/>
                <w:sz w:val="18"/>
                <w:szCs w:val="18"/>
                <w:lang w:bidi="ar"/>
              </w:rPr>
              <w:t>不达标</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区域环境质量的整体变化情况</w:t>
            </w:r>
          </w:p>
        </w:tc>
        <w:tc>
          <w:tcPr>
            <w:tcW w:w="3268"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k≤-20%</w:t>
            </w:r>
            <w:r>
              <w:rPr>
                <w:color w:val="auto"/>
                <w:sz w:val="18"/>
                <w:szCs w:val="18"/>
              </w:rPr>
              <w:sym w:font="Wingdings 2" w:char="00A3"/>
            </w:r>
          </w:p>
        </w:tc>
        <w:tc>
          <w:tcPr>
            <w:tcW w:w="3100"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k&gt;-20%</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环境监测计划</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污染源监测</w:t>
            </w:r>
          </w:p>
        </w:tc>
        <w:tc>
          <w:tcPr>
            <w:tcW w:w="1768" w:type="dxa"/>
            <w:gridSpan w:val="4"/>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监测因子：（</w:t>
            </w:r>
            <w:r>
              <w:rPr>
                <w:rFonts w:hint="eastAsia"/>
                <w:color w:val="auto"/>
                <w:kern w:val="0"/>
                <w:sz w:val="18"/>
                <w:szCs w:val="18"/>
                <w:lang w:bidi="ar"/>
              </w:rPr>
              <w:t>颗粒物</w:t>
            </w:r>
            <w:r>
              <w:rPr>
                <w:color w:val="auto"/>
                <w:kern w:val="0"/>
                <w:sz w:val="18"/>
                <w:szCs w:val="18"/>
                <w:lang w:bidi="ar"/>
              </w:rPr>
              <w:t>）</w:t>
            </w:r>
          </w:p>
        </w:tc>
        <w:tc>
          <w:tcPr>
            <w:tcW w:w="2400"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有组织废气监测</w:t>
            </w:r>
            <w:r>
              <w:rPr>
                <w:rFonts w:hint="eastAsia"/>
                <w:color w:val="auto"/>
                <w:sz w:val="13"/>
                <w:szCs w:val="11"/>
                <w:bdr w:val="single" w:color="auto" w:sz="4" w:space="0"/>
              </w:rPr>
              <w:t>√</w:t>
            </w:r>
          </w:p>
          <w:p>
            <w:pPr>
              <w:widowControl/>
              <w:adjustRightInd w:val="0"/>
              <w:snapToGrid w:val="0"/>
              <w:jc w:val="center"/>
              <w:textAlignment w:val="center"/>
              <w:rPr>
                <w:color w:val="auto"/>
                <w:sz w:val="18"/>
                <w:szCs w:val="18"/>
              </w:rPr>
            </w:pPr>
            <w:r>
              <w:rPr>
                <w:color w:val="auto"/>
                <w:kern w:val="0"/>
                <w:sz w:val="18"/>
                <w:szCs w:val="18"/>
                <w:lang w:bidi="ar"/>
              </w:rPr>
              <w:t>无组织废气监测</w:t>
            </w:r>
            <w:r>
              <w:rPr>
                <w:rFonts w:hint="eastAsia"/>
                <w:color w:val="auto"/>
                <w:sz w:val="13"/>
                <w:szCs w:val="11"/>
                <w:bdr w:val="single" w:color="auto" w:sz="4" w:space="0"/>
              </w:rPr>
              <w:t>√</w:t>
            </w:r>
          </w:p>
        </w:tc>
        <w:tc>
          <w:tcPr>
            <w:tcW w:w="2200"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无监测</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环境质量监测</w:t>
            </w:r>
          </w:p>
        </w:tc>
        <w:tc>
          <w:tcPr>
            <w:tcW w:w="1768" w:type="dxa"/>
            <w:gridSpan w:val="4"/>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监测因子：（</w:t>
            </w:r>
            <w:r>
              <w:rPr>
                <w:rFonts w:hint="eastAsia"/>
                <w:color w:val="auto"/>
                <w:kern w:val="0"/>
                <w:sz w:val="18"/>
                <w:szCs w:val="18"/>
                <w:lang w:bidi="ar"/>
              </w:rPr>
              <w:t xml:space="preserve">    </w:t>
            </w:r>
            <w:r>
              <w:rPr>
                <w:color w:val="auto"/>
                <w:kern w:val="0"/>
                <w:sz w:val="18"/>
                <w:szCs w:val="18"/>
                <w:lang w:bidi="ar"/>
              </w:rPr>
              <w:t>）</w:t>
            </w:r>
          </w:p>
        </w:tc>
        <w:tc>
          <w:tcPr>
            <w:tcW w:w="2400" w:type="dxa"/>
            <w:gridSpan w:val="1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监测点位数（</w:t>
            </w:r>
            <w:r>
              <w:rPr>
                <w:rFonts w:hint="eastAsia"/>
                <w:color w:val="auto"/>
                <w:kern w:val="0"/>
                <w:sz w:val="18"/>
                <w:szCs w:val="18"/>
                <w:lang w:bidi="ar"/>
              </w:rPr>
              <w:t xml:space="preserve">    </w:t>
            </w:r>
            <w:r>
              <w:rPr>
                <w:color w:val="auto"/>
                <w:kern w:val="0"/>
                <w:sz w:val="18"/>
                <w:szCs w:val="18"/>
                <w:lang w:bidi="ar"/>
              </w:rPr>
              <w:t>）</w:t>
            </w:r>
          </w:p>
        </w:tc>
        <w:tc>
          <w:tcPr>
            <w:tcW w:w="2200"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无监测</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评价结论</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环境影响</w:t>
            </w:r>
          </w:p>
        </w:tc>
        <w:tc>
          <w:tcPr>
            <w:tcW w:w="6368" w:type="dxa"/>
            <w:gridSpan w:val="2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可以接受</w:t>
            </w:r>
            <w:r>
              <w:rPr>
                <w:rFonts w:hint="eastAsia"/>
                <w:color w:val="auto"/>
                <w:sz w:val="13"/>
                <w:szCs w:val="11"/>
                <w:bdr w:val="single" w:color="auto" w:sz="4" w:space="0"/>
              </w:rPr>
              <w:t>√</w:t>
            </w:r>
            <w:r>
              <w:rPr>
                <w:rFonts w:hint="eastAsia"/>
                <w:color w:val="auto"/>
                <w:sz w:val="18"/>
                <w:szCs w:val="18"/>
              </w:rPr>
              <w:t xml:space="preserve">                 </w:t>
            </w:r>
            <w:r>
              <w:rPr>
                <w:color w:val="auto"/>
                <w:kern w:val="0"/>
                <w:sz w:val="18"/>
                <w:szCs w:val="18"/>
                <w:lang w:bidi="ar"/>
              </w:rPr>
              <w:t>不可以接受</w:t>
            </w:r>
            <w:r>
              <w:rPr>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大气环境防护距离</w:t>
            </w:r>
          </w:p>
        </w:tc>
        <w:tc>
          <w:tcPr>
            <w:tcW w:w="6368" w:type="dxa"/>
            <w:gridSpan w:val="20"/>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距（</w:t>
            </w:r>
            <w:r>
              <w:rPr>
                <w:rFonts w:hint="eastAsia"/>
                <w:color w:val="auto"/>
                <w:kern w:val="0"/>
                <w:sz w:val="18"/>
                <w:szCs w:val="18"/>
                <w:lang w:bidi="ar"/>
              </w:rPr>
              <w:t xml:space="preserve">    </w:t>
            </w:r>
            <w:r>
              <w:rPr>
                <w:color w:val="auto"/>
                <w:kern w:val="0"/>
                <w:sz w:val="18"/>
                <w:szCs w:val="18"/>
                <w:lang w:bidi="ar"/>
              </w:rPr>
              <w:t>）厂界最远（</w:t>
            </w:r>
            <w:r>
              <w:rPr>
                <w:rFonts w:hint="eastAsia"/>
                <w:color w:val="auto"/>
                <w:kern w:val="0"/>
                <w:sz w:val="18"/>
                <w:szCs w:val="18"/>
                <w:lang w:bidi="ar"/>
              </w:rPr>
              <w:t xml:space="preserve">    </w:t>
            </w:r>
            <w:r>
              <w:rPr>
                <w:color w:val="auto"/>
                <w:kern w:val="0"/>
                <w:sz w:val="18"/>
                <w:szCs w:val="18"/>
                <w:lang w:bidi="ar"/>
              </w:rPr>
              <w:t>）m</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rPr>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污染源年排放量</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SO</w:t>
            </w:r>
            <w:r>
              <w:rPr>
                <w:color w:val="auto"/>
                <w:kern w:val="0"/>
                <w:sz w:val="18"/>
                <w:szCs w:val="18"/>
                <w:vertAlign w:val="subscript"/>
                <w:lang w:bidi="ar"/>
              </w:rPr>
              <w:t>2</w:t>
            </w:r>
            <w:r>
              <w:rPr>
                <w:color w:val="auto"/>
                <w:kern w:val="0"/>
                <w:sz w:val="18"/>
                <w:szCs w:val="18"/>
                <w:lang w:bidi="ar"/>
              </w:rPr>
              <w:t>：（</w:t>
            </w:r>
            <w:r>
              <w:rPr>
                <w:rFonts w:hint="eastAsia"/>
                <w:color w:val="auto"/>
                <w:kern w:val="0"/>
                <w:sz w:val="18"/>
                <w:szCs w:val="18"/>
                <w:lang w:val="en-US" w:eastAsia="zh-CN" w:bidi="ar"/>
              </w:rPr>
              <w:t xml:space="preserve"> </w:t>
            </w:r>
            <w:r>
              <w:rPr>
                <w:color w:val="auto"/>
                <w:kern w:val="0"/>
                <w:sz w:val="18"/>
                <w:szCs w:val="18"/>
                <w:lang w:bidi="ar"/>
              </w:rPr>
              <w:t>）t/a</w:t>
            </w:r>
          </w:p>
        </w:tc>
        <w:tc>
          <w:tcPr>
            <w:tcW w:w="1632" w:type="dxa"/>
            <w:gridSpan w:val="6"/>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NO</w:t>
            </w:r>
            <w:r>
              <w:rPr>
                <w:color w:val="auto"/>
                <w:kern w:val="0"/>
                <w:sz w:val="18"/>
                <w:szCs w:val="18"/>
                <w:vertAlign w:val="subscript"/>
                <w:lang w:bidi="ar"/>
              </w:rPr>
              <w:t>x</w:t>
            </w:r>
            <w:r>
              <w:rPr>
                <w:color w:val="auto"/>
                <w:kern w:val="0"/>
                <w:sz w:val="18"/>
                <w:szCs w:val="18"/>
                <w:lang w:bidi="ar"/>
              </w:rPr>
              <w:t>：（</w:t>
            </w:r>
            <w:r>
              <w:rPr>
                <w:rFonts w:hint="eastAsia"/>
                <w:color w:val="auto"/>
                <w:kern w:val="0"/>
                <w:sz w:val="18"/>
                <w:szCs w:val="18"/>
                <w:lang w:val="en-US" w:eastAsia="zh-CN" w:bidi="ar"/>
              </w:rPr>
              <w:t xml:space="preserve"> </w:t>
            </w:r>
            <w:r>
              <w:rPr>
                <w:color w:val="auto"/>
                <w:kern w:val="0"/>
                <w:sz w:val="18"/>
                <w:szCs w:val="18"/>
                <w:lang w:bidi="ar"/>
              </w:rPr>
              <w:t>）t/a</w:t>
            </w:r>
          </w:p>
        </w:tc>
        <w:tc>
          <w:tcPr>
            <w:tcW w:w="1575" w:type="dxa"/>
            <w:gridSpan w:val="8"/>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颗粒物：（</w:t>
            </w:r>
            <w:r>
              <w:rPr>
                <w:rFonts w:hint="eastAsia"/>
                <w:color w:val="auto"/>
                <w:kern w:val="0"/>
                <w:sz w:val="18"/>
                <w:szCs w:val="18"/>
                <w:lang w:val="en-US" w:eastAsia="zh-CN" w:bidi="ar"/>
              </w:rPr>
              <w:t>0.18</w:t>
            </w:r>
            <w:r>
              <w:rPr>
                <w:color w:val="auto"/>
                <w:kern w:val="0"/>
                <w:sz w:val="18"/>
                <w:szCs w:val="18"/>
                <w:lang w:bidi="ar"/>
              </w:rPr>
              <w:t>）t/a</w:t>
            </w:r>
          </w:p>
        </w:tc>
        <w:tc>
          <w:tcPr>
            <w:tcW w:w="1693" w:type="dxa"/>
            <w:gridSpan w:val="4"/>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center"/>
              <w:textAlignment w:val="center"/>
              <w:rPr>
                <w:color w:val="auto"/>
                <w:sz w:val="18"/>
                <w:szCs w:val="18"/>
              </w:rPr>
            </w:pPr>
            <w:r>
              <w:rPr>
                <w:color w:val="auto"/>
                <w:kern w:val="0"/>
                <w:sz w:val="18"/>
                <w:szCs w:val="18"/>
                <w:lang w:bidi="ar"/>
              </w:rPr>
              <w:t>VOC</w:t>
            </w:r>
            <w:r>
              <w:rPr>
                <w:color w:val="auto"/>
                <w:kern w:val="0"/>
                <w:sz w:val="18"/>
                <w:szCs w:val="18"/>
                <w:vertAlign w:val="subscript"/>
                <w:lang w:bidi="ar"/>
              </w:rPr>
              <w:t>S</w:t>
            </w:r>
            <w:r>
              <w:rPr>
                <w:color w:val="auto"/>
                <w:kern w:val="0"/>
                <w:sz w:val="18"/>
                <w:szCs w:val="18"/>
                <w:lang w:bidi="ar"/>
              </w:rPr>
              <w:t>：（</w:t>
            </w:r>
            <w:r>
              <w:rPr>
                <w:rFonts w:hint="eastAsia"/>
                <w:color w:val="auto"/>
                <w:kern w:val="0"/>
                <w:sz w:val="18"/>
                <w:szCs w:val="18"/>
                <w:lang w:bidi="ar"/>
              </w:rPr>
              <w:t xml:space="preserve">  </w:t>
            </w:r>
            <w:r>
              <w:rPr>
                <w:color w:val="auto"/>
                <w:kern w:val="0"/>
                <w:sz w:val="18"/>
                <w:szCs w:val="18"/>
                <w:lang w:bidi="ar"/>
              </w:rPr>
              <w:t>）t/a</w:t>
            </w:r>
          </w:p>
        </w:tc>
      </w:tr>
      <w:tr>
        <w:tblPrEx>
          <w:tblLayout w:type="fixed"/>
          <w:tblCellMar>
            <w:top w:w="15" w:type="dxa"/>
            <w:left w:w="15" w:type="dxa"/>
            <w:bottom w:w="15" w:type="dxa"/>
            <w:right w:w="15" w:type="dxa"/>
          </w:tblCellMar>
        </w:tblPrEx>
        <w:trPr>
          <w:trHeight w:val="340" w:hRule="atLeast"/>
          <w:jc w:val="center"/>
        </w:trPr>
        <w:tc>
          <w:tcPr>
            <w:tcW w:w="8336" w:type="dxa"/>
            <w:gridSpan w:val="22"/>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jc w:val="left"/>
              <w:textAlignment w:val="center"/>
              <w:rPr>
                <w:color w:val="auto"/>
                <w:kern w:val="0"/>
                <w:sz w:val="18"/>
                <w:szCs w:val="18"/>
                <w:lang w:bidi="ar"/>
              </w:rPr>
            </w:pPr>
            <w:r>
              <w:rPr>
                <w:rFonts w:hint="eastAsia"/>
                <w:color w:val="auto"/>
                <w:kern w:val="0"/>
                <w:sz w:val="18"/>
                <w:szCs w:val="18"/>
                <w:lang w:bidi="ar"/>
              </w:rPr>
              <w:t>注：“</w:t>
            </w:r>
            <w:r>
              <w:rPr>
                <w:color w:val="auto"/>
                <w:sz w:val="18"/>
                <w:szCs w:val="18"/>
              </w:rPr>
              <w:sym w:font="Wingdings 2" w:char="00A3"/>
            </w:r>
            <w:r>
              <w:rPr>
                <w:rFonts w:hint="eastAsia"/>
                <w:color w:val="auto"/>
                <w:kern w:val="0"/>
                <w:sz w:val="18"/>
                <w:szCs w:val="18"/>
                <w:lang w:bidi="ar"/>
              </w:rPr>
              <w:t>”为勾选项，填“√”；“（）”为内容填写项。</w:t>
            </w:r>
          </w:p>
        </w:tc>
      </w:tr>
    </w:tbl>
    <w:p>
      <w:pPr>
        <w:widowControl/>
        <w:jc w:val="left"/>
        <w:rPr>
          <w:color w:val="auto"/>
        </w:rPr>
      </w:pPr>
    </w:p>
    <w:p>
      <w:pPr>
        <w:widowControl/>
        <w:jc w:val="left"/>
        <w:rPr>
          <w:rFonts w:cs="宋体"/>
          <w:color w:val="auto"/>
          <w:sz w:val="28"/>
          <w:szCs w:val="20"/>
        </w:rPr>
      </w:pPr>
      <w:r>
        <w:rPr>
          <w:color w:val="auto"/>
        </w:rPr>
        <w:br w:type="page"/>
      </w:r>
    </w:p>
    <w:p>
      <w:pPr>
        <w:keepNext/>
        <w:keepLines/>
        <w:spacing w:line="360" w:lineRule="auto"/>
        <w:outlineLvl w:val="1"/>
        <w:rPr>
          <w:rFonts w:hint="default" w:ascii="Times New Roman" w:hAnsi="Times New Roman" w:eastAsia="宋体" w:cs="Times New Roman"/>
          <w:color w:val="auto"/>
          <w:lang w:eastAsia="zh-CN"/>
        </w:rPr>
      </w:pPr>
      <w:r>
        <w:rPr>
          <w:rFonts w:hint="default" w:ascii="Times New Roman" w:hAnsi="Times New Roman" w:cs="Times New Roman"/>
          <w:b/>
          <w:color w:val="auto"/>
          <w:sz w:val="28"/>
          <w:szCs w:val="21"/>
        </w:rPr>
        <w:t>附</w:t>
      </w:r>
      <w:r>
        <w:rPr>
          <w:rFonts w:hint="default" w:ascii="Times New Roman" w:hAnsi="Times New Roman" w:cs="Times New Roman"/>
          <w:b/>
          <w:color w:val="auto"/>
          <w:sz w:val="28"/>
          <w:szCs w:val="21"/>
          <w:lang w:eastAsia="zh-CN"/>
        </w:rPr>
        <w:t>件</w:t>
      </w:r>
      <w:r>
        <w:rPr>
          <w:rFonts w:hint="default" w:ascii="Times New Roman" w:hAnsi="Times New Roman" w:cs="Times New Roman"/>
          <w:b/>
          <w:color w:val="auto"/>
          <w:sz w:val="28"/>
          <w:szCs w:val="21"/>
        </w:rPr>
        <w:t xml:space="preserve">1 </w:t>
      </w:r>
      <w:r>
        <w:rPr>
          <w:rFonts w:hint="default" w:ascii="Times New Roman" w:hAnsi="Times New Roman" w:cs="Times New Roman"/>
          <w:b/>
          <w:color w:val="auto"/>
          <w:sz w:val="28"/>
          <w:szCs w:val="21"/>
          <w:lang w:eastAsia="zh-CN"/>
        </w:rPr>
        <w:t>环评单位承诺书</w:t>
      </w:r>
    </w:p>
    <w:p>
      <w:pPr>
        <w:jc w:val="center"/>
        <w:rPr>
          <w:rFonts w:hint="default" w:ascii="Times New Roman" w:hAnsi="Times New Roman" w:eastAsia="文鼎小标宋简" w:cs="Times New Roman"/>
          <w:sz w:val="36"/>
          <w:szCs w:val="36"/>
        </w:rPr>
      </w:pPr>
      <w:r>
        <w:rPr>
          <w:rFonts w:hint="default" w:ascii="Times New Roman" w:hAnsi="Times New Roman" w:eastAsia="文鼎小标宋简" w:cs="Times New Roman"/>
          <w:sz w:val="36"/>
          <w:szCs w:val="36"/>
        </w:rPr>
        <w:t>承 诺 书</w:t>
      </w:r>
    </w:p>
    <w:p>
      <w:pPr>
        <w:pStyle w:val="2"/>
        <w:rPr>
          <w:rFonts w:hint="default" w:ascii="Times New Roman" w:hAnsi="Times New Roman" w:cs="Times New Roman"/>
        </w:rPr>
      </w:pP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根据</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中华人民共和国环境影响评价法</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中华人民共和国行政许可法</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、《环境影响评价公众参与暂行办法》（环发[2006]28号）</w:t>
      </w:r>
      <w:r>
        <w:rPr>
          <w:rFonts w:hint="default" w:ascii="Times New Roman" w:hAnsi="Times New Roman" w:eastAsia="仿宋_GB2312" w:cs="Times New Roman"/>
          <w:sz w:val="28"/>
          <w:szCs w:val="28"/>
          <w:lang w:eastAsia="zh-CN"/>
        </w:rPr>
        <w:t>等以及环境影响评价技术导则与标准</w:t>
      </w:r>
      <w:r>
        <w:rPr>
          <w:rFonts w:hint="default" w:ascii="Times New Roman" w:hAnsi="Times New Roman" w:eastAsia="仿宋_GB2312" w:cs="Times New Roman"/>
          <w:sz w:val="28"/>
          <w:szCs w:val="28"/>
        </w:rPr>
        <w:t>，特对报批</w:t>
      </w:r>
      <w:r>
        <w:rPr>
          <w:rFonts w:hint="default" w:ascii="Times New Roman" w:hAnsi="Times New Roman" w:eastAsia="仿宋_GB2312" w:cs="Times New Roman"/>
          <w:sz w:val="28"/>
          <w:szCs w:val="28"/>
          <w:lang w:eastAsia="zh-CN"/>
        </w:rPr>
        <w:t>的</w:t>
      </w:r>
      <w:r>
        <w:rPr>
          <w:rFonts w:hint="default" w:ascii="Times New Roman" w:hAnsi="Times New Roman" w:eastAsia="仿宋_GB2312" w:cs="Times New Roman"/>
          <w:sz w:val="28"/>
          <w:szCs w:val="28"/>
          <w:u w:val="single"/>
          <w:lang w:val="en-US" w:eastAsia="zh-CN"/>
        </w:rPr>
        <w:t xml:space="preserve"> 年产200吨再生棉项目 </w:t>
      </w:r>
      <w:r>
        <w:rPr>
          <w:rFonts w:hint="default" w:ascii="Times New Roman" w:hAnsi="Times New Roman" w:eastAsia="仿宋_GB2312" w:cs="Times New Roman"/>
          <w:sz w:val="28"/>
          <w:szCs w:val="28"/>
        </w:rPr>
        <w:t>环境影响评价文件做出如下承诺：</w:t>
      </w: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eastAsia="zh-CN"/>
        </w:rPr>
        <w:t>承诺提交的项目环境影响评价文件及相关材料（包括建设项目内容、工艺、建设规模、环境质量现状调查、相关监测数据、污染防治措施、公众参与调查结果等）是严格按照环境影响评价技术导则与标准、环评管理的要求来编写的，并对其真实性、规范性负责；如违反上述事项，在环境影响评价工作中疏忽或不负责任，提供虚假信息或弄虚作假等致使环境影响评价文件失实或达不到环评技术要求的，本项目负责人及环评机构将承担由此引起的一切后果及责任</w:t>
      </w:r>
      <w:r>
        <w:rPr>
          <w:rFonts w:hint="default" w:ascii="Times New Roman" w:hAnsi="Times New Roman" w:eastAsia="仿宋_GB2312" w:cs="Times New Roman"/>
          <w:sz w:val="28"/>
          <w:szCs w:val="28"/>
        </w:rPr>
        <w:t>。</w:t>
      </w: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2、在</w:t>
      </w:r>
      <w:r>
        <w:rPr>
          <w:rFonts w:hint="default" w:ascii="Times New Roman" w:hAnsi="Times New Roman" w:eastAsia="仿宋_GB2312" w:cs="Times New Roman"/>
          <w:sz w:val="28"/>
          <w:szCs w:val="28"/>
          <w:lang w:eastAsia="zh-CN"/>
        </w:rPr>
        <w:t>该环评文件的技术审查和审批过程中，我们会全力协助建设单位及环评文件审批部门做好技术服务，保证质量，提高效率，严格遵守《广东省环境影响评价机构从业行为承诺书》，主动接受环保部门及建设单位的监督</w:t>
      </w:r>
      <w:r>
        <w:rPr>
          <w:rFonts w:hint="default" w:ascii="Times New Roman" w:hAnsi="Times New Roman" w:eastAsia="仿宋_GB2312" w:cs="Times New Roman"/>
          <w:sz w:val="28"/>
          <w:szCs w:val="28"/>
        </w:rPr>
        <w:t>。</w:t>
      </w: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3、承诺廉洁自律，</w:t>
      </w:r>
      <w:r>
        <w:rPr>
          <w:rFonts w:hint="default" w:ascii="Times New Roman" w:hAnsi="Times New Roman" w:eastAsia="仿宋_GB2312" w:cs="Times New Roman"/>
          <w:sz w:val="28"/>
          <w:szCs w:val="28"/>
          <w:lang w:eastAsia="zh-CN"/>
        </w:rPr>
        <w:t>协助项目建设单位严格依照法定条件和程序办理项目申请报批手续，绝不以任何不正当手段干扰或影响项目审批部门及相关管理人员，以保证项目审批公正性</w:t>
      </w:r>
      <w:r>
        <w:rPr>
          <w:rFonts w:hint="default" w:ascii="Times New Roman" w:hAnsi="Times New Roman" w:eastAsia="仿宋_GB2312" w:cs="Times New Roman"/>
          <w:sz w:val="28"/>
          <w:szCs w:val="28"/>
        </w:rPr>
        <w:t>。</w:t>
      </w:r>
    </w:p>
    <w:p>
      <w:pPr>
        <w:pStyle w:val="17"/>
        <w:spacing w:line="360" w:lineRule="auto"/>
        <w:ind w:firstLine="5542" w:firstLineChars="23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评价单位（盖章）   </w:t>
      </w:r>
    </w:p>
    <w:p>
      <w:pPr>
        <w:pStyle w:val="17"/>
        <w:spacing w:line="360" w:lineRule="auto"/>
        <w:ind w:firstLine="5060" w:firstLineChars="21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r>
        <w:rPr>
          <w:rFonts w:hint="eastAsia" w:eastAsia="仿宋_GB2312" w:cs="Times New Roman"/>
          <w:sz w:val="24"/>
          <w:szCs w:val="24"/>
          <w:lang w:eastAsia="zh-CN"/>
        </w:rPr>
        <w:t>深圳环新生态技术有限公司</w:t>
      </w:r>
      <w:r>
        <w:rPr>
          <w:rFonts w:hint="default" w:ascii="Times New Roman" w:hAnsi="Times New Roman" w:eastAsia="仿宋_GB2312" w:cs="Times New Roman"/>
          <w:sz w:val="24"/>
          <w:szCs w:val="24"/>
        </w:rPr>
        <w:t xml:space="preserve">      </w:t>
      </w:r>
    </w:p>
    <w:p>
      <w:pPr>
        <w:pStyle w:val="17"/>
        <w:wordWrap w:val="0"/>
        <w:ind w:firstLine="482" w:firstLineChars="200"/>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lang w:eastAsia="zh-CN"/>
        </w:rPr>
        <w:t>项目负责</w:t>
      </w:r>
      <w:r>
        <w:rPr>
          <w:rFonts w:hint="default" w:ascii="Times New Roman" w:hAnsi="Times New Roman" w:eastAsia="仿宋_GB2312" w:cs="Times New Roman"/>
          <w:sz w:val="24"/>
          <w:szCs w:val="24"/>
        </w:rPr>
        <w:t>人（签</w:t>
      </w:r>
      <w:r>
        <w:rPr>
          <w:rFonts w:hint="default" w:ascii="Times New Roman" w:hAnsi="Times New Roman" w:eastAsia="仿宋_GB2312" w:cs="Times New Roman"/>
          <w:sz w:val="24"/>
          <w:szCs w:val="24"/>
          <w:lang w:eastAsia="zh-CN"/>
        </w:rPr>
        <w:t>名</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val="en-US" w:eastAsia="zh-CN"/>
        </w:rPr>
        <w:t xml:space="preserve">        </w:t>
      </w:r>
    </w:p>
    <w:p>
      <w:pPr>
        <w:pStyle w:val="17"/>
        <w:jc w:val="righ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 xml:space="preserve">   年    月    日</w:t>
      </w:r>
    </w:p>
    <w:p>
      <w:pPr>
        <w:pStyle w:val="17"/>
        <w:ind w:firstLine="990"/>
        <w:jc w:val="center"/>
        <w:rPr>
          <w:rFonts w:hint="default" w:ascii="Times New Roman" w:hAnsi="Times New Roman" w:eastAsia="仿宋_GB2312" w:cs="Times New Roman"/>
          <w:sz w:val="18"/>
        </w:rPr>
      </w:pPr>
    </w:p>
    <w:p>
      <w:pPr>
        <w:pStyle w:val="17"/>
        <w:jc w:val="center"/>
        <w:rPr>
          <w:rFonts w:hint="default" w:ascii="Times New Roman" w:hAnsi="Times New Roman" w:eastAsia="仿宋_GB2312" w:cs="Times New Roman"/>
          <w:sz w:val="21"/>
        </w:rPr>
      </w:pPr>
      <w:r>
        <w:rPr>
          <w:rFonts w:hint="default" w:ascii="Times New Roman" w:hAnsi="Times New Roman" w:eastAsia="仿宋_GB2312" w:cs="Times New Roman"/>
          <w:sz w:val="21"/>
        </w:rPr>
        <w:t>本承诺书原件交环保审批部门，承诺单位可保留复印件</w:t>
      </w:r>
    </w:p>
    <w:p>
      <w:pPr>
        <w:widowControl/>
        <w:jc w:val="left"/>
        <w:rPr>
          <w:rFonts w:hint="default" w:ascii="Times New Roman" w:hAnsi="Times New Roman" w:cs="Times New Roman"/>
          <w:color w:val="auto"/>
        </w:rPr>
      </w:pPr>
    </w:p>
    <w:p>
      <w:pPr>
        <w:widowControl/>
        <w:jc w:val="left"/>
        <w:rPr>
          <w:rFonts w:hint="default" w:ascii="Times New Roman" w:hAnsi="Times New Roman" w:cs="Times New Roman"/>
          <w:b/>
          <w:color w:val="auto"/>
          <w:sz w:val="28"/>
          <w:szCs w:val="21"/>
        </w:rPr>
        <w:sectPr>
          <w:footerReference r:id="rId13"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pPr>
    </w:p>
    <w:p>
      <w:pPr>
        <w:widowControl/>
        <w:jc w:val="left"/>
        <w:rPr>
          <w:rFonts w:hint="default" w:ascii="Times New Roman" w:hAnsi="Times New Roman" w:cs="Times New Roman"/>
          <w:b/>
          <w:color w:val="auto"/>
          <w:sz w:val="28"/>
          <w:szCs w:val="21"/>
          <w:lang w:eastAsia="zh-CN"/>
        </w:rPr>
      </w:pPr>
      <w:r>
        <w:rPr>
          <w:rFonts w:hint="default" w:ascii="Times New Roman" w:hAnsi="Times New Roman" w:cs="Times New Roman"/>
          <w:b/>
          <w:color w:val="auto"/>
          <w:sz w:val="28"/>
          <w:szCs w:val="21"/>
        </w:rPr>
        <w:t>附</w:t>
      </w:r>
      <w:r>
        <w:rPr>
          <w:rFonts w:hint="default" w:ascii="Times New Roman" w:hAnsi="Times New Roman" w:cs="Times New Roman"/>
          <w:b/>
          <w:color w:val="auto"/>
          <w:sz w:val="28"/>
          <w:szCs w:val="21"/>
          <w:lang w:eastAsia="zh-CN"/>
        </w:rPr>
        <w:t>件</w:t>
      </w:r>
      <w:r>
        <w:rPr>
          <w:rFonts w:hint="default" w:ascii="Times New Roman" w:hAnsi="Times New Roman" w:cs="Times New Roman"/>
          <w:b/>
          <w:color w:val="auto"/>
          <w:sz w:val="28"/>
          <w:szCs w:val="21"/>
          <w:lang w:val="en-US" w:eastAsia="zh-CN"/>
        </w:rPr>
        <w:t>2</w:t>
      </w:r>
      <w:r>
        <w:rPr>
          <w:rFonts w:hint="default" w:ascii="Times New Roman" w:hAnsi="Times New Roman" w:cs="Times New Roman"/>
          <w:b/>
          <w:color w:val="auto"/>
          <w:sz w:val="28"/>
          <w:szCs w:val="21"/>
        </w:rPr>
        <w:t xml:space="preserve"> </w:t>
      </w:r>
      <w:r>
        <w:rPr>
          <w:rFonts w:hint="default" w:ascii="Times New Roman" w:hAnsi="Times New Roman" w:cs="Times New Roman"/>
          <w:b/>
          <w:color w:val="auto"/>
          <w:sz w:val="28"/>
          <w:szCs w:val="21"/>
          <w:lang w:eastAsia="zh-CN"/>
        </w:rPr>
        <w:t>建设单位承诺书</w:t>
      </w:r>
    </w:p>
    <w:p>
      <w:pPr>
        <w:jc w:val="center"/>
        <w:rPr>
          <w:rFonts w:hint="default" w:ascii="Times New Roman" w:hAnsi="Times New Roman" w:eastAsia="文鼎小标宋简" w:cs="Times New Roman"/>
          <w:sz w:val="36"/>
          <w:szCs w:val="36"/>
        </w:rPr>
      </w:pPr>
      <w:r>
        <w:rPr>
          <w:rFonts w:hint="default" w:ascii="Times New Roman" w:hAnsi="Times New Roman" w:eastAsia="文鼎小标宋简" w:cs="Times New Roman"/>
          <w:sz w:val="36"/>
          <w:szCs w:val="36"/>
        </w:rPr>
        <w:t>承 诺 书</w:t>
      </w:r>
    </w:p>
    <w:p>
      <w:pPr>
        <w:pStyle w:val="2"/>
        <w:rPr>
          <w:rFonts w:hint="default" w:ascii="Times New Roman" w:hAnsi="Times New Roman" w:cs="Times New Roman"/>
        </w:rPr>
      </w:pP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根据《中华人民共和国环境影响评价法》、《中华人民共和国行政许可法》、《建设项目环境影响评价资质管理办法》、《环境影响评价公众参与暂行办法》（环发[2006]28号）、《广东省建设项目环保管理公众参与实施意见》（粤环[2007]99号），特对报批</w:t>
      </w:r>
      <w:r>
        <w:rPr>
          <w:rFonts w:hint="default" w:ascii="Times New Roman" w:hAnsi="Times New Roman" w:eastAsia="仿宋_GB2312" w:cs="Times New Roman"/>
          <w:sz w:val="28"/>
          <w:szCs w:val="28"/>
          <w:u w:val="single"/>
          <w:lang w:val="en-US" w:eastAsia="zh-CN"/>
        </w:rPr>
        <w:t xml:space="preserve"> 年产200吨再生棉项目 </w:t>
      </w:r>
      <w:r>
        <w:rPr>
          <w:rFonts w:hint="default" w:ascii="Times New Roman" w:hAnsi="Times New Roman" w:eastAsia="仿宋_GB2312" w:cs="Times New Roman"/>
          <w:sz w:val="28"/>
          <w:szCs w:val="28"/>
        </w:rPr>
        <w:t>环境影响评价文件做出如下承诺：</w:t>
      </w: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我们共同承诺对提交的项目环境影响评价文件及相关材料（包括但不限于建设项目内容、建设规模、环境质量现状调查、相关监测数据、公众参与调查结果）真实性负责；如违反上述事项，在环境影响评价工作中不负责任或弄虚作假等致使环境影响评价文件失实，我们将承担由此引起的一切责任。</w:t>
      </w: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2、在项目施工期和营运期，严格按照环境影响评价文件及批复要求落实各项污染防治和风险事故防范措施，如因措施不当引起的环境影响或环境事故责任由建设单位承担。</w:t>
      </w:r>
    </w:p>
    <w:p>
      <w:pPr>
        <w:spacing w:line="360" w:lineRule="auto"/>
        <w:ind w:firstLine="548" w:firstLineChars="19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3、我们承诺廉洁自律，严格依照法定条件和程序办理项目申请手续，绝不以任何不正当手段干扰项目评估及审批管理人员，以保证项目审批公正性。</w:t>
      </w:r>
    </w:p>
    <w:p>
      <w:pPr>
        <w:pStyle w:val="17"/>
        <w:rPr>
          <w:rFonts w:hint="default" w:ascii="Times New Roman" w:hAnsi="Times New Roman" w:eastAsia="仿宋_GB2312" w:cs="Times New Roman"/>
          <w:sz w:val="24"/>
        </w:rPr>
      </w:pPr>
    </w:p>
    <w:p>
      <w:pPr>
        <w:pStyle w:val="17"/>
        <w:spacing w:line="360" w:lineRule="auto"/>
        <w:ind w:firstLine="602" w:firstLineChars="250"/>
        <w:jc w:val="right"/>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建设单位（盖章）                          </w:t>
      </w:r>
    </w:p>
    <w:p>
      <w:pPr>
        <w:pStyle w:val="17"/>
        <w:spacing w:line="360" w:lineRule="auto"/>
        <w:ind w:firstLine="241" w:firstLineChars="100"/>
        <w:jc w:val="right"/>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 </w:t>
      </w:r>
      <w:r>
        <w:rPr>
          <w:rFonts w:hint="default" w:ascii="Times New Roman" w:hAnsi="Times New Roman" w:eastAsia="仿宋_GB2312" w:cs="Times New Roman"/>
          <w:sz w:val="24"/>
          <w:lang w:eastAsia="zh-CN"/>
        </w:rPr>
        <w:t>普宁市梅塘强彬纺织厂</w:t>
      </w:r>
      <w:r>
        <w:rPr>
          <w:rFonts w:hint="default" w:ascii="Times New Roman" w:hAnsi="Times New Roman" w:eastAsia="仿宋_GB2312" w:cs="Times New Roman"/>
          <w:sz w:val="24"/>
        </w:rPr>
        <w:t xml:space="preserve">                 </w:t>
      </w:r>
    </w:p>
    <w:p>
      <w:pPr>
        <w:pStyle w:val="17"/>
        <w:ind w:firstLine="482" w:firstLineChars="200"/>
        <w:jc w:val="right"/>
        <w:rPr>
          <w:rFonts w:hint="default" w:ascii="Times New Roman" w:hAnsi="Times New Roman" w:eastAsia="仿宋_GB2312" w:cs="Times New Roman"/>
          <w:sz w:val="24"/>
        </w:rPr>
      </w:pPr>
    </w:p>
    <w:p>
      <w:pPr>
        <w:pStyle w:val="17"/>
        <w:ind w:firstLine="482" w:firstLineChars="200"/>
        <w:jc w:val="right"/>
        <w:rPr>
          <w:rFonts w:hint="default" w:ascii="Times New Roman" w:hAnsi="Times New Roman" w:eastAsia="仿宋_GB2312" w:cs="Times New Roman"/>
          <w:sz w:val="24"/>
        </w:rPr>
      </w:pPr>
      <w:r>
        <w:rPr>
          <w:rFonts w:hint="default" w:ascii="Times New Roman" w:hAnsi="Times New Roman" w:eastAsia="仿宋_GB2312" w:cs="Times New Roman"/>
          <w:sz w:val="24"/>
        </w:rPr>
        <w:t xml:space="preserve">法定代表人（签名）                        </w:t>
      </w:r>
    </w:p>
    <w:p>
      <w:pPr>
        <w:pStyle w:val="17"/>
        <w:jc w:val="center"/>
        <w:rPr>
          <w:rFonts w:hint="default" w:ascii="Times New Roman" w:hAnsi="Times New Roman" w:eastAsia="仿宋_GB2312" w:cs="Times New Roman"/>
          <w:sz w:val="21"/>
        </w:rPr>
      </w:pPr>
    </w:p>
    <w:p>
      <w:pPr>
        <w:pStyle w:val="17"/>
        <w:jc w:val="center"/>
        <w:rPr>
          <w:rFonts w:hint="default" w:ascii="Times New Roman" w:hAnsi="Times New Roman" w:eastAsia="仿宋_GB2312" w:cs="Times New Roman"/>
          <w:sz w:val="21"/>
        </w:rPr>
      </w:pPr>
    </w:p>
    <w:p>
      <w:pPr>
        <w:pStyle w:val="17"/>
        <w:jc w:val="right"/>
        <w:rPr>
          <w:rFonts w:hint="default" w:ascii="Times New Roman" w:hAnsi="Times New Roman" w:eastAsia="仿宋_GB2312" w:cs="Times New Roman"/>
          <w:sz w:val="21"/>
        </w:rPr>
      </w:pPr>
      <w:r>
        <w:rPr>
          <w:rFonts w:hint="default" w:ascii="Times New Roman" w:hAnsi="Times New Roman" w:eastAsia="仿宋_GB2312" w:cs="Times New Roman"/>
          <w:sz w:val="21"/>
          <w:lang w:val="en-US" w:eastAsia="zh-CN"/>
        </w:rPr>
        <w:t xml:space="preserve">                                              </w:t>
      </w:r>
      <w:r>
        <w:rPr>
          <w:rFonts w:hint="default" w:ascii="Times New Roman" w:hAnsi="Times New Roman" w:eastAsia="仿宋_GB2312" w:cs="Times New Roman"/>
          <w:sz w:val="21"/>
        </w:rPr>
        <w:t xml:space="preserve">   年    月    日</w:t>
      </w:r>
    </w:p>
    <w:p>
      <w:pPr>
        <w:pStyle w:val="17"/>
        <w:ind w:firstLine="990"/>
        <w:jc w:val="center"/>
        <w:rPr>
          <w:rFonts w:hint="default" w:ascii="Times New Roman" w:hAnsi="Times New Roman" w:eastAsia="仿宋_GB2312" w:cs="Times New Roman"/>
          <w:sz w:val="18"/>
        </w:rPr>
      </w:pPr>
    </w:p>
    <w:p>
      <w:pPr>
        <w:pStyle w:val="17"/>
        <w:jc w:val="center"/>
        <w:rPr>
          <w:rFonts w:hint="default" w:ascii="Times New Roman" w:hAnsi="Times New Roman" w:eastAsia="仿宋_GB2312" w:cs="Times New Roman"/>
          <w:sz w:val="21"/>
        </w:rPr>
      </w:pPr>
      <w:r>
        <w:rPr>
          <w:rFonts w:hint="default" w:ascii="Times New Roman" w:hAnsi="Times New Roman" w:eastAsia="仿宋_GB2312" w:cs="Times New Roman"/>
          <w:sz w:val="21"/>
        </w:rPr>
        <w:t>本承诺书原件交环保审批部门，承诺单位可保留复印件</w:t>
      </w:r>
    </w:p>
    <w:p>
      <w:pPr>
        <w:pStyle w:val="2"/>
        <w:ind w:firstLine="0" w:firstLineChars="0"/>
        <w:rPr>
          <w:rFonts w:hint="eastAsia"/>
          <w:color w:val="auto"/>
        </w:rPr>
      </w:pPr>
    </w:p>
    <w:sectPr>
      <w:footerReference r:id="rId14" w:type="default"/>
      <w:pgSz w:w="11907" w:h="16840"/>
      <w:pgMar w:top="1531" w:right="1134" w:bottom="1134" w:left="1418" w:header="907" w:footer="907" w:gutter="0"/>
      <w:pgBorders>
        <w:top w:val="none" w:sz="0" w:space="0"/>
        <w:left w:val="none" w:sz="0" w:space="0"/>
        <w:bottom w:val="none" w:sz="0" w:space="0"/>
        <w:right w:val="none" w:sz="0" w:space="0"/>
      </w:pgBorders>
      <w:cols w:space="720" w:num="1"/>
      <w:docGrid w:linePitch="326" w:charSpace="-49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隶书">
    <w:altName w:val="微软雅黑"/>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仿宋_GBK">
    <w:altName w:val="宋体"/>
    <w:panose1 w:val="00000000000000000000"/>
    <w:charset w:val="86"/>
    <w:family w:val="script"/>
    <w:pitch w:val="default"/>
    <w:sig w:usb0="00000000" w:usb1="00000000" w:usb2="00000010" w:usb3="00000000" w:csb0="003C0040" w:csb1="00000000"/>
  </w:font>
  <w:font w:name="仿宋体">
    <w:altName w:val="宋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decorative"/>
    <w:pitch w:val="default"/>
    <w:sig w:usb0="00000000" w:usb1="00000000" w:usb2="00000000" w:usb3="00000000" w:csb0="80000000" w:csb1="00000000"/>
  </w:font>
  <w:font w:name="文鼎小标宋简">
    <w:altName w:val="微软雅黑"/>
    <w:panose1 w:val="0201060901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5"/>
      </w:rPr>
    </w:pPr>
    <w:r>
      <w:fldChar w:fldCharType="begin"/>
    </w:r>
    <w:r>
      <w:rPr>
        <w:rStyle w:val="35"/>
      </w:rPr>
      <w:instrText xml:space="preserve">PAGE  </w:instrText>
    </w:r>
    <w:r>
      <w:fldChar w:fldCharType="end"/>
    </w:r>
  </w:p>
  <w:p>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8899212"/>
    </w:sdtPr>
    <w:sdtContent>
      <w:p>
        <w:pPr>
          <w:pStyle w:val="23"/>
          <w:jc w:val="center"/>
        </w:pPr>
        <w:r>
          <w:fldChar w:fldCharType="begin"/>
        </w:r>
        <w:r>
          <w:instrText xml:space="preserve">PAGE   \* MERGEFORMAT</w:instrText>
        </w:r>
        <w:r>
          <w:fldChar w:fldCharType="separate"/>
        </w:r>
        <w:r>
          <w:rPr>
            <w:lang w:val="zh-CN"/>
          </w:rPr>
          <w:t>2</w:t>
        </w:r>
        <w:r>
          <w:fldChar w:fldCharType="end"/>
        </w:r>
      </w:p>
    </w:sdtContent>
  </w:sdt>
  <w:p>
    <w:pPr>
      <w:pStyle w:val="23"/>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rPr>
        <w:rStyle w:val="35"/>
      </w:rPr>
    </w:pPr>
    <w:r>
      <w:fldChar w:fldCharType="begin"/>
    </w:r>
    <w:r>
      <w:rPr>
        <w:rStyle w:val="35"/>
      </w:rPr>
      <w:instrText xml:space="preserve">PAGE  </w:instrText>
    </w:r>
    <w:r>
      <w:fldChar w:fldCharType="separate"/>
    </w:r>
    <w:r>
      <w:rPr>
        <w:rStyle w:val="35"/>
      </w:rPr>
      <w:t>18</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21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30</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35"/>
      </w:rPr>
    </w:pPr>
    <w:r>
      <w:fldChar w:fldCharType="begin"/>
    </w:r>
    <w:r>
      <w:rPr>
        <w:rStyle w:val="35"/>
      </w:rPr>
      <w:instrText xml:space="preserve">PAGE  </w:instrText>
    </w:r>
    <w:r>
      <w:fldChar w:fldCharType="separate"/>
    </w:r>
    <w:r>
      <w:rPr>
        <w:rStyle w:val="35"/>
      </w:rPr>
      <w:t>38</w:t>
    </w:r>
    <w:r>
      <w:fldChar w:fldCharType="end"/>
    </w:r>
  </w:p>
  <w:p>
    <w:pPr>
      <w:pStyle w:val="23"/>
      <w:framePr w:wrap="around" w:vAnchor="text" w:hAnchor="page" w:x="1314" w:y="-51"/>
      <w:rPr>
        <w:rStyle w:val="35"/>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40</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PAGE  </w:instrText>
    </w:r>
    <w:r>
      <w:fldChar w:fldCharType="separate"/>
    </w:r>
    <w:r>
      <w:rPr>
        <w:rStyle w:val="35"/>
      </w:rPr>
      <w:t>47</w:t>
    </w:r>
    <w:r>
      <w:fldChar w:fldCharType="end"/>
    </w:r>
  </w:p>
  <w:p>
    <w:pPr>
      <w:pStyle w:val="23"/>
      <w:framePr w:wrap="around" w:vAnchor="text" w:hAnchor="margin" w:xAlign="center" w:y="1"/>
      <w:rPr>
        <w:rStyle w:val="35"/>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fldChar w:fldCharType="begin"/>
    </w:r>
    <w:r>
      <w:rPr>
        <w:rStyle w:val="35"/>
      </w:rPr>
      <w:instrText xml:space="preserve"> PAGE </w:instrText>
    </w:r>
    <w:r>
      <w:fldChar w:fldCharType="separate"/>
    </w:r>
    <w:r>
      <w:rPr>
        <w:rStyle w:val="35"/>
      </w:rPr>
      <w:t>48</w:t>
    </w:r>
    <w:r>
      <w:fldChar w:fldCharType="end"/>
    </w:r>
  </w:p>
  <w:p>
    <w:pPr>
      <w:pStyle w:val="23"/>
      <w:framePr w:wrap="around" w:vAnchor="text" w:hAnchor="margin" w:xAlign="center" w:y="1"/>
      <w:rPr>
        <w:rStyle w:val="35"/>
      </w:rPr>
    </w:pPr>
  </w:p>
  <w:p>
    <w:pPr>
      <w:pStyle w:val="23"/>
      <w:jc w:val="center"/>
      <w:rPr>
        <w:rStyle w:val="35"/>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rPr>
        <w:rStyle w:val="35"/>
        <w:rFonts w:hint="eastAsia"/>
      </w:rPr>
      <w:t xml:space="preserve">  </w:t>
    </w:r>
    <w:r>
      <w:fldChar w:fldCharType="begin"/>
    </w:r>
    <w:r>
      <w:rPr>
        <w:rStyle w:val="35"/>
      </w:rPr>
      <w:instrText xml:space="preserve"> PAGE </w:instrText>
    </w:r>
    <w:r>
      <w:fldChar w:fldCharType="separate"/>
    </w:r>
    <w:r>
      <w:rPr>
        <w:rStyle w:val="35"/>
      </w:rPr>
      <w:t>54</w:t>
    </w:r>
    <w:r>
      <w:fldChar w:fldCharType="end"/>
    </w:r>
    <w:r>
      <w:rPr>
        <w:rStyle w:val="35"/>
        <w:rFonts w:hint="eastAsia"/>
      </w:rPr>
      <w:t xml:space="preserve">                        </w:t>
    </w:r>
  </w:p>
  <w:p>
    <w:pPr>
      <w:pStyle w:val="23"/>
      <w:framePr w:wrap="around" w:vAnchor="text" w:hAnchor="margin" w:xAlign="center" w:y="1"/>
      <w:rPr>
        <w:rStyle w:val="35"/>
      </w:rPr>
    </w:pPr>
  </w:p>
  <w:p>
    <w:pPr>
      <w:pStyle w:val="23"/>
      <w:jc w:val="center"/>
      <w:rPr>
        <w:rStyle w:val="35"/>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jc w:val="center"/>
      <w:rPr>
        <w:rStyle w:val="35"/>
      </w:rPr>
    </w:pPr>
    <w:r>
      <w:rPr>
        <w:rStyle w:val="35"/>
        <w:rFonts w:hint="eastAsia"/>
      </w:rPr>
      <w:t xml:space="preserve">  </w:t>
    </w:r>
    <w:r>
      <w:fldChar w:fldCharType="begin"/>
    </w:r>
    <w:r>
      <w:rPr>
        <w:rStyle w:val="35"/>
      </w:rPr>
      <w:instrText xml:space="preserve"> PAGE </w:instrText>
    </w:r>
    <w:r>
      <w:fldChar w:fldCharType="separate"/>
    </w:r>
    <w:r>
      <w:rPr>
        <w:rStyle w:val="35"/>
      </w:rPr>
      <w:t>54</w:t>
    </w:r>
    <w:r>
      <w:fldChar w:fldCharType="end"/>
    </w:r>
    <w:r>
      <w:rPr>
        <w:rStyle w:val="35"/>
        <w:rFonts w:hint="eastAsia"/>
      </w:rPr>
      <w:t xml:space="preserve">                        </w:t>
    </w:r>
  </w:p>
  <w:p>
    <w:pPr>
      <w:pStyle w:val="23"/>
      <w:framePr w:wrap="around" w:vAnchor="text" w:hAnchor="margin" w:xAlign="center" w:y="1"/>
      <w:rPr>
        <w:rStyle w:val="35"/>
      </w:rPr>
    </w:pPr>
  </w:p>
  <w:p>
    <w:pPr>
      <w:pStyle w:val="23"/>
      <w:jc w:val="center"/>
      <w:rPr>
        <w:rStyle w:val="3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chineseCountingThousand"/>
      <w:suff w:val="space"/>
      <w:lvlText w:val="第%1章"/>
      <w:lvlJc w:val="left"/>
      <w:pPr>
        <w:ind w:left="0" w:firstLine="0"/>
      </w:pPr>
      <w:rPr>
        <w:rFonts w:hint="eastAsia" w:ascii="隶书" w:eastAsia="隶书"/>
        <w:b/>
        <w:i w:val="0"/>
        <w:color w:val="000000"/>
        <w:sz w:val="36"/>
        <w14:shadow w14:blurRad="0" w14:dist="0" w14:dir="0" w14:sx="0" w14:sy="0" w14:kx="0" w14:ky="0" w14:algn="none">
          <w14:srgbClr w14:val="000000"/>
        </w14:shadow>
      </w:rPr>
    </w:lvl>
    <w:lvl w:ilvl="1" w:tentative="0">
      <w:start w:val="1"/>
      <w:numFmt w:val="chineseCountingThousand"/>
      <w:suff w:val="nothing"/>
      <w:lvlText w:val="%2."/>
      <w:lvlJc w:val="left"/>
      <w:pPr>
        <w:ind w:left="425" w:hanging="425"/>
      </w:pPr>
      <w:rPr>
        <w:rFonts w:hint="eastAsia"/>
      </w:rPr>
    </w:lvl>
    <w:lvl w:ilvl="2" w:tentative="0">
      <w:start w:val="1"/>
      <w:numFmt w:val="chineseCountingThousand"/>
      <w:suff w:val="nothing"/>
      <w:lvlText w:val="(%3)."/>
      <w:lvlJc w:val="left"/>
      <w:pPr>
        <w:ind w:left="0" w:firstLine="0"/>
      </w:pPr>
      <w:rPr>
        <w:rFonts w:hint="eastAsia" w:ascii="楷体_GB2312" w:eastAsia="楷体_GB2312"/>
      </w:rPr>
    </w:lvl>
    <w:lvl w:ilvl="3" w:tentative="0">
      <w:start w:val="1"/>
      <w:numFmt w:val="decimal"/>
      <w:pStyle w:val="6"/>
      <w:suff w:val="nothing"/>
      <w:lvlText w:val="%4."/>
      <w:lvlJc w:val="left"/>
      <w:pPr>
        <w:ind w:left="0" w:firstLine="0"/>
      </w:pPr>
      <w:rPr>
        <w:rFonts w:hint="eastAsia" w:ascii="宋体" w:eastAsia="宋体"/>
      </w:rPr>
    </w:lvl>
    <w:lvl w:ilvl="4" w:tentative="0">
      <w:start w:val="1"/>
      <w:numFmt w:val="decimal"/>
      <w:pStyle w:val="7"/>
      <w:suff w:val="nothing"/>
      <w:lvlText w:val="(%5)."/>
      <w:lvlJc w:val="left"/>
      <w:pPr>
        <w:ind w:left="0" w:firstLine="0"/>
      </w:pPr>
      <w:rPr>
        <w:rFonts w:hint="eastAsia" w:ascii="宋体" w:eastAsia="宋体"/>
      </w:rPr>
    </w:lvl>
    <w:lvl w:ilvl="5" w:tentative="0">
      <w:start w:val="1"/>
      <w:numFmt w:val="upperLetter"/>
      <w:pStyle w:val="9"/>
      <w:lvlText w:val="%6."/>
      <w:lvlJc w:val="left"/>
      <w:pPr>
        <w:tabs>
          <w:tab w:val="left" w:pos="0"/>
        </w:tabs>
        <w:ind w:left="0" w:firstLine="0"/>
      </w:pPr>
      <w:rPr>
        <w:rFonts w:hint="eastAsia" w:ascii="宋体" w:eastAsia="宋体"/>
      </w:rPr>
    </w:lvl>
    <w:lvl w:ilvl="6" w:tentative="0">
      <w:start w:val="1"/>
      <w:numFmt w:val="decimal"/>
      <w:pStyle w:val="10"/>
      <w:lvlText w:val="%7"/>
      <w:lvlJc w:val="left"/>
      <w:pPr>
        <w:tabs>
          <w:tab w:val="left" w:pos="0"/>
        </w:tabs>
        <w:ind w:left="0" w:firstLine="0"/>
      </w:pPr>
      <w:rPr>
        <w:rFonts w:hint="default" w:ascii="Times New Roman" w:hAnsi="Times New Roman"/>
      </w:rPr>
    </w:lvl>
    <w:lvl w:ilvl="7" w:tentative="0">
      <w:start w:val="1"/>
      <w:numFmt w:val="decimal"/>
      <w:pStyle w:val="11"/>
      <w:lvlText w:val="%8"/>
      <w:lvlJc w:val="left"/>
      <w:pPr>
        <w:tabs>
          <w:tab w:val="left" w:pos="0"/>
        </w:tabs>
        <w:ind w:left="0" w:firstLine="0"/>
      </w:pPr>
      <w:rPr>
        <w:rFonts w:hint="default" w:ascii="Times New Roman" w:hAnsi="Times New Roman"/>
      </w:rPr>
    </w:lvl>
    <w:lvl w:ilvl="8" w:tentative="0">
      <w:start w:val="1"/>
      <w:numFmt w:val="decimal"/>
      <w:pStyle w:val="12"/>
      <w:lvlText w:val="%9"/>
      <w:lvlJc w:val="left"/>
      <w:pPr>
        <w:tabs>
          <w:tab w:val="left" w:pos="0"/>
        </w:tabs>
        <w:ind w:left="0" w:firstLine="0"/>
      </w:pPr>
      <w:rPr>
        <w:rFonts w:hint="default" w:ascii="Times New Roman" w:hAnsi="Times New Roman"/>
      </w:rPr>
    </w:lvl>
  </w:abstractNum>
  <w:abstractNum w:abstractNumId="1">
    <w:nsid w:val="00000033"/>
    <w:multiLevelType w:val="multilevel"/>
    <w:tmpl w:val="00000033"/>
    <w:lvl w:ilvl="0" w:tentative="0">
      <w:start w:val="0"/>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pStyle w:val="5"/>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2E91B47"/>
    <w:multiLevelType w:val="multilevel"/>
    <w:tmpl w:val="12E91B47"/>
    <w:lvl w:ilvl="0" w:tentative="0">
      <w:start w:val="3"/>
      <w:numFmt w:val="decimal"/>
      <w:lvlText w:val="%1、"/>
      <w:lvlJc w:val="left"/>
      <w:pPr>
        <w:ind w:left="845" w:hanging="375"/>
      </w:pPr>
      <w:rPr>
        <w:rFonts w:hint="default"/>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1C"/>
    <w:rsid w:val="000007CC"/>
    <w:rsid w:val="00003628"/>
    <w:rsid w:val="00006687"/>
    <w:rsid w:val="000075F3"/>
    <w:rsid w:val="0001002B"/>
    <w:rsid w:val="00010A57"/>
    <w:rsid w:val="000127E4"/>
    <w:rsid w:val="000138E3"/>
    <w:rsid w:val="000146A8"/>
    <w:rsid w:val="00014DDA"/>
    <w:rsid w:val="0001571B"/>
    <w:rsid w:val="00015E58"/>
    <w:rsid w:val="000169CE"/>
    <w:rsid w:val="00016A9B"/>
    <w:rsid w:val="00017532"/>
    <w:rsid w:val="000178C1"/>
    <w:rsid w:val="00017CDA"/>
    <w:rsid w:val="000209BC"/>
    <w:rsid w:val="00020A62"/>
    <w:rsid w:val="0002187F"/>
    <w:rsid w:val="00021994"/>
    <w:rsid w:val="000220BC"/>
    <w:rsid w:val="000232AF"/>
    <w:rsid w:val="000238C8"/>
    <w:rsid w:val="00023E36"/>
    <w:rsid w:val="00024576"/>
    <w:rsid w:val="00026048"/>
    <w:rsid w:val="000278AB"/>
    <w:rsid w:val="00027977"/>
    <w:rsid w:val="000279A9"/>
    <w:rsid w:val="0003154B"/>
    <w:rsid w:val="00032ACE"/>
    <w:rsid w:val="00033EB7"/>
    <w:rsid w:val="0003436F"/>
    <w:rsid w:val="00035D9A"/>
    <w:rsid w:val="0003712F"/>
    <w:rsid w:val="000374AF"/>
    <w:rsid w:val="00040D68"/>
    <w:rsid w:val="00041F8E"/>
    <w:rsid w:val="000421B4"/>
    <w:rsid w:val="00044D4F"/>
    <w:rsid w:val="00046689"/>
    <w:rsid w:val="0004771F"/>
    <w:rsid w:val="00050AE1"/>
    <w:rsid w:val="00051C5C"/>
    <w:rsid w:val="00051D41"/>
    <w:rsid w:val="00052113"/>
    <w:rsid w:val="00053369"/>
    <w:rsid w:val="0005359B"/>
    <w:rsid w:val="0005365A"/>
    <w:rsid w:val="000544CB"/>
    <w:rsid w:val="000557BE"/>
    <w:rsid w:val="000558A8"/>
    <w:rsid w:val="000570DE"/>
    <w:rsid w:val="000574F4"/>
    <w:rsid w:val="000577C2"/>
    <w:rsid w:val="00057A31"/>
    <w:rsid w:val="00060594"/>
    <w:rsid w:val="000607F4"/>
    <w:rsid w:val="00060900"/>
    <w:rsid w:val="000610D2"/>
    <w:rsid w:val="00062341"/>
    <w:rsid w:val="0006274B"/>
    <w:rsid w:val="00063142"/>
    <w:rsid w:val="00063516"/>
    <w:rsid w:val="000636B9"/>
    <w:rsid w:val="0006550E"/>
    <w:rsid w:val="00065934"/>
    <w:rsid w:val="00065FE3"/>
    <w:rsid w:val="000662E3"/>
    <w:rsid w:val="00066A4E"/>
    <w:rsid w:val="00067B6F"/>
    <w:rsid w:val="00070CB9"/>
    <w:rsid w:val="00070EC4"/>
    <w:rsid w:val="00071C90"/>
    <w:rsid w:val="00072E2D"/>
    <w:rsid w:val="00074717"/>
    <w:rsid w:val="00074EBF"/>
    <w:rsid w:val="00074EC6"/>
    <w:rsid w:val="00075219"/>
    <w:rsid w:val="00075B49"/>
    <w:rsid w:val="00075D6A"/>
    <w:rsid w:val="0007649D"/>
    <w:rsid w:val="00076ABA"/>
    <w:rsid w:val="00076F74"/>
    <w:rsid w:val="00077DF1"/>
    <w:rsid w:val="000808DC"/>
    <w:rsid w:val="00080BF5"/>
    <w:rsid w:val="0008152A"/>
    <w:rsid w:val="0008187B"/>
    <w:rsid w:val="00081B5F"/>
    <w:rsid w:val="00082C98"/>
    <w:rsid w:val="0008328A"/>
    <w:rsid w:val="000841B6"/>
    <w:rsid w:val="0008557A"/>
    <w:rsid w:val="00086777"/>
    <w:rsid w:val="00086E68"/>
    <w:rsid w:val="00087F7C"/>
    <w:rsid w:val="00090CEF"/>
    <w:rsid w:val="00091D27"/>
    <w:rsid w:val="000923E7"/>
    <w:rsid w:val="00092858"/>
    <w:rsid w:val="000940B6"/>
    <w:rsid w:val="00094958"/>
    <w:rsid w:val="00095473"/>
    <w:rsid w:val="000A2037"/>
    <w:rsid w:val="000A5145"/>
    <w:rsid w:val="000A5B4E"/>
    <w:rsid w:val="000A637E"/>
    <w:rsid w:val="000A7242"/>
    <w:rsid w:val="000B0117"/>
    <w:rsid w:val="000B01AD"/>
    <w:rsid w:val="000B0509"/>
    <w:rsid w:val="000B0E50"/>
    <w:rsid w:val="000B4089"/>
    <w:rsid w:val="000B4390"/>
    <w:rsid w:val="000B6043"/>
    <w:rsid w:val="000B66FB"/>
    <w:rsid w:val="000B6960"/>
    <w:rsid w:val="000B72D0"/>
    <w:rsid w:val="000C030F"/>
    <w:rsid w:val="000C059F"/>
    <w:rsid w:val="000C16F1"/>
    <w:rsid w:val="000C1CA0"/>
    <w:rsid w:val="000C393D"/>
    <w:rsid w:val="000C4089"/>
    <w:rsid w:val="000C6869"/>
    <w:rsid w:val="000D21C2"/>
    <w:rsid w:val="000D28F9"/>
    <w:rsid w:val="000D3D92"/>
    <w:rsid w:val="000D4D12"/>
    <w:rsid w:val="000D58D8"/>
    <w:rsid w:val="000D5C82"/>
    <w:rsid w:val="000D6528"/>
    <w:rsid w:val="000D7941"/>
    <w:rsid w:val="000D7BEB"/>
    <w:rsid w:val="000D7F4A"/>
    <w:rsid w:val="000E135B"/>
    <w:rsid w:val="000E2E15"/>
    <w:rsid w:val="000E3D47"/>
    <w:rsid w:val="000E4170"/>
    <w:rsid w:val="000E426A"/>
    <w:rsid w:val="000E4596"/>
    <w:rsid w:val="000E6050"/>
    <w:rsid w:val="000E6260"/>
    <w:rsid w:val="000E674A"/>
    <w:rsid w:val="000E73F8"/>
    <w:rsid w:val="000F2111"/>
    <w:rsid w:val="000F22AE"/>
    <w:rsid w:val="000F3C70"/>
    <w:rsid w:val="000F5021"/>
    <w:rsid w:val="000F56BB"/>
    <w:rsid w:val="000F683B"/>
    <w:rsid w:val="000F7CB1"/>
    <w:rsid w:val="000F7FB8"/>
    <w:rsid w:val="00100641"/>
    <w:rsid w:val="00100EC0"/>
    <w:rsid w:val="001018E1"/>
    <w:rsid w:val="00101D09"/>
    <w:rsid w:val="00104A7F"/>
    <w:rsid w:val="00104AB8"/>
    <w:rsid w:val="00105BFA"/>
    <w:rsid w:val="00105D8D"/>
    <w:rsid w:val="00106B78"/>
    <w:rsid w:val="00111835"/>
    <w:rsid w:val="00111AC0"/>
    <w:rsid w:val="001121D2"/>
    <w:rsid w:val="00112502"/>
    <w:rsid w:val="00112B79"/>
    <w:rsid w:val="001135CF"/>
    <w:rsid w:val="001136A0"/>
    <w:rsid w:val="001150C4"/>
    <w:rsid w:val="00115448"/>
    <w:rsid w:val="00115CBA"/>
    <w:rsid w:val="001176B4"/>
    <w:rsid w:val="00122DE0"/>
    <w:rsid w:val="00123AF7"/>
    <w:rsid w:val="001250A4"/>
    <w:rsid w:val="001251D2"/>
    <w:rsid w:val="001274D7"/>
    <w:rsid w:val="001305C0"/>
    <w:rsid w:val="00130873"/>
    <w:rsid w:val="00130C66"/>
    <w:rsid w:val="001355B8"/>
    <w:rsid w:val="00135C18"/>
    <w:rsid w:val="00136F54"/>
    <w:rsid w:val="001409A8"/>
    <w:rsid w:val="00140A13"/>
    <w:rsid w:val="00140F47"/>
    <w:rsid w:val="0014117B"/>
    <w:rsid w:val="0014235D"/>
    <w:rsid w:val="001425C9"/>
    <w:rsid w:val="0014430D"/>
    <w:rsid w:val="0014503E"/>
    <w:rsid w:val="001453B6"/>
    <w:rsid w:val="00145807"/>
    <w:rsid w:val="00145A2B"/>
    <w:rsid w:val="00151499"/>
    <w:rsid w:val="0015166F"/>
    <w:rsid w:val="00151D59"/>
    <w:rsid w:val="001535F5"/>
    <w:rsid w:val="001539A5"/>
    <w:rsid w:val="0015420E"/>
    <w:rsid w:val="00154737"/>
    <w:rsid w:val="00155481"/>
    <w:rsid w:val="00155770"/>
    <w:rsid w:val="0015612B"/>
    <w:rsid w:val="00157462"/>
    <w:rsid w:val="001620B6"/>
    <w:rsid w:val="00162625"/>
    <w:rsid w:val="00162D4B"/>
    <w:rsid w:val="00162DCB"/>
    <w:rsid w:val="001643B1"/>
    <w:rsid w:val="0016560B"/>
    <w:rsid w:val="00167172"/>
    <w:rsid w:val="001676A0"/>
    <w:rsid w:val="00167A73"/>
    <w:rsid w:val="00171B4D"/>
    <w:rsid w:val="00171F58"/>
    <w:rsid w:val="00172A27"/>
    <w:rsid w:val="00173815"/>
    <w:rsid w:val="00173E19"/>
    <w:rsid w:val="0017505F"/>
    <w:rsid w:val="00175F3F"/>
    <w:rsid w:val="001760B5"/>
    <w:rsid w:val="00176F7A"/>
    <w:rsid w:val="00176FFC"/>
    <w:rsid w:val="001772B9"/>
    <w:rsid w:val="00180F3B"/>
    <w:rsid w:val="0018131E"/>
    <w:rsid w:val="00182116"/>
    <w:rsid w:val="00182FCB"/>
    <w:rsid w:val="0018374C"/>
    <w:rsid w:val="00184192"/>
    <w:rsid w:val="001847C8"/>
    <w:rsid w:val="0018484E"/>
    <w:rsid w:val="00185E54"/>
    <w:rsid w:val="00185E8D"/>
    <w:rsid w:val="001861FB"/>
    <w:rsid w:val="00186E82"/>
    <w:rsid w:val="001870BD"/>
    <w:rsid w:val="00187553"/>
    <w:rsid w:val="00187C9F"/>
    <w:rsid w:val="00187E2A"/>
    <w:rsid w:val="00190214"/>
    <w:rsid w:val="00190D8C"/>
    <w:rsid w:val="00192017"/>
    <w:rsid w:val="00192A2D"/>
    <w:rsid w:val="0019496F"/>
    <w:rsid w:val="001A0F51"/>
    <w:rsid w:val="001A1326"/>
    <w:rsid w:val="001A1E4B"/>
    <w:rsid w:val="001A313E"/>
    <w:rsid w:val="001A3F3A"/>
    <w:rsid w:val="001A3F79"/>
    <w:rsid w:val="001A504D"/>
    <w:rsid w:val="001A509F"/>
    <w:rsid w:val="001A6092"/>
    <w:rsid w:val="001A609C"/>
    <w:rsid w:val="001A6299"/>
    <w:rsid w:val="001A7036"/>
    <w:rsid w:val="001B0E95"/>
    <w:rsid w:val="001B2E0C"/>
    <w:rsid w:val="001B4275"/>
    <w:rsid w:val="001B7F43"/>
    <w:rsid w:val="001C2716"/>
    <w:rsid w:val="001C29B3"/>
    <w:rsid w:val="001C2BB3"/>
    <w:rsid w:val="001C5BB8"/>
    <w:rsid w:val="001C79E2"/>
    <w:rsid w:val="001C7C93"/>
    <w:rsid w:val="001D1331"/>
    <w:rsid w:val="001D227C"/>
    <w:rsid w:val="001D3991"/>
    <w:rsid w:val="001D4CD2"/>
    <w:rsid w:val="001E0FB9"/>
    <w:rsid w:val="001E15D0"/>
    <w:rsid w:val="001E2EB7"/>
    <w:rsid w:val="001E5CDF"/>
    <w:rsid w:val="001E6733"/>
    <w:rsid w:val="001E6998"/>
    <w:rsid w:val="001E6A66"/>
    <w:rsid w:val="001E73A8"/>
    <w:rsid w:val="001F0D2F"/>
    <w:rsid w:val="001F0E5E"/>
    <w:rsid w:val="001F0ED3"/>
    <w:rsid w:val="001F1A4E"/>
    <w:rsid w:val="001F1A6C"/>
    <w:rsid w:val="001F436C"/>
    <w:rsid w:val="001F5024"/>
    <w:rsid w:val="001F5E11"/>
    <w:rsid w:val="001F5E49"/>
    <w:rsid w:val="001F6EF2"/>
    <w:rsid w:val="001F7354"/>
    <w:rsid w:val="001F7447"/>
    <w:rsid w:val="00201AEB"/>
    <w:rsid w:val="0020248A"/>
    <w:rsid w:val="0020248F"/>
    <w:rsid w:val="00202DE1"/>
    <w:rsid w:val="00203A58"/>
    <w:rsid w:val="00205264"/>
    <w:rsid w:val="00205890"/>
    <w:rsid w:val="00205CB2"/>
    <w:rsid w:val="00207434"/>
    <w:rsid w:val="00207CBF"/>
    <w:rsid w:val="00211548"/>
    <w:rsid w:val="00211D2A"/>
    <w:rsid w:val="0021309F"/>
    <w:rsid w:val="00213B3D"/>
    <w:rsid w:val="00213C9C"/>
    <w:rsid w:val="002156D5"/>
    <w:rsid w:val="00215998"/>
    <w:rsid w:val="00217D92"/>
    <w:rsid w:val="00220423"/>
    <w:rsid w:val="00220FD3"/>
    <w:rsid w:val="0022219B"/>
    <w:rsid w:val="00222CFC"/>
    <w:rsid w:val="002230F2"/>
    <w:rsid w:val="002239DD"/>
    <w:rsid w:val="002270FF"/>
    <w:rsid w:val="00230926"/>
    <w:rsid w:val="00230C79"/>
    <w:rsid w:val="00230E39"/>
    <w:rsid w:val="0023141C"/>
    <w:rsid w:val="002332B6"/>
    <w:rsid w:val="00233591"/>
    <w:rsid w:val="0023478D"/>
    <w:rsid w:val="00234CBD"/>
    <w:rsid w:val="00235F54"/>
    <w:rsid w:val="00236AE3"/>
    <w:rsid w:val="00241FCC"/>
    <w:rsid w:val="00241FFF"/>
    <w:rsid w:val="00242077"/>
    <w:rsid w:val="00242622"/>
    <w:rsid w:val="00242BD7"/>
    <w:rsid w:val="00242D6F"/>
    <w:rsid w:val="002441E2"/>
    <w:rsid w:val="00244FFB"/>
    <w:rsid w:val="002454B4"/>
    <w:rsid w:val="00245510"/>
    <w:rsid w:val="002455B2"/>
    <w:rsid w:val="0024585D"/>
    <w:rsid w:val="002468CF"/>
    <w:rsid w:val="002468F7"/>
    <w:rsid w:val="00246D25"/>
    <w:rsid w:val="00247180"/>
    <w:rsid w:val="00247E42"/>
    <w:rsid w:val="0025054D"/>
    <w:rsid w:val="00251B6B"/>
    <w:rsid w:val="0025274D"/>
    <w:rsid w:val="00254DFC"/>
    <w:rsid w:val="00254E16"/>
    <w:rsid w:val="0025567D"/>
    <w:rsid w:val="002603F6"/>
    <w:rsid w:val="00260981"/>
    <w:rsid w:val="0026115F"/>
    <w:rsid w:val="00261739"/>
    <w:rsid w:val="002623B6"/>
    <w:rsid w:val="00262CB0"/>
    <w:rsid w:val="0026362E"/>
    <w:rsid w:val="00266E6A"/>
    <w:rsid w:val="00271F7A"/>
    <w:rsid w:val="00274034"/>
    <w:rsid w:val="0027435E"/>
    <w:rsid w:val="0027488D"/>
    <w:rsid w:val="00274F2E"/>
    <w:rsid w:val="00276163"/>
    <w:rsid w:val="00277088"/>
    <w:rsid w:val="002771C6"/>
    <w:rsid w:val="00280E27"/>
    <w:rsid w:val="002813FE"/>
    <w:rsid w:val="00281DA6"/>
    <w:rsid w:val="0028306A"/>
    <w:rsid w:val="00283267"/>
    <w:rsid w:val="0028385B"/>
    <w:rsid w:val="00284161"/>
    <w:rsid w:val="0028589B"/>
    <w:rsid w:val="00286216"/>
    <w:rsid w:val="00290212"/>
    <w:rsid w:val="00291780"/>
    <w:rsid w:val="00291FFF"/>
    <w:rsid w:val="002929B3"/>
    <w:rsid w:val="00297B41"/>
    <w:rsid w:val="002A11C2"/>
    <w:rsid w:val="002A12DC"/>
    <w:rsid w:val="002A1718"/>
    <w:rsid w:val="002A17CD"/>
    <w:rsid w:val="002A1830"/>
    <w:rsid w:val="002A20F1"/>
    <w:rsid w:val="002A4B3B"/>
    <w:rsid w:val="002A52AA"/>
    <w:rsid w:val="002A7B42"/>
    <w:rsid w:val="002B12E3"/>
    <w:rsid w:val="002B14EF"/>
    <w:rsid w:val="002B3089"/>
    <w:rsid w:val="002B3851"/>
    <w:rsid w:val="002B4AB0"/>
    <w:rsid w:val="002B5508"/>
    <w:rsid w:val="002B5E63"/>
    <w:rsid w:val="002B7DBE"/>
    <w:rsid w:val="002C0D6C"/>
    <w:rsid w:val="002C3883"/>
    <w:rsid w:val="002C3D4D"/>
    <w:rsid w:val="002C5C92"/>
    <w:rsid w:val="002C72E0"/>
    <w:rsid w:val="002C7526"/>
    <w:rsid w:val="002D0EFF"/>
    <w:rsid w:val="002D12E2"/>
    <w:rsid w:val="002D1AA9"/>
    <w:rsid w:val="002D22A7"/>
    <w:rsid w:val="002D280B"/>
    <w:rsid w:val="002D34A1"/>
    <w:rsid w:val="002D355F"/>
    <w:rsid w:val="002D5457"/>
    <w:rsid w:val="002D5DE1"/>
    <w:rsid w:val="002D75F0"/>
    <w:rsid w:val="002E0137"/>
    <w:rsid w:val="002E1A24"/>
    <w:rsid w:val="002E4D91"/>
    <w:rsid w:val="002E52E8"/>
    <w:rsid w:val="002E5A32"/>
    <w:rsid w:val="002E626B"/>
    <w:rsid w:val="002E70A2"/>
    <w:rsid w:val="002E79DD"/>
    <w:rsid w:val="002F25A8"/>
    <w:rsid w:val="002F3A6D"/>
    <w:rsid w:val="002F4561"/>
    <w:rsid w:val="002F5575"/>
    <w:rsid w:val="002F59A8"/>
    <w:rsid w:val="002F5B88"/>
    <w:rsid w:val="002F6B75"/>
    <w:rsid w:val="002F6E84"/>
    <w:rsid w:val="002F77E4"/>
    <w:rsid w:val="0030003D"/>
    <w:rsid w:val="0030023E"/>
    <w:rsid w:val="00300633"/>
    <w:rsid w:val="003008A0"/>
    <w:rsid w:val="00302598"/>
    <w:rsid w:val="00302AA7"/>
    <w:rsid w:val="00303601"/>
    <w:rsid w:val="00303BBB"/>
    <w:rsid w:val="00304761"/>
    <w:rsid w:val="003055A1"/>
    <w:rsid w:val="0030586A"/>
    <w:rsid w:val="0030627A"/>
    <w:rsid w:val="00306DD7"/>
    <w:rsid w:val="0030756D"/>
    <w:rsid w:val="00307F03"/>
    <w:rsid w:val="00310948"/>
    <w:rsid w:val="00311474"/>
    <w:rsid w:val="00313443"/>
    <w:rsid w:val="00313548"/>
    <w:rsid w:val="00315464"/>
    <w:rsid w:val="00315CCB"/>
    <w:rsid w:val="003178BE"/>
    <w:rsid w:val="003207AC"/>
    <w:rsid w:val="00320DDF"/>
    <w:rsid w:val="00320F00"/>
    <w:rsid w:val="003233A5"/>
    <w:rsid w:val="00324519"/>
    <w:rsid w:val="0032598F"/>
    <w:rsid w:val="00326D0B"/>
    <w:rsid w:val="0032711E"/>
    <w:rsid w:val="003275F6"/>
    <w:rsid w:val="00327704"/>
    <w:rsid w:val="00330C9E"/>
    <w:rsid w:val="00331743"/>
    <w:rsid w:val="0033189E"/>
    <w:rsid w:val="0033298F"/>
    <w:rsid w:val="00332F9A"/>
    <w:rsid w:val="003330D9"/>
    <w:rsid w:val="00333877"/>
    <w:rsid w:val="003352EE"/>
    <w:rsid w:val="00336CC1"/>
    <w:rsid w:val="00337201"/>
    <w:rsid w:val="00340067"/>
    <w:rsid w:val="00342455"/>
    <w:rsid w:val="00343D81"/>
    <w:rsid w:val="00344F5F"/>
    <w:rsid w:val="00345575"/>
    <w:rsid w:val="0034621B"/>
    <w:rsid w:val="0034688D"/>
    <w:rsid w:val="00347DC4"/>
    <w:rsid w:val="00347F52"/>
    <w:rsid w:val="00351528"/>
    <w:rsid w:val="00351B0E"/>
    <w:rsid w:val="003523E8"/>
    <w:rsid w:val="00353D31"/>
    <w:rsid w:val="003540D3"/>
    <w:rsid w:val="0035623A"/>
    <w:rsid w:val="00356B46"/>
    <w:rsid w:val="00356B72"/>
    <w:rsid w:val="00357664"/>
    <w:rsid w:val="00360E9F"/>
    <w:rsid w:val="0036148C"/>
    <w:rsid w:val="00362409"/>
    <w:rsid w:val="00362595"/>
    <w:rsid w:val="00362FE3"/>
    <w:rsid w:val="003633C3"/>
    <w:rsid w:val="00363670"/>
    <w:rsid w:val="0036371A"/>
    <w:rsid w:val="00365F3E"/>
    <w:rsid w:val="0036623A"/>
    <w:rsid w:val="0036649C"/>
    <w:rsid w:val="00370746"/>
    <w:rsid w:val="00370E19"/>
    <w:rsid w:val="003715E9"/>
    <w:rsid w:val="0037201C"/>
    <w:rsid w:val="00373F4D"/>
    <w:rsid w:val="003748DB"/>
    <w:rsid w:val="00374AFA"/>
    <w:rsid w:val="0037525F"/>
    <w:rsid w:val="003753B1"/>
    <w:rsid w:val="00375680"/>
    <w:rsid w:val="00375D1B"/>
    <w:rsid w:val="0037753E"/>
    <w:rsid w:val="00381C7E"/>
    <w:rsid w:val="00382E6E"/>
    <w:rsid w:val="0038477D"/>
    <w:rsid w:val="0038481A"/>
    <w:rsid w:val="00384DEF"/>
    <w:rsid w:val="003853D3"/>
    <w:rsid w:val="00385CDB"/>
    <w:rsid w:val="00385DE7"/>
    <w:rsid w:val="00387603"/>
    <w:rsid w:val="0038799D"/>
    <w:rsid w:val="00390159"/>
    <w:rsid w:val="00390441"/>
    <w:rsid w:val="0039142E"/>
    <w:rsid w:val="00392416"/>
    <w:rsid w:val="00394C55"/>
    <w:rsid w:val="00395FA7"/>
    <w:rsid w:val="0039696F"/>
    <w:rsid w:val="00397361"/>
    <w:rsid w:val="00397E38"/>
    <w:rsid w:val="003A0265"/>
    <w:rsid w:val="003A1C0B"/>
    <w:rsid w:val="003A2B1F"/>
    <w:rsid w:val="003A30BC"/>
    <w:rsid w:val="003A396D"/>
    <w:rsid w:val="003A44C0"/>
    <w:rsid w:val="003A6065"/>
    <w:rsid w:val="003A65C5"/>
    <w:rsid w:val="003B1C2D"/>
    <w:rsid w:val="003B3B19"/>
    <w:rsid w:val="003B52A5"/>
    <w:rsid w:val="003B5610"/>
    <w:rsid w:val="003B5870"/>
    <w:rsid w:val="003B58D7"/>
    <w:rsid w:val="003B64F7"/>
    <w:rsid w:val="003B7A6B"/>
    <w:rsid w:val="003C095B"/>
    <w:rsid w:val="003C0F59"/>
    <w:rsid w:val="003C0FA6"/>
    <w:rsid w:val="003C184F"/>
    <w:rsid w:val="003C18EB"/>
    <w:rsid w:val="003C19BF"/>
    <w:rsid w:val="003C1A1B"/>
    <w:rsid w:val="003C2632"/>
    <w:rsid w:val="003C326E"/>
    <w:rsid w:val="003C49FD"/>
    <w:rsid w:val="003C62AD"/>
    <w:rsid w:val="003C6DB6"/>
    <w:rsid w:val="003C72E0"/>
    <w:rsid w:val="003D0C4D"/>
    <w:rsid w:val="003D1503"/>
    <w:rsid w:val="003D175E"/>
    <w:rsid w:val="003D2AE5"/>
    <w:rsid w:val="003D2E79"/>
    <w:rsid w:val="003D2E8B"/>
    <w:rsid w:val="003D459A"/>
    <w:rsid w:val="003D4FCB"/>
    <w:rsid w:val="003D536C"/>
    <w:rsid w:val="003D5582"/>
    <w:rsid w:val="003D59D8"/>
    <w:rsid w:val="003D6D19"/>
    <w:rsid w:val="003E225A"/>
    <w:rsid w:val="003E2553"/>
    <w:rsid w:val="003E36A7"/>
    <w:rsid w:val="003E371B"/>
    <w:rsid w:val="003E3F61"/>
    <w:rsid w:val="003E4314"/>
    <w:rsid w:val="003E4C7A"/>
    <w:rsid w:val="003E6885"/>
    <w:rsid w:val="003F2004"/>
    <w:rsid w:val="003F2620"/>
    <w:rsid w:val="003F38A1"/>
    <w:rsid w:val="003F3C38"/>
    <w:rsid w:val="003F4340"/>
    <w:rsid w:val="003F5759"/>
    <w:rsid w:val="003F57E5"/>
    <w:rsid w:val="003F5D13"/>
    <w:rsid w:val="003F6E9C"/>
    <w:rsid w:val="003F73DD"/>
    <w:rsid w:val="003F7CFD"/>
    <w:rsid w:val="003F7D0D"/>
    <w:rsid w:val="00403353"/>
    <w:rsid w:val="004046EC"/>
    <w:rsid w:val="00405261"/>
    <w:rsid w:val="00407606"/>
    <w:rsid w:val="004104A7"/>
    <w:rsid w:val="00410967"/>
    <w:rsid w:val="004116B1"/>
    <w:rsid w:val="00412384"/>
    <w:rsid w:val="004131FB"/>
    <w:rsid w:val="0041478E"/>
    <w:rsid w:val="00414A75"/>
    <w:rsid w:val="004173E3"/>
    <w:rsid w:val="00417556"/>
    <w:rsid w:val="00420BEE"/>
    <w:rsid w:val="00421964"/>
    <w:rsid w:val="00421FAA"/>
    <w:rsid w:val="00422A80"/>
    <w:rsid w:val="0042354B"/>
    <w:rsid w:val="00423CDE"/>
    <w:rsid w:val="0042410D"/>
    <w:rsid w:val="0042428F"/>
    <w:rsid w:val="0042648E"/>
    <w:rsid w:val="00426813"/>
    <w:rsid w:val="004271B3"/>
    <w:rsid w:val="00427A6C"/>
    <w:rsid w:val="0043122C"/>
    <w:rsid w:val="00433DC1"/>
    <w:rsid w:val="004343E0"/>
    <w:rsid w:val="0043554E"/>
    <w:rsid w:val="00435AED"/>
    <w:rsid w:val="00436204"/>
    <w:rsid w:val="00436879"/>
    <w:rsid w:val="0043709E"/>
    <w:rsid w:val="00440741"/>
    <w:rsid w:val="004408DB"/>
    <w:rsid w:val="00442EE8"/>
    <w:rsid w:val="00443577"/>
    <w:rsid w:val="00443841"/>
    <w:rsid w:val="00443858"/>
    <w:rsid w:val="00444005"/>
    <w:rsid w:val="00445CE3"/>
    <w:rsid w:val="00446436"/>
    <w:rsid w:val="00447121"/>
    <w:rsid w:val="00447449"/>
    <w:rsid w:val="00451C1D"/>
    <w:rsid w:val="00452381"/>
    <w:rsid w:val="00452540"/>
    <w:rsid w:val="00452AAE"/>
    <w:rsid w:val="0045337B"/>
    <w:rsid w:val="004541FF"/>
    <w:rsid w:val="00455E8C"/>
    <w:rsid w:val="00455F96"/>
    <w:rsid w:val="0045661F"/>
    <w:rsid w:val="00456962"/>
    <w:rsid w:val="00456B9C"/>
    <w:rsid w:val="00457758"/>
    <w:rsid w:val="004579E0"/>
    <w:rsid w:val="00457A09"/>
    <w:rsid w:val="00460693"/>
    <w:rsid w:val="0046148C"/>
    <w:rsid w:val="00463814"/>
    <w:rsid w:val="004638B4"/>
    <w:rsid w:val="00463C12"/>
    <w:rsid w:val="00464CB3"/>
    <w:rsid w:val="004655E4"/>
    <w:rsid w:val="00466597"/>
    <w:rsid w:val="004678CF"/>
    <w:rsid w:val="004703BC"/>
    <w:rsid w:val="00470885"/>
    <w:rsid w:val="0047100A"/>
    <w:rsid w:val="00471427"/>
    <w:rsid w:val="00471A3A"/>
    <w:rsid w:val="00471A3C"/>
    <w:rsid w:val="00471CDB"/>
    <w:rsid w:val="00472206"/>
    <w:rsid w:val="00473FB5"/>
    <w:rsid w:val="004745BC"/>
    <w:rsid w:val="00474D1E"/>
    <w:rsid w:val="00474FE1"/>
    <w:rsid w:val="00477DF8"/>
    <w:rsid w:val="0048052A"/>
    <w:rsid w:val="00480D74"/>
    <w:rsid w:val="004815F5"/>
    <w:rsid w:val="00481F2A"/>
    <w:rsid w:val="00484568"/>
    <w:rsid w:val="00485A2F"/>
    <w:rsid w:val="00485D57"/>
    <w:rsid w:val="00485D9E"/>
    <w:rsid w:val="004909E9"/>
    <w:rsid w:val="004918D9"/>
    <w:rsid w:val="00492145"/>
    <w:rsid w:val="004938A4"/>
    <w:rsid w:val="00493F95"/>
    <w:rsid w:val="00494F80"/>
    <w:rsid w:val="00495094"/>
    <w:rsid w:val="00495381"/>
    <w:rsid w:val="004972AE"/>
    <w:rsid w:val="004A0AF9"/>
    <w:rsid w:val="004A0FD7"/>
    <w:rsid w:val="004A18BE"/>
    <w:rsid w:val="004A19B7"/>
    <w:rsid w:val="004A209B"/>
    <w:rsid w:val="004A2390"/>
    <w:rsid w:val="004A26AA"/>
    <w:rsid w:val="004A2A02"/>
    <w:rsid w:val="004A3AC9"/>
    <w:rsid w:val="004A41AD"/>
    <w:rsid w:val="004A5042"/>
    <w:rsid w:val="004A5467"/>
    <w:rsid w:val="004A6F80"/>
    <w:rsid w:val="004A6FB1"/>
    <w:rsid w:val="004B0393"/>
    <w:rsid w:val="004B470B"/>
    <w:rsid w:val="004B6667"/>
    <w:rsid w:val="004B79C5"/>
    <w:rsid w:val="004C0B2F"/>
    <w:rsid w:val="004C20FD"/>
    <w:rsid w:val="004C2A72"/>
    <w:rsid w:val="004C32E2"/>
    <w:rsid w:val="004C3CFC"/>
    <w:rsid w:val="004C3FE8"/>
    <w:rsid w:val="004C4A46"/>
    <w:rsid w:val="004C6D6E"/>
    <w:rsid w:val="004C735B"/>
    <w:rsid w:val="004D013F"/>
    <w:rsid w:val="004D0D2D"/>
    <w:rsid w:val="004D1E9F"/>
    <w:rsid w:val="004D4570"/>
    <w:rsid w:val="004D5C4D"/>
    <w:rsid w:val="004D620F"/>
    <w:rsid w:val="004D7057"/>
    <w:rsid w:val="004E0081"/>
    <w:rsid w:val="004E010D"/>
    <w:rsid w:val="004E0F76"/>
    <w:rsid w:val="004E1DED"/>
    <w:rsid w:val="004E21D4"/>
    <w:rsid w:val="004E249B"/>
    <w:rsid w:val="004E2BA0"/>
    <w:rsid w:val="004E2C3D"/>
    <w:rsid w:val="004E3037"/>
    <w:rsid w:val="004E37A6"/>
    <w:rsid w:val="004E39AF"/>
    <w:rsid w:val="004E62D8"/>
    <w:rsid w:val="004E6D87"/>
    <w:rsid w:val="004E7CA4"/>
    <w:rsid w:val="004E7CBE"/>
    <w:rsid w:val="004F0AB9"/>
    <w:rsid w:val="004F287C"/>
    <w:rsid w:val="004F3C0A"/>
    <w:rsid w:val="004F4E64"/>
    <w:rsid w:val="004F5E75"/>
    <w:rsid w:val="004F65B9"/>
    <w:rsid w:val="004F741C"/>
    <w:rsid w:val="005012A0"/>
    <w:rsid w:val="00501F8A"/>
    <w:rsid w:val="00502140"/>
    <w:rsid w:val="005025C0"/>
    <w:rsid w:val="00502B41"/>
    <w:rsid w:val="005035B3"/>
    <w:rsid w:val="00504177"/>
    <w:rsid w:val="005050FA"/>
    <w:rsid w:val="005052F1"/>
    <w:rsid w:val="0050568F"/>
    <w:rsid w:val="00505E73"/>
    <w:rsid w:val="00510BA8"/>
    <w:rsid w:val="00512625"/>
    <w:rsid w:val="00514834"/>
    <w:rsid w:val="00514DBA"/>
    <w:rsid w:val="005163DC"/>
    <w:rsid w:val="00516738"/>
    <w:rsid w:val="005167AC"/>
    <w:rsid w:val="00520E0C"/>
    <w:rsid w:val="005221CA"/>
    <w:rsid w:val="00522B73"/>
    <w:rsid w:val="00522D30"/>
    <w:rsid w:val="005230C9"/>
    <w:rsid w:val="00523BFA"/>
    <w:rsid w:val="00525921"/>
    <w:rsid w:val="00526BB9"/>
    <w:rsid w:val="00526F49"/>
    <w:rsid w:val="0052708F"/>
    <w:rsid w:val="0052746F"/>
    <w:rsid w:val="005277E7"/>
    <w:rsid w:val="00527B82"/>
    <w:rsid w:val="0053095C"/>
    <w:rsid w:val="00531E35"/>
    <w:rsid w:val="00532266"/>
    <w:rsid w:val="005322B8"/>
    <w:rsid w:val="005322E3"/>
    <w:rsid w:val="00535025"/>
    <w:rsid w:val="005367D0"/>
    <w:rsid w:val="00537993"/>
    <w:rsid w:val="00537D7E"/>
    <w:rsid w:val="00540A4C"/>
    <w:rsid w:val="005411F5"/>
    <w:rsid w:val="00541F2D"/>
    <w:rsid w:val="00545989"/>
    <w:rsid w:val="00545D56"/>
    <w:rsid w:val="00545E23"/>
    <w:rsid w:val="00545F5D"/>
    <w:rsid w:val="005474DB"/>
    <w:rsid w:val="005508C9"/>
    <w:rsid w:val="00550E2A"/>
    <w:rsid w:val="005529E7"/>
    <w:rsid w:val="00552A94"/>
    <w:rsid w:val="00552E95"/>
    <w:rsid w:val="005538BB"/>
    <w:rsid w:val="00555316"/>
    <w:rsid w:val="00556A68"/>
    <w:rsid w:val="00556D17"/>
    <w:rsid w:val="00557A4B"/>
    <w:rsid w:val="005610EA"/>
    <w:rsid w:val="00563325"/>
    <w:rsid w:val="00563E06"/>
    <w:rsid w:val="005646CD"/>
    <w:rsid w:val="005652B8"/>
    <w:rsid w:val="005659B5"/>
    <w:rsid w:val="00565A45"/>
    <w:rsid w:val="0056785C"/>
    <w:rsid w:val="00567B46"/>
    <w:rsid w:val="00571726"/>
    <w:rsid w:val="00571FFB"/>
    <w:rsid w:val="005721EA"/>
    <w:rsid w:val="005726DF"/>
    <w:rsid w:val="00572AC4"/>
    <w:rsid w:val="005742A1"/>
    <w:rsid w:val="00574F9A"/>
    <w:rsid w:val="00576070"/>
    <w:rsid w:val="005761A1"/>
    <w:rsid w:val="00576578"/>
    <w:rsid w:val="00576933"/>
    <w:rsid w:val="00576A5E"/>
    <w:rsid w:val="00576C2F"/>
    <w:rsid w:val="00576E84"/>
    <w:rsid w:val="00577895"/>
    <w:rsid w:val="00580098"/>
    <w:rsid w:val="005815DB"/>
    <w:rsid w:val="00582CED"/>
    <w:rsid w:val="00583FC3"/>
    <w:rsid w:val="00583FC5"/>
    <w:rsid w:val="0058440E"/>
    <w:rsid w:val="005845CC"/>
    <w:rsid w:val="00585103"/>
    <w:rsid w:val="0058514E"/>
    <w:rsid w:val="00585B37"/>
    <w:rsid w:val="00585CF6"/>
    <w:rsid w:val="005861DD"/>
    <w:rsid w:val="005864D8"/>
    <w:rsid w:val="00591B45"/>
    <w:rsid w:val="00593802"/>
    <w:rsid w:val="00593BC8"/>
    <w:rsid w:val="005940B5"/>
    <w:rsid w:val="00594E5A"/>
    <w:rsid w:val="00595A33"/>
    <w:rsid w:val="00596C3B"/>
    <w:rsid w:val="00596FEF"/>
    <w:rsid w:val="00597169"/>
    <w:rsid w:val="005A08B7"/>
    <w:rsid w:val="005A1495"/>
    <w:rsid w:val="005A1927"/>
    <w:rsid w:val="005A2992"/>
    <w:rsid w:val="005A36AA"/>
    <w:rsid w:val="005A6DC4"/>
    <w:rsid w:val="005A7CE2"/>
    <w:rsid w:val="005B2720"/>
    <w:rsid w:val="005B2AE3"/>
    <w:rsid w:val="005B41CE"/>
    <w:rsid w:val="005B48A1"/>
    <w:rsid w:val="005B4AD6"/>
    <w:rsid w:val="005B4BC3"/>
    <w:rsid w:val="005B4EB1"/>
    <w:rsid w:val="005B5A39"/>
    <w:rsid w:val="005B5AD1"/>
    <w:rsid w:val="005B5D0C"/>
    <w:rsid w:val="005B690D"/>
    <w:rsid w:val="005B6DFB"/>
    <w:rsid w:val="005B7786"/>
    <w:rsid w:val="005C02E2"/>
    <w:rsid w:val="005C0A52"/>
    <w:rsid w:val="005C13DD"/>
    <w:rsid w:val="005C148E"/>
    <w:rsid w:val="005C1E60"/>
    <w:rsid w:val="005C1EE2"/>
    <w:rsid w:val="005C2358"/>
    <w:rsid w:val="005C2720"/>
    <w:rsid w:val="005C27F6"/>
    <w:rsid w:val="005C2DC4"/>
    <w:rsid w:val="005C3F93"/>
    <w:rsid w:val="005C470B"/>
    <w:rsid w:val="005C5037"/>
    <w:rsid w:val="005C529A"/>
    <w:rsid w:val="005C714F"/>
    <w:rsid w:val="005C71AB"/>
    <w:rsid w:val="005C7AF9"/>
    <w:rsid w:val="005D0830"/>
    <w:rsid w:val="005D10FB"/>
    <w:rsid w:val="005D1FCC"/>
    <w:rsid w:val="005D20AD"/>
    <w:rsid w:val="005D24D8"/>
    <w:rsid w:val="005D2DA1"/>
    <w:rsid w:val="005D35CC"/>
    <w:rsid w:val="005D4010"/>
    <w:rsid w:val="005D4A94"/>
    <w:rsid w:val="005D4D35"/>
    <w:rsid w:val="005D50A6"/>
    <w:rsid w:val="005D70D9"/>
    <w:rsid w:val="005D7383"/>
    <w:rsid w:val="005D7560"/>
    <w:rsid w:val="005E013C"/>
    <w:rsid w:val="005E0E70"/>
    <w:rsid w:val="005E19FE"/>
    <w:rsid w:val="005E2527"/>
    <w:rsid w:val="005E2F4C"/>
    <w:rsid w:val="005E354A"/>
    <w:rsid w:val="005E35C0"/>
    <w:rsid w:val="005E3A2D"/>
    <w:rsid w:val="005E68A5"/>
    <w:rsid w:val="005E6D91"/>
    <w:rsid w:val="005E7D81"/>
    <w:rsid w:val="005F0A40"/>
    <w:rsid w:val="005F1D94"/>
    <w:rsid w:val="005F2ABB"/>
    <w:rsid w:val="005F2EB5"/>
    <w:rsid w:val="005F3430"/>
    <w:rsid w:val="005F4855"/>
    <w:rsid w:val="005F4EE2"/>
    <w:rsid w:val="005F4FA9"/>
    <w:rsid w:val="005F540D"/>
    <w:rsid w:val="005F6041"/>
    <w:rsid w:val="005F60A3"/>
    <w:rsid w:val="005F66C7"/>
    <w:rsid w:val="005F72CD"/>
    <w:rsid w:val="005F776A"/>
    <w:rsid w:val="006001C0"/>
    <w:rsid w:val="00601795"/>
    <w:rsid w:val="006017D5"/>
    <w:rsid w:val="00602C97"/>
    <w:rsid w:val="006035AA"/>
    <w:rsid w:val="006052C3"/>
    <w:rsid w:val="00605A91"/>
    <w:rsid w:val="00606BC4"/>
    <w:rsid w:val="0060799F"/>
    <w:rsid w:val="00610A40"/>
    <w:rsid w:val="00610A45"/>
    <w:rsid w:val="00611AD8"/>
    <w:rsid w:val="00612728"/>
    <w:rsid w:val="00613656"/>
    <w:rsid w:val="00613B00"/>
    <w:rsid w:val="00613BE7"/>
    <w:rsid w:val="0061416A"/>
    <w:rsid w:val="00616452"/>
    <w:rsid w:val="00617199"/>
    <w:rsid w:val="006172F3"/>
    <w:rsid w:val="00617B12"/>
    <w:rsid w:val="00620606"/>
    <w:rsid w:val="006207E6"/>
    <w:rsid w:val="006211C7"/>
    <w:rsid w:val="00621554"/>
    <w:rsid w:val="006224FB"/>
    <w:rsid w:val="00622FB0"/>
    <w:rsid w:val="00622FEF"/>
    <w:rsid w:val="0062478E"/>
    <w:rsid w:val="006248CE"/>
    <w:rsid w:val="00624A5D"/>
    <w:rsid w:val="00624C96"/>
    <w:rsid w:val="00625ACC"/>
    <w:rsid w:val="00630122"/>
    <w:rsid w:val="00630393"/>
    <w:rsid w:val="00631714"/>
    <w:rsid w:val="006322BC"/>
    <w:rsid w:val="006322E9"/>
    <w:rsid w:val="006346D9"/>
    <w:rsid w:val="00636070"/>
    <w:rsid w:val="00640BF5"/>
    <w:rsid w:val="00640D78"/>
    <w:rsid w:val="00642542"/>
    <w:rsid w:val="00643353"/>
    <w:rsid w:val="00643480"/>
    <w:rsid w:val="006452E4"/>
    <w:rsid w:val="006461CA"/>
    <w:rsid w:val="00646717"/>
    <w:rsid w:val="00647732"/>
    <w:rsid w:val="00650389"/>
    <w:rsid w:val="00651BF2"/>
    <w:rsid w:val="00652FDB"/>
    <w:rsid w:val="00653153"/>
    <w:rsid w:val="00653214"/>
    <w:rsid w:val="00654A57"/>
    <w:rsid w:val="00654F6E"/>
    <w:rsid w:val="006553AD"/>
    <w:rsid w:val="00655FEA"/>
    <w:rsid w:val="00656D7B"/>
    <w:rsid w:val="006577E8"/>
    <w:rsid w:val="00661373"/>
    <w:rsid w:val="00661484"/>
    <w:rsid w:val="00661A00"/>
    <w:rsid w:val="00662B93"/>
    <w:rsid w:val="0066422D"/>
    <w:rsid w:val="00664ACA"/>
    <w:rsid w:val="00664D18"/>
    <w:rsid w:val="00665683"/>
    <w:rsid w:val="00665B13"/>
    <w:rsid w:val="00670095"/>
    <w:rsid w:val="00670285"/>
    <w:rsid w:val="00670679"/>
    <w:rsid w:val="00671897"/>
    <w:rsid w:val="00673075"/>
    <w:rsid w:val="00674E46"/>
    <w:rsid w:val="00675995"/>
    <w:rsid w:val="00677C78"/>
    <w:rsid w:val="00680363"/>
    <w:rsid w:val="00680728"/>
    <w:rsid w:val="00680CF7"/>
    <w:rsid w:val="00681DF1"/>
    <w:rsid w:val="00681EB7"/>
    <w:rsid w:val="006830E7"/>
    <w:rsid w:val="006831CD"/>
    <w:rsid w:val="00683CCA"/>
    <w:rsid w:val="00684CAF"/>
    <w:rsid w:val="006906AA"/>
    <w:rsid w:val="0069157E"/>
    <w:rsid w:val="00694E57"/>
    <w:rsid w:val="00695D5C"/>
    <w:rsid w:val="006A1B52"/>
    <w:rsid w:val="006A1D21"/>
    <w:rsid w:val="006A354D"/>
    <w:rsid w:val="006A495B"/>
    <w:rsid w:val="006A5391"/>
    <w:rsid w:val="006A541F"/>
    <w:rsid w:val="006A5D1E"/>
    <w:rsid w:val="006A617C"/>
    <w:rsid w:val="006A6A98"/>
    <w:rsid w:val="006A6C2C"/>
    <w:rsid w:val="006A6C4E"/>
    <w:rsid w:val="006A71A0"/>
    <w:rsid w:val="006A76B4"/>
    <w:rsid w:val="006A7C4C"/>
    <w:rsid w:val="006B06BC"/>
    <w:rsid w:val="006B0F13"/>
    <w:rsid w:val="006B12DB"/>
    <w:rsid w:val="006B147F"/>
    <w:rsid w:val="006B14F2"/>
    <w:rsid w:val="006B1CEC"/>
    <w:rsid w:val="006B3BC7"/>
    <w:rsid w:val="006B3F9D"/>
    <w:rsid w:val="006B406C"/>
    <w:rsid w:val="006B4766"/>
    <w:rsid w:val="006B4AAF"/>
    <w:rsid w:val="006B641A"/>
    <w:rsid w:val="006B75C6"/>
    <w:rsid w:val="006B7B8E"/>
    <w:rsid w:val="006C0159"/>
    <w:rsid w:val="006C08A1"/>
    <w:rsid w:val="006C1C5E"/>
    <w:rsid w:val="006C36EB"/>
    <w:rsid w:val="006C5F35"/>
    <w:rsid w:val="006C5FE9"/>
    <w:rsid w:val="006C6997"/>
    <w:rsid w:val="006D1930"/>
    <w:rsid w:val="006D1F42"/>
    <w:rsid w:val="006D2A36"/>
    <w:rsid w:val="006D3E2D"/>
    <w:rsid w:val="006D406F"/>
    <w:rsid w:val="006D4694"/>
    <w:rsid w:val="006D47F0"/>
    <w:rsid w:val="006D48F6"/>
    <w:rsid w:val="006D4D03"/>
    <w:rsid w:val="006D5B44"/>
    <w:rsid w:val="006D67C1"/>
    <w:rsid w:val="006D74C4"/>
    <w:rsid w:val="006E1C16"/>
    <w:rsid w:val="006E1EEA"/>
    <w:rsid w:val="006E2A8E"/>
    <w:rsid w:val="006E3E41"/>
    <w:rsid w:val="006E483C"/>
    <w:rsid w:val="006E4BCE"/>
    <w:rsid w:val="006E5D3B"/>
    <w:rsid w:val="006E68D6"/>
    <w:rsid w:val="006E6FEB"/>
    <w:rsid w:val="006E704D"/>
    <w:rsid w:val="006E7788"/>
    <w:rsid w:val="006E7C09"/>
    <w:rsid w:val="006F27F2"/>
    <w:rsid w:val="006F3528"/>
    <w:rsid w:val="006F3A0F"/>
    <w:rsid w:val="006F4220"/>
    <w:rsid w:val="006F527F"/>
    <w:rsid w:val="006F578F"/>
    <w:rsid w:val="006F5F9C"/>
    <w:rsid w:val="0070151D"/>
    <w:rsid w:val="00702417"/>
    <w:rsid w:val="0070445E"/>
    <w:rsid w:val="00704B02"/>
    <w:rsid w:val="00707408"/>
    <w:rsid w:val="00707544"/>
    <w:rsid w:val="00710572"/>
    <w:rsid w:val="00710C5E"/>
    <w:rsid w:val="00711323"/>
    <w:rsid w:val="00711649"/>
    <w:rsid w:val="00711F20"/>
    <w:rsid w:val="0071207B"/>
    <w:rsid w:val="00712DE9"/>
    <w:rsid w:val="0071389A"/>
    <w:rsid w:val="00715C11"/>
    <w:rsid w:val="00715D6A"/>
    <w:rsid w:val="00716196"/>
    <w:rsid w:val="00716933"/>
    <w:rsid w:val="00720A58"/>
    <w:rsid w:val="007220CC"/>
    <w:rsid w:val="007229CF"/>
    <w:rsid w:val="00726C5B"/>
    <w:rsid w:val="00727324"/>
    <w:rsid w:val="00727A3E"/>
    <w:rsid w:val="00733D68"/>
    <w:rsid w:val="00734266"/>
    <w:rsid w:val="00735414"/>
    <w:rsid w:val="00737BB9"/>
    <w:rsid w:val="0074096E"/>
    <w:rsid w:val="00740DD4"/>
    <w:rsid w:val="007421D5"/>
    <w:rsid w:val="00742710"/>
    <w:rsid w:val="00744005"/>
    <w:rsid w:val="00744BD9"/>
    <w:rsid w:val="00745866"/>
    <w:rsid w:val="00745996"/>
    <w:rsid w:val="00745EA4"/>
    <w:rsid w:val="007464C2"/>
    <w:rsid w:val="00746571"/>
    <w:rsid w:val="00746D96"/>
    <w:rsid w:val="00746EF9"/>
    <w:rsid w:val="00747F01"/>
    <w:rsid w:val="00752974"/>
    <w:rsid w:val="007542D6"/>
    <w:rsid w:val="00754D89"/>
    <w:rsid w:val="007579A5"/>
    <w:rsid w:val="00757D8B"/>
    <w:rsid w:val="007602AE"/>
    <w:rsid w:val="00760A9B"/>
    <w:rsid w:val="00760BED"/>
    <w:rsid w:val="007637A1"/>
    <w:rsid w:val="00763D57"/>
    <w:rsid w:val="007643B7"/>
    <w:rsid w:val="00764C14"/>
    <w:rsid w:val="007658DD"/>
    <w:rsid w:val="00765A3C"/>
    <w:rsid w:val="00765C99"/>
    <w:rsid w:val="00766295"/>
    <w:rsid w:val="00772090"/>
    <w:rsid w:val="0077244A"/>
    <w:rsid w:val="00772DD5"/>
    <w:rsid w:val="00775164"/>
    <w:rsid w:val="007754A5"/>
    <w:rsid w:val="007767C5"/>
    <w:rsid w:val="00776828"/>
    <w:rsid w:val="00780F25"/>
    <w:rsid w:val="00781E2E"/>
    <w:rsid w:val="00784185"/>
    <w:rsid w:val="00784D2C"/>
    <w:rsid w:val="00785114"/>
    <w:rsid w:val="00785ACA"/>
    <w:rsid w:val="00787527"/>
    <w:rsid w:val="00787EC2"/>
    <w:rsid w:val="00791762"/>
    <w:rsid w:val="00791944"/>
    <w:rsid w:val="00792754"/>
    <w:rsid w:val="007927DA"/>
    <w:rsid w:val="007948FA"/>
    <w:rsid w:val="007954F4"/>
    <w:rsid w:val="007957F9"/>
    <w:rsid w:val="0079669E"/>
    <w:rsid w:val="00797B3D"/>
    <w:rsid w:val="007A4EF3"/>
    <w:rsid w:val="007A5503"/>
    <w:rsid w:val="007A629F"/>
    <w:rsid w:val="007A63A7"/>
    <w:rsid w:val="007A640E"/>
    <w:rsid w:val="007B09EF"/>
    <w:rsid w:val="007B1578"/>
    <w:rsid w:val="007B1B6F"/>
    <w:rsid w:val="007B272D"/>
    <w:rsid w:val="007B44AB"/>
    <w:rsid w:val="007B5F27"/>
    <w:rsid w:val="007C0381"/>
    <w:rsid w:val="007C0AA9"/>
    <w:rsid w:val="007C1523"/>
    <w:rsid w:val="007C2C3E"/>
    <w:rsid w:val="007C2F91"/>
    <w:rsid w:val="007C353B"/>
    <w:rsid w:val="007C4790"/>
    <w:rsid w:val="007C4D53"/>
    <w:rsid w:val="007C4DBE"/>
    <w:rsid w:val="007C5008"/>
    <w:rsid w:val="007C6106"/>
    <w:rsid w:val="007C735B"/>
    <w:rsid w:val="007C7A9C"/>
    <w:rsid w:val="007D0709"/>
    <w:rsid w:val="007D0B08"/>
    <w:rsid w:val="007D3259"/>
    <w:rsid w:val="007D3645"/>
    <w:rsid w:val="007D4A8A"/>
    <w:rsid w:val="007D66CB"/>
    <w:rsid w:val="007D70A6"/>
    <w:rsid w:val="007E09E4"/>
    <w:rsid w:val="007E1356"/>
    <w:rsid w:val="007E28DA"/>
    <w:rsid w:val="007E2A75"/>
    <w:rsid w:val="007E5196"/>
    <w:rsid w:val="007E526F"/>
    <w:rsid w:val="007E553B"/>
    <w:rsid w:val="007E5B9B"/>
    <w:rsid w:val="007E662B"/>
    <w:rsid w:val="007E7E11"/>
    <w:rsid w:val="007F1F51"/>
    <w:rsid w:val="007F4222"/>
    <w:rsid w:val="007F670D"/>
    <w:rsid w:val="007F76B6"/>
    <w:rsid w:val="008014DF"/>
    <w:rsid w:val="00801B5A"/>
    <w:rsid w:val="00802E91"/>
    <w:rsid w:val="008061BA"/>
    <w:rsid w:val="00806E2D"/>
    <w:rsid w:val="0081057D"/>
    <w:rsid w:val="008107E1"/>
    <w:rsid w:val="008108A5"/>
    <w:rsid w:val="00811199"/>
    <w:rsid w:val="00811EAF"/>
    <w:rsid w:val="00812AC6"/>
    <w:rsid w:val="0081456D"/>
    <w:rsid w:val="0081459F"/>
    <w:rsid w:val="008149CB"/>
    <w:rsid w:val="00814D29"/>
    <w:rsid w:val="00816688"/>
    <w:rsid w:val="00816960"/>
    <w:rsid w:val="008208E1"/>
    <w:rsid w:val="008230D6"/>
    <w:rsid w:val="008233C5"/>
    <w:rsid w:val="008253D8"/>
    <w:rsid w:val="0082624C"/>
    <w:rsid w:val="00827592"/>
    <w:rsid w:val="00827975"/>
    <w:rsid w:val="00831686"/>
    <w:rsid w:val="00831812"/>
    <w:rsid w:val="00831964"/>
    <w:rsid w:val="00832F6D"/>
    <w:rsid w:val="00833E67"/>
    <w:rsid w:val="00834656"/>
    <w:rsid w:val="0083491F"/>
    <w:rsid w:val="00834D39"/>
    <w:rsid w:val="00834E66"/>
    <w:rsid w:val="008350E0"/>
    <w:rsid w:val="0083556A"/>
    <w:rsid w:val="00840EF0"/>
    <w:rsid w:val="0084141A"/>
    <w:rsid w:val="0084238A"/>
    <w:rsid w:val="00842D33"/>
    <w:rsid w:val="00843EAB"/>
    <w:rsid w:val="00844032"/>
    <w:rsid w:val="00844B13"/>
    <w:rsid w:val="008473B6"/>
    <w:rsid w:val="008474B3"/>
    <w:rsid w:val="00847C4D"/>
    <w:rsid w:val="00853892"/>
    <w:rsid w:val="00853F7C"/>
    <w:rsid w:val="00854087"/>
    <w:rsid w:val="00854179"/>
    <w:rsid w:val="008543CA"/>
    <w:rsid w:val="008551A4"/>
    <w:rsid w:val="00855396"/>
    <w:rsid w:val="008574E4"/>
    <w:rsid w:val="00857DCB"/>
    <w:rsid w:val="00857E8A"/>
    <w:rsid w:val="0086172E"/>
    <w:rsid w:val="0086261F"/>
    <w:rsid w:val="008630F6"/>
    <w:rsid w:val="008639EE"/>
    <w:rsid w:val="00864297"/>
    <w:rsid w:val="00864958"/>
    <w:rsid w:val="00864F59"/>
    <w:rsid w:val="00864FBD"/>
    <w:rsid w:val="00865600"/>
    <w:rsid w:val="00866427"/>
    <w:rsid w:val="0086643A"/>
    <w:rsid w:val="00866C0A"/>
    <w:rsid w:val="00867F44"/>
    <w:rsid w:val="00870C53"/>
    <w:rsid w:val="00870D8F"/>
    <w:rsid w:val="00871664"/>
    <w:rsid w:val="0087188A"/>
    <w:rsid w:val="00872272"/>
    <w:rsid w:val="008723F7"/>
    <w:rsid w:val="00872C2E"/>
    <w:rsid w:val="008736D2"/>
    <w:rsid w:val="00873C78"/>
    <w:rsid w:val="008749C5"/>
    <w:rsid w:val="00874D44"/>
    <w:rsid w:val="008759EB"/>
    <w:rsid w:val="00876462"/>
    <w:rsid w:val="008776C5"/>
    <w:rsid w:val="008776E8"/>
    <w:rsid w:val="0088095E"/>
    <w:rsid w:val="00880DC8"/>
    <w:rsid w:val="00883635"/>
    <w:rsid w:val="0088459D"/>
    <w:rsid w:val="008845C6"/>
    <w:rsid w:val="00884803"/>
    <w:rsid w:val="008873C9"/>
    <w:rsid w:val="00887B0E"/>
    <w:rsid w:val="008900E9"/>
    <w:rsid w:val="008908BB"/>
    <w:rsid w:val="00892B10"/>
    <w:rsid w:val="008942C1"/>
    <w:rsid w:val="00895146"/>
    <w:rsid w:val="00896278"/>
    <w:rsid w:val="0089642A"/>
    <w:rsid w:val="00896E5A"/>
    <w:rsid w:val="008A125D"/>
    <w:rsid w:val="008A3AC2"/>
    <w:rsid w:val="008A416B"/>
    <w:rsid w:val="008A542C"/>
    <w:rsid w:val="008A6EBD"/>
    <w:rsid w:val="008A78F6"/>
    <w:rsid w:val="008A7C1E"/>
    <w:rsid w:val="008B1CBA"/>
    <w:rsid w:val="008B2351"/>
    <w:rsid w:val="008B6CA3"/>
    <w:rsid w:val="008C12E0"/>
    <w:rsid w:val="008C13FD"/>
    <w:rsid w:val="008C1493"/>
    <w:rsid w:val="008C14CF"/>
    <w:rsid w:val="008C1632"/>
    <w:rsid w:val="008C328B"/>
    <w:rsid w:val="008C3DEA"/>
    <w:rsid w:val="008C51ED"/>
    <w:rsid w:val="008C63B0"/>
    <w:rsid w:val="008C6B80"/>
    <w:rsid w:val="008C6D12"/>
    <w:rsid w:val="008C7A7E"/>
    <w:rsid w:val="008C7D36"/>
    <w:rsid w:val="008D0550"/>
    <w:rsid w:val="008D10CC"/>
    <w:rsid w:val="008D1FFA"/>
    <w:rsid w:val="008D2BE7"/>
    <w:rsid w:val="008D2BEC"/>
    <w:rsid w:val="008D2C76"/>
    <w:rsid w:val="008D31B6"/>
    <w:rsid w:val="008D3393"/>
    <w:rsid w:val="008D3F99"/>
    <w:rsid w:val="008D478C"/>
    <w:rsid w:val="008D5121"/>
    <w:rsid w:val="008D5BE4"/>
    <w:rsid w:val="008D65E5"/>
    <w:rsid w:val="008D73B4"/>
    <w:rsid w:val="008E1F8A"/>
    <w:rsid w:val="008E22B4"/>
    <w:rsid w:val="008E3183"/>
    <w:rsid w:val="008E3D78"/>
    <w:rsid w:val="008E3E5E"/>
    <w:rsid w:val="008E3E63"/>
    <w:rsid w:val="008E41F1"/>
    <w:rsid w:val="008E55F7"/>
    <w:rsid w:val="008E5948"/>
    <w:rsid w:val="008E5EFF"/>
    <w:rsid w:val="008E63DB"/>
    <w:rsid w:val="008F12F6"/>
    <w:rsid w:val="008F1BAB"/>
    <w:rsid w:val="008F1C4F"/>
    <w:rsid w:val="008F1C76"/>
    <w:rsid w:val="008F22D2"/>
    <w:rsid w:val="008F39AD"/>
    <w:rsid w:val="008F43CE"/>
    <w:rsid w:val="008F45B8"/>
    <w:rsid w:val="008F4A29"/>
    <w:rsid w:val="008F6778"/>
    <w:rsid w:val="008F6B17"/>
    <w:rsid w:val="008F6ED9"/>
    <w:rsid w:val="008F7D3C"/>
    <w:rsid w:val="0090061B"/>
    <w:rsid w:val="00900D87"/>
    <w:rsid w:val="0090110E"/>
    <w:rsid w:val="00901B4D"/>
    <w:rsid w:val="00902668"/>
    <w:rsid w:val="009028E9"/>
    <w:rsid w:val="009046BC"/>
    <w:rsid w:val="00904A4C"/>
    <w:rsid w:val="00904CE1"/>
    <w:rsid w:val="0090600E"/>
    <w:rsid w:val="009066AA"/>
    <w:rsid w:val="009073E5"/>
    <w:rsid w:val="00910F80"/>
    <w:rsid w:val="00911EAA"/>
    <w:rsid w:val="00912BC1"/>
    <w:rsid w:val="0091370E"/>
    <w:rsid w:val="009137C0"/>
    <w:rsid w:val="00915645"/>
    <w:rsid w:val="009162DC"/>
    <w:rsid w:val="00917AE2"/>
    <w:rsid w:val="009203A3"/>
    <w:rsid w:val="00920655"/>
    <w:rsid w:val="00921A3A"/>
    <w:rsid w:val="00922718"/>
    <w:rsid w:val="009235AA"/>
    <w:rsid w:val="00923997"/>
    <w:rsid w:val="009246B9"/>
    <w:rsid w:val="009279E7"/>
    <w:rsid w:val="00930396"/>
    <w:rsid w:val="009306BC"/>
    <w:rsid w:val="00931CD1"/>
    <w:rsid w:val="00932176"/>
    <w:rsid w:val="0093358F"/>
    <w:rsid w:val="00934033"/>
    <w:rsid w:val="009341AD"/>
    <w:rsid w:val="00935B9F"/>
    <w:rsid w:val="00935ED9"/>
    <w:rsid w:val="009362D4"/>
    <w:rsid w:val="00936A98"/>
    <w:rsid w:val="009371E6"/>
    <w:rsid w:val="00940A4E"/>
    <w:rsid w:val="00941979"/>
    <w:rsid w:val="00941C8C"/>
    <w:rsid w:val="009436A8"/>
    <w:rsid w:val="00944184"/>
    <w:rsid w:val="00945975"/>
    <w:rsid w:val="009465C4"/>
    <w:rsid w:val="009471CD"/>
    <w:rsid w:val="00947663"/>
    <w:rsid w:val="00947986"/>
    <w:rsid w:val="00947AD7"/>
    <w:rsid w:val="00947D95"/>
    <w:rsid w:val="0095337D"/>
    <w:rsid w:val="009544F9"/>
    <w:rsid w:val="0095537B"/>
    <w:rsid w:val="00956054"/>
    <w:rsid w:val="00956D2F"/>
    <w:rsid w:val="00956D3B"/>
    <w:rsid w:val="00956DCC"/>
    <w:rsid w:val="0095714C"/>
    <w:rsid w:val="009574A8"/>
    <w:rsid w:val="00957A93"/>
    <w:rsid w:val="00960B15"/>
    <w:rsid w:val="00960C41"/>
    <w:rsid w:val="00961EBC"/>
    <w:rsid w:val="00962157"/>
    <w:rsid w:val="009621F1"/>
    <w:rsid w:val="00962E6A"/>
    <w:rsid w:val="0096526E"/>
    <w:rsid w:val="00965F39"/>
    <w:rsid w:val="00966107"/>
    <w:rsid w:val="00971853"/>
    <w:rsid w:val="009718CC"/>
    <w:rsid w:val="00971CAB"/>
    <w:rsid w:val="00971D24"/>
    <w:rsid w:val="00972938"/>
    <w:rsid w:val="00972ED9"/>
    <w:rsid w:val="009758EB"/>
    <w:rsid w:val="009766DD"/>
    <w:rsid w:val="00976C8C"/>
    <w:rsid w:val="0097711A"/>
    <w:rsid w:val="00977134"/>
    <w:rsid w:val="009775A1"/>
    <w:rsid w:val="00977C9B"/>
    <w:rsid w:val="009806B6"/>
    <w:rsid w:val="009812B4"/>
    <w:rsid w:val="00981D65"/>
    <w:rsid w:val="0098268F"/>
    <w:rsid w:val="00982F43"/>
    <w:rsid w:val="00983945"/>
    <w:rsid w:val="009840C9"/>
    <w:rsid w:val="00985CED"/>
    <w:rsid w:val="00987E3E"/>
    <w:rsid w:val="00990C73"/>
    <w:rsid w:val="009910C0"/>
    <w:rsid w:val="00991762"/>
    <w:rsid w:val="00993AF5"/>
    <w:rsid w:val="009946C6"/>
    <w:rsid w:val="00994944"/>
    <w:rsid w:val="009959B4"/>
    <w:rsid w:val="009969B0"/>
    <w:rsid w:val="009A03C0"/>
    <w:rsid w:val="009A0773"/>
    <w:rsid w:val="009A0A5C"/>
    <w:rsid w:val="009A3AF9"/>
    <w:rsid w:val="009A3E96"/>
    <w:rsid w:val="009A5FCE"/>
    <w:rsid w:val="009A635F"/>
    <w:rsid w:val="009A7B08"/>
    <w:rsid w:val="009A7B4C"/>
    <w:rsid w:val="009B013E"/>
    <w:rsid w:val="009B01ED"/>
    <w:rsid w:val="009B08E1"/>
    <w:rsid w:val="009B0D79"/>
    <w:rsid w:val="009B327F"/>
    <w:rsid w:val="009B4145"/>
    <w:rsid w:val="009B4855"/>
    <w:rsid w:val="009B5E06"/>
    <w:rsid w:val="009B60EF"/>
    <w:rsid w:val="009C0792"/>
    <w:rsid w:val="009C0CFE"/>
    <w:rsid w:val="009C115A"/>
    <w:rsid w:val="009C1F97"/>
    <w:rsid w:val="009C2133"/>
    <w:rsid w:val="009C313A"/>
    <w:rsid w:val="009C387B"/>
    <w:rsid w:val="009C4057"/>
    <w:rsid w:val="009C597F"/>
    <w:rsid w:val="009C5FCB"/>
    <w:rsid w:val="009C7073"/>
    <w:rsid w:val="009D061B"/>
    <w:rsid w:val="009D29DC"/>
    <w:rsid w:val="009D2C84"/>
    <w:rsid w:val="009D33DA"/>
    <w:rsid w:val="009D3505"/>
    <w:rsid w:val="009D3BA6"/>
    <w:rsid w:val="009D40DF"/>
    <w:rsid w:val="009D6643"/>
    <w:rsid w:val="009D7049"/>
    <w:rsid w:val="009D7584"/>
    <w:rsid w:val="009D7B4A"/>
    <w:rsid w:val="009D7F02"/>
    <w:rsid w:val="009E033A"/>
    <w:rsid w:val="009E0845"/>
    <w:rsid w:val="009E128D"/>
    <w:rsid w:val="009E16F4"/>
    <w:rsid w:val="009E2318"/>
    <w:rsid w:val="009E2EE7"/>
    <w:rsid w:val="009E3A83"/>
    <w:rsid w:val="009E3AB6"/>
    <w:rsid w:val="009E43FC"/>
    <w:rsid w:val="009E5534"/>
    <w:rsid w:val="009E5569"/>
    <w:rsid w:val="009E68B3"/>
    <w:rsid w:val="009E6BF6"/>
    <w:rsid w:val="009E71F0"/>
    <w:rsid w:val="009F13DE"/>
    <w:rsid w:val="009F1FBE"/>
    <w:rsid w:val="009F30E8"/>
    <w:rsid w:val="009F3152"/>
    <w:rsid w:val="009F3AE9"/>
    <w:rsid w:val="009F56A1"/>
    <w:rsid w:val="009F6CC7"/>
    <w:rsid w:val="009F7160"/>
    <w:rsid w:val="009F7473"/>
    <w:rsid w:val="00A01EBD"/>
    <w:rsid w:val="00A02C8C"/>
    <w:rsid w:val="00A03A80"/>
    <w:rsid w:val="00A0440F"/>
    <w:rsid w:val="00A06016"/>
    <w:rsid w:val="00A06AC6"/>
    <w:rsid w:val="00A06BC1"/>
    <w:rsid w:val="00A07100"/>
    <w:rsid w:val="00A07F6E"/>
    <w:rsid w:val="00A10241"/>
    <w:rsid w:val="00A112DD"/>
    <w:rsid w:val="00A119E4"/>
    <w:rsid w:val="00A12D78"/>
    <w:rsid w:val="00A1325A"/>
    <w:rsid w:val="00A137F6"/>
    <w:rsid w:val="00A15161"/>
    <w:rsid w:val="00A159A5"/>
    <w:rsid w:val="00A16097"/>
    <w:rsid w:val="00A163CB"/>
    <w:rsid w:val="00A20EA1"/>
    <w:rsid w:val="00A21194"/>
    <w:rsid w:val="00A24598"/>
    <w:rsid w:val="00A278E9"/>
    <w:rsid w:val="00A2792E"/>
    <w:rsid w:val="00A31348"/>
    <w:rsid w:val="00A33A47"/>
    <w:rsid w:val="00A34888"/>
    <w:rsid w:val="00A35A4C"/>
    <w:rsid w:val="00A35C28"/>
    <w:rsid w:val="00A36C3A"/>
    <w:rsid w:val="00A40616"/>
    <w:rsid w:val="00A41727"/>
    <w:rsid w:val="00A41EE9"/>
    <w:rsid w:val="00A433B3"/>
    <w:rsid w:val="00A45A32"/>
    <w:rsid w:val="00A4616F"/>
    <w:rsid w:val="00A466FE"/>
    <w:rsid w:val="00A46BC6"/>
    <w:rsid w:val="00A47367"/>
    <w:rsid w:val="00A514ED"/>
    <w:rsid w:val="00A5209F"/>
    <w:rsid w:val="00A52478"/>
    <w:rsid w:val="00A52631"/>
    <w:rsid w:val="00A52AF0"/>
    <w:rsid w:val="00A53DEE"/>
    <w:rsid w:val="00A5726B"/>
    <w:rsid w:val="00A57A44"/>
    <w:rsid w:val="00A6052C"/>
    <w:rsid w:val="00A60698"/>
    <w:rsid w:val="00A60A19"/>
    <w:rsid w:val="00A60EAA"/>
    <w:rsid w:val="00A60EEF"/>
    <w:rsid w:val="00A61928"/>
    <w:rsid w:val="00A61C61"/>
    <w:rsid w:val="00A62F6B"/>
    <w:rsid w:val="00A644DE"/>
    <w:rsid w:val="00A66112"/>
    <w:rsid w:val="00A67212"/>
    <w:rsid w:val="00A67703"/>
    <w:rsid w:val="00A71217"/>
    <w:rsid w:val="00A71501"/>
    <w:rsid w:val="00A719A3"/>
    <w:rsid w:val="00A73223"/>
    <w:rsid w:val="00A747FC"/>
    <w:rsid w:val="00A74B6F"/>
    <w:rsid w:val="00A74C07"/>
    <w:rsid w:val="00A74C18"/>
    <w:rsid w:val="00A7565D"/>
    <w:rsid w:val="00A756E6"/>
    <w:rsid w:val="00A75DE3"/>
    <w:rsid w:val="00A7680E"/>
    <w:rsid w:val="00A77201"/>
    <w:rsid w:val="00A772F0"/>
    <w:rsid w:val="00A77EFB"/>
    <w:rsid w:val="00A8037C"/>
    <w:rsid w:val="00A814B9"/>
    <w:rsid w:val="00A822A6"/>
    <w:rsid w:val="00A826FE"/>
    <w:rsid w:val="00A843A7"/>
    <w:rsid w:val="00A84B80"/>
    <w:rsid w:val="00A86FCA"/>
    <w:rsid w:val="00A870E6"/>
    <w:rsid w:val="00A8723C"/>
    <w:rsid w:val="00A8758F"/>
    <w:rsid w:val="00A87E07"/>
    <w:rsid w:val="00A90A83"/>
    <w:rsid w:val="00A90D51"/>
    <w:rsid w:val="00A914BE"/>
    <w:rsid w:val="00A923C4"/>
    <w:rsid w:val="00A92EC7"/>
    <w:rsid w:val="00A93F05"/>
    <w:rsid w:val="00A94967"/>
    <w:rsid w:val="00A96023"/>
    <w:rsid w:val="00AA1C84"/>
    <w:rsid w:val="00AA3230"/>
    <w:rsid w:val="00AA329C"/>
    <w:rsid w:val="00AA36E5"/>
    <w:rsid w:val="00AA549B"/>
    <w:rsid w:val="00AA61B7"/>
    <w:rsid w:val="00AA6363"/>
    <w:rsid w:val="00AA6D04"/>
    <w:rsid w:val="00AA781D"/>
    <w:rsid w:val="00AB0431"/>
    <w:rsid w:val="00AB05A3"/>
    <w:rsid w:val="00AB0E5C"/>
    <w:rsid w:val="00AB2712"/>
    <w:rsid w:val="00AB31DF"/>
    <w:rsid w:val="00AB3209"/>
    <w:rsid w:val="00AB3581"/>
    <w:rsid w:val="00AB42C7"/>
    <w:rsid w:val="00AB5A35"/>
    <w:rsid w:val="00AB6BC4"/>
    <w:rsid w:val="00AB7C78"/>
    <w:rsid w:val="00AC01F0"/>
    <w:rsid w:val="00AC0236"/>
    <w:rsid w:val="00AC1240"/>
    <w:rsid w:val="00AC127B"/>
    <w:rsid w:val="00AC19E0"/>
    <w:rsid w:val="00AC2687"/>
    <w:rsid w:val="00AC7B37"/>
    <w:rsid w:val="00AD04CF"/>
    <w:rsid w:val="00AD06F7"/>
    <w:rsid w:val="00AD07C4"/>
    <w:rsid w:val="00AD0957"/>
    <w:rsid w:val="00AD21EF"/>
    <w:rsid w:val="00AD2BDC"/>
    <w:rsid w:val="00AD3EF9"/>
    <w:rsid w:val="00AD5224"/>
    <w:rsid w:val="00AD69CA"/>
    <w:rsid w:val="00AE03FF"/>
    <w:rsid w:val="00AE0764"/>
    <w:rsid w:val="00AE173F"/>
    <w:rsid w:val="00AE2424"/>
    <w:rsid w:val="00AE34FE"/>
    <w:rsid w:val="00AE4451"/>
    <w:rsid w:val="00AE47E3"/>
    <w:rsid w:val="00AE4E07"/>
    <w:rsid w:val="00AE5673"/>
    <w:rsid w:val="00AE6469"/>
    <w:rsid w:val="00AF040E"/>
    <w:rsid w:val="00AF12A0"/>
    <w:rsid w:val="00AF247C"/>
    <w:rsid w:val="00AF336F"/>
    <w:rsid w:val="00AF3731"/>
    <w:rsid w:val="00AF5932"/>
    <w:rsid w:val="00AF5B48"/>
    <w:rsid w:val="00AF5DF4"/>
    <w:rsid w:val="00AF60D0"/>
    <w:rsid w:val="00B0142C"/>
    <w:rsid w:val="00B01F42"/>
    <w:rsid w:val="00B03A12"/>
    <w:rsid w:val="00B043C9"/>
    <w:rsid w:val="00B0451A"/>
    <w:rsid w:val="00B04917"/>
    <w:rsid w:val="00B0574C"/>
    <w:rsid w:val="00B05BD6"/>
    <w:rsid w:val="00B06040"/>
    <w:rsid w:val="00B1010A"/>
    <w:rsid w:val="00B11402"/>
    <w:rsid w:val="00B114DA"/>
    <w:rsid w:val="00B12063"/>
    <w:rsid w:val="00B12A42"/>
    <w:rsid w:val="00B12FD2"/>
    <w:rsid w:val="00B13593"/>
    <w:rsid w:val="00B13C0C"/>
    <w:rsid w:val="00B14471"/>
    <w:rsid w:val="00B151C8"/>
    <w:rsid w:val="00B15800"/>
    <w:rsid w:val="00B15B71"/>
    <w:rsid w:val="00B1641E"/>
    <w:rsid w:val="00B16F2C"/>
    <w:rsid w:val="00B20C31"/>
    <w:rsid w:val="00B21A0C"/>
    <w:rsid w:val="00B21D6D"/>
    <w:rsid w:val="00B224CB"/>
    <w:rsid w:val="00B24398"/>
    <w:rsid w:val="00B2541B"/>
    <w:rsid w:val="00B2648C"/>
    <w:rsid w:val="00B27B37"/>
    <w:rsid w:val="00B313B5"/>
    <w:rsid w:val="00B3365C"/>
    <w:rsid w:val="00B33C10"/>
    <w:rsid w:val="00B34617"/>
    <w:rsid w:val="00B351A9"/>
    <w:rsid w:val="00B360F6"/>
    <w:rsid w:val="00B367D5"/>
    <w:rsid w:val="00B369D0"/>
    <w:rsid w:val="00B37471"/>
    <w:rsid w:val="00B37D38"/>
    <w:rsid w:val="00B40CCE"/>
    <w:rsid w:val="00B413CE"/>
    <w:rsid w:val="00B41DB4"/>
    <w:rsid w:val="00B42000"/>
    <w:rsid w:val="00B43223"/>
    <w:rsid w:val="00B45120"/>
    <w:rsid w:val="00B454CA"/>
    <w:rsid w:val="00B45910"/>
    <w:rsid w:val="00B5022D"/>
    <w:rsid w:val="00B51488"/>
    <w:rsid w:val="00B51CB4"/>
    <w:rsid w:val="00B52A82"/>
    <w:rsid w:val="00B531CB"/>
    <w:rsid w:val="00B56A76"/>
    <w:rsid w:val="00B56C79"/>
    <w:rsid w:val="00B56F9D"/>
    <w:rsid w:val="00B57E59"/>
    <w:rsid w:val="00B60EB7"/>
    <w:rsid w:val="00B60F04"/>
    <w:rsid w:val="00B61789"/>
    <w:rsid w:val="00B61CC2"/>
    <w:rsid w:val="00B620A9"/>
    <w:rsid w:val="00B622A4"/>
    <w:rsid w:val="00B63925"/>
    <w:rsid w:val="00B65473"/>
    <w:rsid w:val="00B67041"/>
    <w:rsid w:val="00B67467"/>
    <w:rsid w:val="00B712BC"/>
    <w:rsid w:val="00B713AB"/>
    <w:rsid w:val="00B7161C"/>
    <w:rsid w:val="00B72C0A"/>
    <w:rsid w:val="00B73535"/>
    <w:rsid w:val="00B73DEB"/>
    <w:rsid w:val="00B74899"/>
    <w:rsid w:val="00B75050"/>
    <w:rsid w:val="00B76B31"/>
    <w:rsid w:val="00B8093E"/>
    <w:rsid w:val="00B814FB"/>
    <w:rsid w:val="00B829E2"/>
    <w:rsid w:val="00B82B76"/>
    <w:rsid w:val="00B82EC8"/>
    <w:rsid w:val="00B8333D"/>
    <w:rsid w:val="00B84477"/>
    <w:rsid w:val="00B85D8E"/>
    <w:rsid w:val="00B9010A"/>
    <w:rsid w:val="00B90955"/>
    <w:rsid w:val="00B9107E"/>
    <w:rsid w:val="00B91FD7"/>
    <w:rsid w:val="00B92F84"/>
    <w:rsid w:val="00B93BAF"/>
    <w:rsid w:val="00B942D7"/>
    <w:rsid w:val="00B96B62"/>
    <w:rsid w:val="00B97FB4"/>
    <w:rsid w:val="00BA3C4C"/>
    <w:rsid w:val="00BA74C8"/>
    <w:rsid w:val="00BA7B3F"/>
    <w:rsid w:val="00BA7E6E"/>
    <w:rsid w:val="00BB15EB"/>
    <w:rsid w:val="00BB27E5"/>
    <w:rsid w:val="00BB2DB9"/>
    <w:rsid w:val="00BB4390"/>
    <w:rsid w:val="00BB4433"/>
    <w:rsid w:val="00BB45CF"/>
    <w:rsid w:val="00BB49A7"/>
    <w:rsid w:val="00BB5AB4"/>
    <w:rsid w:val="00BB613C"/>
    <w:rsid w:val="00BB65C5"/>
    <w:rsid w:val="00BB79F7"/>
    <w:rsid w:val="00BC020A"/>
    <w:rsid w:val="00BC1486"/>
    <w:rsid w:val="00BC1E51"/>
    <w:rsid w:val="00BC293B"/>
    <w:rsid w:val="00BC360A"/>
    <w:rsid w:val="00BC4D60"/>
    <w:rsid w:val="00BC7B02"/>
    <w:rsid w:val="00BD013C"/>
    <w:rsid w:val="00BD06CD"/>
    <w:rsid w:val="00BD0990"/>
    <w:rsid w:val="00BD1999"/>
    <w:rsid w:val="00BD2EFF"/>
    <w:rsid w:val="00BD3A81"/>
    <w:rsid w:val="00BD42FB"/>
    <w:rsid w:val="00BD4F8F"/>
    <w:rsid w:val="00BD5864"/>
    <w:rsid w:val="00BD68CB"/>
    <w:rsid w:val="00BD7227"/>
    <w:rsid w:val="00BD7415"/>
    <w:rsid w:val="00BE120A"/>
    <w:rsid w:val="00BE2BE3"/>
    <w:rsid w:val="00BE4706"/>
    <w:rsid w:val="00BE4870"/>
    <w:rsid w:val="00BE5062"/>
    <w:rsid w:val="00BF01AB"/>
    <w:rsid w:val="00BF29E9"/>
    <w:rsid w:val="00BF2A59"/>
    <w:rsid w:val="00BF2A78"/>
    <w:rsid w:val="00BF365A"/>
    <w:rsid w:val="00BF4588"/>
    <w:rsid w:val="00BF50B1"/>
    <w:rsid w:val="00BF7832"/>
    <w:rsid w:val="00C014D9"/>
    <w:rsid w:val="00C023B0"/>
    <w:rsid w:val="00C0252E"/>
    <w:rsid w:val="00C02C69"/>
    <w:rsid w:val="00C03518"/>
    <w:rsid w:val="00C039BD"/>
    <w:rsid w:val="00C054D0"/>
    <w:rsid w:val="00C064E6"/>
    <w:rsid w:val="00C07CC2"/>
    <w:rsid w:val="00C1034B"/>
    <w:rsid w:val="00C1077A"/>
    <w:rsid w:val="00C10FC8"/>
    <w:rsid w:val="00C140FD"/>
    <w:rsid w:val="00C153B6"/>
    <w:rsid w:val="00C16DCA"/>
    <w:rsid w:val="00C2044B"/>
    <w:rsid w:val="00C20BEA"/>
    <w:rsid w:val="00C229D3"/>
    <w:rsid w:val="00C22D08"/>
    <w:rsid w:val="00C24EA3"/>
    <w:rsid w:val="00C2604E"/>
    <w:rsid w:val="00C268EC"/>
    <w:rsid w:val="00C27275"/>
    <w:rsid w:val="00C274F7"/>
    <w:rsid w:val="00C27712"/>
    <w:rsid w:val="00C30727"/>
    <w:rsid w:val="00C31C1B"/>
    <w:rsid w:val="00C32FF8"/>
    <w:rsid w:val="00C33E09"/>
    <w:rsid w:val="00C357BE"/>
    <w:rsid w:val="00C36A61"/>
    <w:rsid w:val="00C36DDD"/>
    <w:rsid w:val="00C40A3A"/>
    <w:rsid w:val="00C41113"/>
    <w:rsid w:val="00C4131F"/>
    <w:rsid w:val="00C43850"/>
    <w:rsid w:val="00C46557"/>
    <w:rsid w:val="00C46870"/>
    <w:rsid w:val="00C472F5"/>
    <w:rsid w:val="00C47D8A"/>
    <w:rsid w:val="00C51D04"/>
    <w:rsid w:val="00C51D39"/>
    <w:rsid w:val="00C53614"/>
    <w:rsid w:val="00C53A28"/>
    <w:rsid w:val="00C5446E"/>
    <w:rsid w:val="00C54898"/>
    <w:rsid w:val="00C55793"/>
    <w:rsid w:val="00C568AD"/>
    <w:rsid w:val="00C5716A"/>
    <w:rsid w:val="00C574A4"/>
    <w:rsid w:val="00C5799D"/>
    <w:rsid w:val="00C57E77"/>
    <w:rsid w:val="00C60E8F"/>
    <w:rsid w:val="00C62F46"/>
    <w:rsid w:val="00C64520"/>
    <w:rsid w:val="00C6495A"/>
    <w:rsid w:val="00C66464"/>
    <w:rsid w:val="00C66562"/>
    <w:rsid w:val="00C66EED"/>
    <w:rsid w:val="00C7007D"/>
    <w:rsid w:val="00C7031B"/>
    <w:rsid w:val="00C71594"/>
    <w:rsid w:val="00C725A8"/>
    <w:rsid w:val="00C730C1"/>
    <w:rsid w:val="00C747D1"/>
    <w:rsid w:val="00C75060"/>
    <w:rsid w:val="00C778CE"/>
    <w:rsid w:val="00C8007C"/>
    <w:rsid w:val="00C80D68"/>
    <w:rsid w:val="00C816D4"/>
    <w:rsid w:val="00C823B4"/>
    <w:rsid w:val="00C8280A"/>
    <w:rsid w:val="00C83408"/>
    <w:rsid w:val="00C836AD"/>
    <w:rsid w:val="00C836D8"/>
    <w:rsid w:val="00C83CC5"/>
    <w:rsid w:val="00C85604"/>
    <w:rsid w:val="00C858A5"/>
    <w:rsid w:val="00C86945"/>
    <w:rsid w:val="00C87603"/>
    <w:rsid w:val="00C87CB0"/>
    <w:rsid w:val="00C91793"/>
    <w:rsid w:val="00C91D42"/>
    <w:rsid w:val="00C922D8"/>
    <w:rsid w:val="00C92E2A"/>
    <w:rsid w:val="00C94263"/>
    <w:rsid w:val="00C94EA4"/>
    <w:rsid w:val="00C95D83"/>
    <w:rsid w:val="00C9613A"/>
    <w:rsid w:val="00C969D4"/>
    <w:rsid w:val="00C96E00"/>
    <w:rsid w:val="00CA087C"/>
    <w:rsid w:val="00CA0C46"/>
    <w:rsid w:val="00CA163B"/>
    <w:rsid w:val="00CA1B02"/>
    <w:rsid w:val="00CA1C15"/>
    <w:rsid w:val="00CA27CA"/>
    <w:rsid w:val="00CA28B6"/>
    <w:rsid w:val="00CA3658"/>
    <w:rsid w:val="00CA3BAE"/>
    <w:rsid w:val="00CA3EFB"/>
    <w:rsid w:val="00CA460B"/>
    <w:rsid w:val="00CA4AD9"/>
    <w:rsid w:val="00CA59B8"/>
    <w:rsid w:val="00CB0B59"/>
    <w:rsid w:val="00CB1886"/>
    <w:rsid w:val="00CB3110"/>
    <w:rsid w:val="00CB58A9"/>
    <w:rsid w:val="00CB678C"/>
    <w:rsid w:val="00CB77AC"/>
    <w:rsid w:val="00CC0D74"/>
    <w:rsid w:val="00CC0F72"/>
    <w:rsid w:val="00CC19DC"/>
    <w:rsid w:val="00CC2179"/>
    <w:rsid w:val="00CC2BD4"/>
    <w:rsid w:val="00CC3DDE"/>
    <w:rsid w:val="00CC3FA3"/>
    <w:rsid w:val="00CC433A"/>
    <w:rsid w:val="00CC4BB9"/>
    <w:rsid w:val="00CC4D5F"/>
    <w:rsid w:val="00CC5F1D"/>
    <w:rsid w:val="00CC6022"/>
    <w:rsid w:val="00CC6841"/>
    <w:rsid w:val="00CD0B3D"/>
    <w:rsid w:val="00CD0EFA"/>
    <w:rsid w:val="00CD1325"/>
    <w:rsid w:val="00CD2140"/>
    <w:rsid w:val="00CD34E5"/>
    <w:rsid w:val="00CD375C"/>
    <w:rsid w:val="00CD3F21"/>
    <w:rsid w:val="00CD409A"/>
    <w:rsid w:val="00CD5A49"/>
    <w:rsid w:val="00CD6314"/>
    <w:rsid w:val="00CE05B8"/>
    <w:rsid w:val="00CE1214"/>
    <w:rsid w:val="00CE3CDA"/>
    <w:rsid w:val="00CE61FA"/>
    <w:rsid w:val="00CE6A97"/>
    <w:rsid w:val="00CE6DA4"/>
    <w:rsid w:val="00CE7609"/>
    <w:rsid w:val="00CE7630"/>
    <w:rsid w:val="00CE7C17"/>
    <w:rsid w:val="00CF0630"/>
    <w:rsid w:val="00CF1628"/>
    <w:rsid w:val="00CF1A94"/>
    <w:rsid w:val="00CF1CE2"/>
    <w:rsid w:val="00CF2F70"/>
    <w:rsid w:val="00CF6BAA"/>
    <w:rsid w:val="00CF6C31"/>
    <w:rsid w:val="00CF7253"/>
    <w:rsid w:val="00CF7ADA"/>
    <w:rsid w:val="00D00768"/>
    <w:rsid w:val="00D00C66"/>
    <w:rsid w:val="00D0133D"/>
    <w:rsid w:val="00D01515"/>
    <w:rsid w:val="00D0279D"/>
    <w:rsid w:val="00D02AA4"/>
    <w:rsid w:val="00D02C67"/>
    <w:rsid w:val="00D033B6"/>
    <w:rsid w:val="00D03FD2"/>
    <w:rsid w:val="00D043EB"/>
    <w:rsid w:val="00D06E63"/>
    <w:rsid w:val="00D07524"/>
    <w:rsid w:val="00D1261B"/>
    <w:rsid w:val="00D130A3"/>
    <w:rsid w:val="00D130FB"/>
    <w:rsid w:val="00D13BA4"/>
    <w:rsid w:val="00D14C3F"/>
    <w:rsid w:val="00D15843"/>
    <w:rsid w:val="00D16094"/>
    <w:rsid w:val="00D165F8"/>
    <w:rsid w:val="00D16CE3"/>
    <w:rsid w:val="00D173EF"/>
    <w:rsid w:val="00D20490"/>
    <w:rsid w:val="00D20C61"/>
    <w:rsid w:val="00D21C2E"/>
    <w:rsid w:val="00D22653"/>
    <w:rsid w:val="00D23B5F"/>
    <w:rsid w:val="00D25570"/>
    <w:rsid w:val="00D27DD0"/>
    <w:rsid w:val="00D30007"/>
    <w:rsid w:val="00D3073D"/>
    <w:rsid w:val="00D3084B"/>
    <w:rsid w:val="00D3153C"/>
    <w:rsid w:val="00D33144"/>
    <w:rsid w:val="00D33680"/>
    <w:rsid w:val="00D33901"/>
    <w:rsid w:val="00D3424A"/>
    <w:rsid w:val="00D348BA"/>
    <w:rsid w:val="00D35F5E"/>
    <w:rsid w:val="00D36130"/>
    <w:rsid w:val="00D40168"/>
    <w:rsid w:val="00D40312"/>
    <w:rsid w:val="00D40F10"/>
    <w:rsid w:val="00D4107A"/>
    <w:rsid w:val="00D41FE8"/>
    <w:rsid w:val="00D428E7"/>
    <w:rsid w:val="00D43100"/>
    <w:rsid w:val="00D436AD"/>
    <w:rsid w:val="00D442CD"/>
    <w:rsid w:val="00D44A2B"/>
    <w:rsid w:val="00D45512"/>
    <w:rsid w:val="00D45678"/>
    <w:rsid w:val="00D45D88"/>
    <w:rsid w:val="00D462F0"/>
    <w:rsid w:val="00D465EF"/>
    <w:rsid w:val="00D47670"/>
    <w:rsid w:val="00D5137C"/>
    <w:rsid w:val="00D519C7"/>
    <w:rsid w:val="00D52A48"/>
    <w:rsid w:val="00D54DAD"/>
    <w:rsid w:val="00D56351"/>
    <w:rsid w:val="00D612E1"/>
    <w:rsid w:val="00D616A1"/>
    <w:rsid w:val="00D62249"/>
    <w:rsid w:val="00D626EF"/>
    <w:rsid w:val="00D63674"/>
    <w:rsid w:val="00D64042"/>
    <w:rsid w:val="00D6420B"/>
    <w:rsid w:val="00D648EB"/>
    <w:rsid w:val="00D64E3C"/>
    <w:rsid w:val="00D654E2"/>
    <w:rsid w:val="00D66182"/>
    <w:rsid w:val="00D66BFA"/>
    <w:rsid w:val="00D6775D"/>
    <w:rsid w:val="00D67B6A"/>
    <w:rsid w:val="00D71888"/>
    <w:rsid w:val="00D723CB"/>
    <w:rsid w:val="00D755C8"/>
    <w:rsid w:val="00D7584E"/>
    <w:rsid w:val="00D76F2E"/>
    <w:rsid w:val="00D77A69"/>
    <w:rsid w:val="00D808BC"/>
    <w:rsid w:val="00D81BC7"/>
    <w:rsid w:val="00D82693"/>
    <w:rsid w:val="00D83789"/>
    <w:rsid w:val="00D83BCC"/>
    <w:rsid w:val="00D8625E"/>
    <w:rsid w:val="00D86649"/>
    <w:rsid w:val="00D870C0"/>
    <w:rsid w:val="00D905F1"/>
    <w:rsid w:val="00D909E4"/>
    <w:rsid w:val="00D90B9B"/>
    <w:rsid w:val="00D91280"/>
    <w:rsid w:val="00D915A5"/>
    <w:rsid w:val="00D93079"/>
    <w:rsid w:val="00D94BB5"/>
    <w:rsid w:val="00D95020"/>
    <w:rsid w:val="00D95929"/>
    <w:rsid w:val="00D96FB0"/>
    <w:rsid w:val="00D9745A"/>
    <w:rsid w:val="00D97DB8"/>
    <w:rsid w:val="00DA0E31"/>
    <w:rsid w:val="00DA22C2"/>
    <w:rsid w:val="00DA4A4B"/>
    <w:rsid w:val="00DA5031"/>
    <w:rsid w:val="00DA78EF"/>
    <w:rsid w:val="00DA7E94"/>
    <w:rsid w:val="00DB05FE"/>
    <w:rsid w:val="00DB178E"/>
    <w:rsid w:val="00DB1DB3"/>
    <w:rsid w:val="00DB2DD8"/>
    <w:rsid w:val="00DB39DA"/>
    <w:rsid w:val="00DB4665"/>
    <w:rsid w:val="00DB74BE"/>
    <w:rsid w:val="00DB75FF"/>
    <w:rsid w:val="00DB7C4F"/>
    <w:rsid w:val="00DB7CD5"/>
    <w:rsid w:val="00DB7F2B"/>
    <w:rsid w:val="00DC157C"/>
    <w:rsid w:val="00DC310E"/>
    <w:rsid w:val="00DC3C6F"/>
    <w:rsid w:val="00DC5162"/>
    <w:rsid w:val="00DC5E7D"/>
    <w:rsid w:val="00DC605D"/>
    <w:rsid w:val="00DC62E4"/>
    <w:rsid w:val="00DC6874"/>
    <w:rsid w:val="00DD1722"/>
    <w:rsid w:val="00DD21E0"/>
    <w:rsid w:val="00DD27E1"/>
    <w:rsid w:val="00DD3F17"/>
    <w:rsid w:val="00DD5340"/>
    <w:rsid w:val="00DD755E"/>
    <w:rsid w:val="00DD7954"/>
    <w:rsid w:val="00DE0CBC"/>
    <w:rsid w:val="00DE1EFF"/>
    <w:rsid w:val="00DE28E1"/>
    <w:rsid w:val="00DE48A8"/>
    <w:rsid w:val="00DE4A84"/>
    <w:rsid w:val="00DE4E7A"/>
    <w:rsid w:val="00DE5F92"/>
    <w:rsid w:val="00DE7720"/>
    <w:rsid w:val="00DF0199"/>
    <w:rsid w:val="00DF08BF"/>
    <w:rsid w:val="00DF14D8"/>
    <w:rsid w:val="00DF19FB"/>
    <w:rsid w:val="00DF286A"/>
    <w:rsid w:val="00DF2D95"/>
    <w:rsid w:val="00DF6B83"/>
    <w:rsid w:val="00E01FA3"/>
    <w:rsid w:val="00E027F9"/>
    <w:rsid w:val="00E02958"/>
    <w:rsid w:val="00E036E5"/>
    <w:rsid w:val="00E03974"/>
    <w:rsid w:val="00E03F8B"/>
    <w:rsid w:val="00E0417B"/>
    <w:rsid w:val="00E042C9"/>
    <w:rsid w:val="00E054A9"/>
    <w:rsid w:val="00E06B1E"/>
    <w:rsid w:val="00E06CD2"/>
    <w:rsid w:val="00E06D51"/>
    <w:rsid w:val="00E07270"/>
    <w:rsid w:val="00E07C78"/>
    <w:rsid w:val="00E10B30"/>
    <w:rsid w:val="00E10FFD"/>
    <w:rsid w:val="00E11C22"/>
    <w:rsid w:val="00E12496"/>
    <w:rsid w:val="00E1343B"/>
    <w:rsid w:val="00E1373C"/>
    <w:rsid w:val="00E13ABC"/>
    <w:rsid w:val="00E1470F"/>
    <w:rsid w:val="00E14EA9"/>
    <w:rsid w:val="00E15CFC"/>
    <w:rsid w:val="00E15E31"/>
    <w:rsid w:val="00E20F81"/>
    <w:rsid w:val="00E20FAF"/>
    <w:rsid w:val="00E21619"/>
    <w:rsid w:val="00E21F14"/>
    <w:rsid w:val="00E22E71"/>
    <w:rsid w:val="00E2384A"/>
    <w:rsid w:val="00E23F9E"/>
    <w:rsid w:val="00E25545"/>
    <w:rsid w:val="00E25F0B"/>
    <w:rsid w:val="00E25FDE"/>
    <w:rsid w:val="00E2648A"/>
    <w:rsid w:val="00E266A0"/>
    <w:rsid w:val="00E271DA"/>
    <w:rsid w:val="00E2754E"/>
    <w:rsid w:val="00E3240F"/>
    <w:rsid w:val="00E32707"/>
    <w:rsid w:val="00E32E4F"/>
    <w:rsid w:val="00E33F69"/>
    <w:rsid w:val="00E34927"/>
    <w:rsid w:val="00E351E7"/>
    <w:rsid w:val="00E36E2B"/>
    <w:rsid w:val="00E40E3E"/>
    <w:rsid w:val="00E411BC"/>
    <w:rsid w:val="00E420A4"/>
    <w:rsid w:val="00E43327"/>
    <w:rsid w:val="00E44225"/>
    <w:rsid w:val="00E44667"/>
    <w:rsid w:val="00E446B5"/>
    <w:rsid w:val="00E44760"/>
    <w:rsid w:val="00E45C7A"/>
    <w:rsid w:val="00E4623C"/>
    <w:rsid w:val="00E47F17"/>
    <w:rsid w:val="00E50178"/>
    <w:rsid w:val="00E50E13"/>
    <w:rsid w:val="00E53555"/>
    <w:rsid w:val="00E5492D"/>
    <w:rsid w:val="00E5542E"/>
    <w:rsid w:val="00E5756B"/>
    <w:rsid w:val="00E6020D"/>
    <w:rsid w:val="00E60A9B"/>
    <w:rsid w:val="00E60D4D"/>
    <w:rsid w:val="00E6155A"/>
    <w:rsid w:val="00E61B72"/>
    <w:rsid w:val="00E63BE8"/>
    <w:rsid w:val="00E64DB0"/>
    <w:rsid w:val="00E655A6"/>
    <w:rsid w:val="00E65BC8"/>
    <w:rsid w:val="00E65D16"/>
    <w:rsid w:val="00E65DC9"/>
    <w:rsid w:val="00E65F0C"/>
    <w:rsid w:val="00E668EF"/>
    <w:rsid w:val="00E67023"/>
    <w:rsid w:val="00E67949"/>
    <w:rsid w:val="00E7023C"/>
    <w:rsid w:val="00E70DC4"/>
    <w:rsid w:val="00E71810"/>
    <w:rsid w:val="00E7197B"/>
    <w:rsid w:val="00E7225B"/>
    <w:rsid w:val="00E72A32"/>
    <w:rsid w:val="00E7320A"/>
    <w:rsid w:val="00E73446"/>
    <w:rsid w:val="00E7508D"/>
    <w:rsid w:val="00E761A9"/>
    <w:rsid w:val="00E76594"/>
    <w:rsid w:val="00E770B6"/>
    <w:rsid w:val="00E80A90"/>
    <w:rsid w:val="00E824C3"/>
    <w:rsid w:val="00E853F7"/>
    <w:rsid w:val="00E85E6C"/>
    <w:rsid w:val="00E866CD"/>
    <w:rsid w:val="00E86D86"/>
    <w:rsid w:val="00E86EA5"/>
    <w:rsid w:val="00E87138"/>
    <w:rsid w:val="00E8735C"/>
    <w:rsid w:val="00E8744E"/>
    <w:rsid w:val="00E878AC"/>
    <w:rsid w:val="00E9004D"/>
    <w:rsid w:val="00E905E8"/>
    <w:rsid w:val="00E9367A"/>
    <w:rsid w:val="00E939BE"/>
    <w:rsid w:val="00E95A24"/>
    <w:rsid w:val="00E96E33"/>
    <w:rsid w:val="00EA042B"/>
    <w:rsid w:val="00EA1CC6"/>
    <w:rsid w:val="00EA2F2A"/>
    <w:rsid w:val="00EA3625"/>
    <w:rsid w:val="00EA4A3D"/>
    <w:rsid w:val="00EA5076"/>
    <w:rsid w:val="00EA5A54"/>
    <w:rsid w:val="00EA5BCF"/>
    <w:rsid w:val="00EA6861"/>
    <w:rsid w:val="00EA6B45"/>
    <w:rsid w:val="00EA7886"/>
    <w:rsid w:val="00EA7AF8"/>
    <w:rsid w:val="00EB04FA"/>
    <w:rsid w:val="00EB05C9"/>
    <w:rsid w:val="00EB0D97"/>
    <w:rsid w:val="00EB1280"/>
    <w:rsid w:val="00EB3D55"/>
    <w:rsid w:val="00EB4778"/>
    <w:rsid w:val="00EB4AAA"/>
    <w:rsid w:val="00EB4E78"/>
    <w:rsid w:val="00EB5406"/>
    <w:rsid w:val="00EB5859"/>
    <w:rsid w:val="00EB65E7"/>
    <w:rsid w:val="00EB6A20"/>
    <w:rsid w:val="00EB7130"/>
    <w:rsid w:val="00EC0299"/>
    <w:rsid w:val="00EC03FF"/>
    <w:rsid w:val="00EC19DE"/>
    <w:rsid w:val="00EC1F10"/>
    <w:rsid w:val="00EC690E"/>
    <w:rsid w:val="00EC7C54"/>
    <w:rsid w:val="00ED0B49"/>
    <w:rsid w:val="00ED2015"/>
    <w:rsid w:val="00ED33D6"/>
    <w:rsid w:val="00ED4786"/>
    <w:rsid w:val="00ED5E63"/>
    <w:rsid w:val="00ED5FAF"/>
    <w:rsid w:val="00EE040A"/>
    <w:rsid w:val="00EE078E"/>
    <w:rsid w:val="00EE116E"/>
    <w:rsid w:val="00EE3098"/>
    <w:rsid w:val="00EE4E54"/>
    <w:rsid w:val="00EE50B9"/>
    <w:rsid w:val="00EE610E"/>
    <w:rsid w:val="00EE66EE"/>
    <w:rsid w:val="00EE6B6D"/>
    <w:rsid w:val="00EF10E5"/>
    <w:rsid w:val="00EF39EE"/>
    <w:rsid w:val="00EF3C21"/>
    <w:rsid w:val="00EF3E6C"/>
    <w:rsid w:val="00EF3FD9"/>
    <w:rsid w:val="00EF4EE1"/>
    <w:rsid w:val="00EF509D"/>
    <w:rsid w:val="00EF5F5B"/>
    <w:rsid w:val="00F01026"/>
    <w:rsid w:val="00F01326"/>
    <w:rsid w:val="00F03671"/>
    <w:rsid w:val="00F038CE"/>
    <w:rsid w:val="00F06300"/>
    <w:rsid w:val="00F10743"/>
    <w:rsid w:val="00F12398"/>
    <w:rsid w:val="00F12707"/>
    <w:rsid w:val="00F1363F"/>
    <w:rsid w:val="00F16DC1"/>
    <w:rsid w:val="00F16F62"/>
    <w:rsid w:val="00F1708B"/>
    <w:rsid w:val="00F17969"/>
    <w:rsid w:val="00F17BD4"/>
    <w:rsid w:val="00F20A26"/>
    <w:rsid w:val="00F21F58"/>
    <w:rsid w:val="00F22406"/>
    <w:rsid w:val="00F234C3"/>
    <w:rsid w:val="00F23B13"/>
    <w:rsid w:val="00F2554C"/>
    <w:rsid w:val="00F2606A"/>
    <w:rsid w:val="00F261F0"/>
    <w:rsid w:val="00F271F2"/>
    <w:rsid w:val="00F2770C"/>
    <w:rsid w:val="00F31FFD"/>
    <w:rsid w:val="00F32A5A"/>
    <w:rsid w:val="00F330E5"/>
    <w:rsid w:val="00F3388A"/>
    <w:rsid w:val="00F33A5E"/>
    <w:rsid w:val="00F33EE9"/>
    <w:rsid w:val="00F340B0"/>
    <w:rsid w:val="00F34745"/>
    <w:rsid w:val="00F35817"/>
    <w:rsid w:val="00F371EC"/>
    <w:rsid w:val="00F37667"/>
    <w:rsid w:val="00F4003D"/>
    <w:rsid w:val="00F41A0E"/>
    <w:rsid w:val="00F42DDE"/>
    <w:rsid w:val="00F430A5"/>
    <w:rsid w:val="00F442FF"/>
    <w:rsid w:val="00F44D7B"/>
    <w:rsid w:val="00F45F4F"/>
    <w:rsid w:val="00F4774E"/>
    <w:rsid w:val="00F47996"/>
    <w:rsid w:val="00F50817"/>
    <w:rsid w:val="00F53B78"/>
    <w:rsid w:val="00F53E43"/>
    <w:rsid w:val="00F5422B"/>
    <w:rsid w:val="00F546E8"/>
    <w:rsid w:val="00F55686"/>
    <w:rsid w:val="00F56FE0"/>
    <w:rsid w:val="00F60063"/>
    <w:rsid w:val="00F60281"/>
    <w:rsid w:val="00F607AE"/>
    <w:rsid w:val="00F60D7F"/>
    <w:rsid w:val="00F60F55"/>
    <w:rsid w:val="00F60F83"/>
    <w:rsid w:val="00F61183"/>
    <w:rsid w:val="00F6313B"/>
    <w:rsid w:val="00F63292"/>
    <w:rsid w:val="00F652D3"/>
    <w:rsid w:val="00F65AAB"/>
    <w:rsid w:val="00F708EE"/>
    <w:rsid w:val="00F70ACD"/>
    <w:rsid w:val="00F71FDB"/>
    <w:rsid w:val="00F759F4"/>
    <w:rsid w:val="00F75C1F"/>
    <w:rsid w:val="00F76198"/>
    <w:rsid w:val="00F7663D"/>
    <w:rsid w:val="00F766FD"/>
    <w:rsid w:val="00F77654"/>
    <w:rsid w:val="00F777BB"/>
    <w:rsid w:val="00F7782B"/>
    <w:rsid w:val="00F77BA9"/>
    <w:rsid w:val="00F80111"/>
    <w:rsid w:val="00F818CF"/>
    <w:rsid w:val="00F83290"/>
    <w:rsid w:val="00F8394E"/>
    <w:rsid w:val="00F83EE4"/>
    <w:rsid w:val="00F84CD3"/>
    <w:rsid w:val="00F853E7"/>
    <w:rsid w:val="00F87C55"/>
    <w:rsid w:val="00F90D54"/>
    <w:rsid w:val="00F91903"/>
    <w:rsid w:val="00F919DC"/>
    <w:rsid w:val="00F931C6"/>
    <w:rsid w:val="00F940B6"/>
    <w:rsid w:val="00F96307"/>
    <w:rsid w:val="00F973FD"/>
    <w:rsid w:val="00FA0D35"/>
    <w:rsid w:val="00FA14CD"/>
    <w:rsid w:val="00FA17C4"/>
    <w:rsid w:val="00FA18BA"/>
    <w:rsid w:val="00FA1C6C"/>
    <w:rsid w:val="00FA21CA"/>
    <w:rsid w:val="00FA29DF"/>
    <w:rsid w:val="00FA52AB"/>
    <w:rsid w:val="00FA5651"/>
    <w:rsid w:val="00FA6284"/>
    <w:rsid w:val="00FA6941"/>
    <w:rsid w:val="00FA78B1"/>
    <w:rsid w:val="00FB0406"/>
    <w:rsid w:val="00FB0ACE"/>
    <w:rsid w:val="00FB0BAE"/>
    <w:rsid w:val="00FB1733"/>
    <w:rsid w:val="00FB267F"/>
    <w:rsid w:val="00FB2B76"/>
    <w:rsid w:val="00FB3401"/>
    <w:rsid w:val="00FB4313"/>
    <w:rsid w:val="00FB5621"/>
    <w:rsid w:val="00FB5FD2"/>
    <w:rsid w:val="00FB7E0B"/>
    <w:rsid w:val="00FC14DC"/>
    <w:rsid w:val="00FC14FB"/>
    <w:rsid w:val="00FC26FE"/>
    <w:rsid w:val="00FC2A2B"/>
    <w:rsid w:val="00FC2A96"/>
    <w:rsid w:val="00FC4038"/>
    <w:rsid w:val="00FC449D"/>
    <w:rsid w:val="00FC5251"/>
    <w:rsid w:val="00FC5522"/>
    <w:rsid w:val="00FC5993"/>
    <w:rsid w:val="00FC5EF2"/>
    <w:rsid w:val="00FC6668"/>
    <w:rsid w:val="00FC69D7"/>
    <w:rsid w:val="00FC6DD0"/>
    <w:rsid w:val="00FC728D"/>
    <w:rsid w:val="00FC7D53"/>
    <w:rsid w:val="00FD097A"/>
    <w:rsid w:val="00FD10DF"/>
    <w:rsid w:val="00FD178B"/>
    <w:rsid w:val="00FD193E"/>
    <w:rsid w:val="00FD1DB2"/>
    <w:rsid w:val="00FD2C91"/>
    <w:rsid w:val="00FD2F59"/>
    <w:rsid w:val="00FD3E9C"/>
    <w:rsid w:val="00FD3F58"/>
    <w:rsid w:val="00FD4018"/>
    <w:rsid w:val="00FD7172"/>
    <w:rsid w:val="00FD73BC"/>
    <w:rsid w:val="00FD76AC"/>
    <w:rsid w:val="00FE01DB"/>
    <w:rsid w:val="00FE17D3"/>
    <w:rsid w:val="00FE19B1"/>
    <w:rsid w:val="00FE59A6"/>
    <w:rsid w:val="00FE5CF5"/>
    <w:rsid w:val="00FE60E1"/>
    <w:rsid w:val="00FE6619"/>
    <w:rsid w:val="00FE6AA2"/>
    <w:rsid w:val="00FE6DCF"/>
    <w:rsid w:val="00FE6FB1"/>
    <w:rsid w:val="00FE7584"/>
    <w:rsid w:val="00FE761D"/>
    <w:rsid w:val="00FF0EB1"/>
    <w:rsid w:val="00FF18DD"/>
    <w:rsid w:val="00FF1EC1"/>
    <w:rsid w:val="00FF3E4E"/>
    <w:rsid w:val="00FF449D"/>
    <w:rsid w:val="00FF47E4"/>
    <w:rsid w:val="00FF4C49"/>
    <w:rsid w:val="00FF53AE"/>
    <w:rsid w:val="0188492F"/>
    <w:rsid w:val="01AD613D"/>
    <w:rsid w:val="01FD2772"/>
    <w:rsid w:val="020D4E8E"/>
    <w:rsid w:val="02896849"/>
    <w:rsid w:val="02B610A7"/>
    <w:rsid w:val="02E2122E"/>
    <w:rsid w:val="02FB3E14"/>
    <w:rsid w:val="02FB73D9"/>
    <w:rsid w:val="02FC3488"/>
    <w:rsid w:val="03043E98"/>
    <w:rsid w:val="03C63982"/>
    <w:rsid w:val="03DF6CF4"/>
    <w:rsid w:val="03EB302B"/>
    <w:rsid w:val="03FC1136"/>
    <w:rsid w:val="043E182F"/>
    <w:rsid w:val="045131F3"/>
    <w:rsid w:val="049831C4"/>
    <w:rsid w:val="04A04AD8"/>
    <w:rsid w:val="04BE1DAA"/>
    <w:rsid w:val="0512322B"/>
    <w:rsid w:val="05601DCE"/>
    <w:rsid w:val="056D28DA"/>
    <w:rsid w:val="05841E8F"/>
    <w:rsid w:val="0659687B"/>
    <w:rsid w:val="06C904C7"/>
    <w:rsid w:val="06D664BC"/>
    <w:rsid w:val="0776725F"/>
    <w:rsid w:val="07780C75"/>
    <w:rsid w:val="07C313E3"/>
    <w:rsid w:val="07E03AC7"/>
    <w:rsid w:val="07F0330D"/>
    <w:rsid w:val="08296F26"/>
    <w:rsid w:val="08CB7749"/>
    <w:rsid w:val="09030989"/>
    <w:rsid w:val="090623C3"/>
    <w:rsid w:val="0977162F"/>
    <w:rsid w:val="09B735E3"/>
    <w:rsid w:val="09CD75E1"/>
    <w:rsid w:val="09F03640"/>
    <w:rsid w:val="0A3D7C99"/>
    <w:rsid w:val="0A6F7872"/>
    <w:rsid w:val="0AE07D43"/>
    <w:rsid w:val="0BB34732"/>
    <w:rsid w:val="0BB34E87"/>
    <w:rsid w:val="0BBB39BB"/>
    <w:rsid w:val="0BEB0BFF"/>
    <w:rsid w:val="0C3D1B25"/>
    <w:rsid w:val="0C405B61"/>
    <w:rsid w:val="0C7D46AA"/>
    <w:rsid w:val="0C836407"/>
    <w:rsid w:val="0C9955B1"/>
    <w:rsid w:val="0CC171C3"/>
    <w:rsid w:val="0CD5054F"/>
    <w:rsid w:val="0CE11002"/>
    <w:rsid w:val="0D2B3611"/>
    <w:rsid w:val="0D38197E"/>
    <w:rsid w:val="0DA1326B"/>
    <w:rsid w:val="0DA629A0"/>
    <w:rsid w:val="0DAC553C"/>
    <w:rsid w:val="0DC57A8B"/>
    <w:rsid w:val="0DCB7912"/>
    <w:rsid w:val="0DE642F2"/>
    <w:rsid w:val="0E057DCD"/>
    <w:rsid w:val="0E0F1322"/>
    <w:rsid w:val="0E177220"/>
    <w:rsid w:val="0E6959E2"/>
    <w:rsid w:val="0EB41C53"/>
    <w:rsid w:val="0ED17C3A"/>
    <w:rsid w:val="0F5B7E9F"/>
    <w:rsid w:val="0F6058EF"/>
    <w:rsid w:val="10445549"/>
    <w:rsid w:val="1063181A"/>
    <w:rsid w:val="10690C2D"/>
    <w:rsid w:val="109709C4"/>
    <w:rsid w:val="10FE5294"/>
    <w:rsid w:val="112A6C8E"/>
    <w:rsid w:val="114E5B7A"/>
    <w:rsid w:val="11905F28"/>
    <w:rsid w:val="11CD4AAA"/>
    <w:rsid w:val="123244F1"/>
    <w:rsid w:val="125C6524"/>
    <w:rsid w:val="128F7B72"/>
    <w:rsid w:val="12A7715D"/>
    <w:rsid w:val="12D57B4B"/>
    <w:rsid w:val="1333244D"/>
    <w:rsid w:val="13823BFA"/>
    <w:rsid w:val="13BE4DEE"/>
    <w:rsid w:val="13CF268D"/>
    <w:rsid w:val="143F2A31"/>
    <w:rsid w:val="14654AEB"/>
    <w:rsid w:val="14A06195"/>
    <w:rsid w:val="150B3AB6"/>
    <w:rsid w:val="150C4373"/>
    <w:rsid w:val="15185DE6"/>
    <w:rsid w:val="15746EEA"/>
    <w:rsid w:val="16350F32"/>
    <w:rsid w:val="164B569F"/>
    <w:rsid w:val="16572873"/>
    <w:rsid w:val="16763D11"/>
    <w:rsid w:val="16EB61DA"/>
    <w:rsid w:val="17AB6524"/>
    <w:rsid w:val="17B90A07"/>
    <w:rsid w:val="17B934DD"/>
    <w:rsid w:val="17E669D9"/>
    <w:rsid w:val="180A7B45"/>
    <w:rsid w:val="183D0441"/>
    <w:rsid w:val="1887583E"/>
    <w:rsid w:val="189B48A8"/>
    <w:rsid w:val="18AF2F86"/>
    <w:rsid w:val="18C06807"/>
    <w:rsid w:val="18C902BC"/>
    <w:rsid w:val="191039E2"/>
    <w:rsid w:val="195B6470"/>
    <w:rsid w:val="1A1603BF"/>
    <w:rsid w:val="1A511FD6"/>
    <w:rsid w:val="1A527334"/>
    <w:rsid w:val="1AC74F32"/>
    <w:rsid w:val="1B1B7DFD"/>
    <w:rsid w:val="1B2A2545"/>
    <w:rsid w:val="1B3745B9"/>
    <w:rsid w:val="1B8D09D9"/>
    <w:rsid w:val="1BB2376D"/>
    <w:rsid w:val="1C2C2AAE"/>
    <w:rsid w:val="1C5B0156"/>
    <w:rsid w:val="1CC66081"/>
    <w:rsid w:val="1D913622"/>
    <w:rsid w:val="1DA33226"/>
    <w:rsid w:val="1DC137A8"/>
    <w:rsid w:val="1DDB5416"/>
    <w:rsid w:val="1EDA53ED"/>
    <w:rsid w:val="1EF71FC7"/>
    <w:rsid w:val="1F57441B"/>
    <w:rsid w:val="1FD2520B"/>
    <w:rsid w:val="203209FB"/>
    <w:rsid w:val="20327F34"/>
    <w:rsid w:val="2106479A"/>
    <w:rsid w:val="2108761B"/>
    <w:rsid w:val="21147CB4"/>
    <w:rsid w:val="219D2740"/>
    <w:rsid w:val="21A142E1"/>
    <w:rsid w:val="21CF1F04"/>
    <w:rsid w:val="22483A2E"/>
    <w:rsid w:val="225642CB"/>
    <w:rsid w:val="225D50DD"/>
    <w:rsid w:val="2298599D"/>
    <w:rsid w:val="22DD20A1"/>
    <w:rsid w:val="232F1CB8"/>
    <w:rsid w:val="23B009DE"/>
    <w:rsid w:val="23F10C49"/>
    <w:rsid w:val="24656D9F"/>
    <w:rsid w:val="246E0D90"/>
    <w:rsid w:val="24813B4F"/>
    <w:rsid w:val="24DA1630"/>
    <w:rsid w:val="25030558"/>
    <w:rsid w:val="25366F45"/>
    <w:rsid w:val="256B5319"/>
    <w:rsid w:val="259256F5"/>
    <w:rsid w:val="25DD2E52"/>
    <w:rsid w:val="25F86609"/>
    <w:rsid w:val="26931713"/>
    <w:rsid w:val="269A23E6"/>
    <w:rsid w:val="26AB7FCD"/>
    <w:rsid w:val="26BD5B66"/>
    <w:rsid w:val="26F871DA"/>
    <w:rsid w:val="270D5EE3"/>
    <w:rsid w:val="2791451B"/>
    <w:rsid w:val="28AC59FF"/>
    <w:rsid w:val="28EC6D5F"/>
    <w:rsid w:val="29184EB9"/>
    <w:rsid w:val="2934414A"/>
    <w:rsid w:val="29570675"/>
    <w:rsid w:val="297C092A"/>
    <w:rsid w:val="2996145B"/>
    <w:rsid w:val="29AD10DB"/>
    <w:rsid w:val="29D61CB4"/>
    <w:rsid w:val="2A1E0098"/>
    <w:rsid w:val="2AB31E90"/>
    <w:rsid w:val="2AC1600F"/>
    <w:rsid w:val="2ACA4643"/>
    <w:rsid w:val="2AE34F80"/>
    <w:rsid w:val="2B3000EC"/>
    <w:rsid w:val="2B713914"/>
    <w:rsid w:val="2BA8434E"/>
    <w:rsid w:val="2C156A83"/>
    <w:rsid w:val="2CA05AF8"/>
    <w:rsid w:val="2CA83D44"/>
    <w:rsid w:val="2CB75C5B"/>
    <w:rsid w:val="2CFA7106"/>
    <w:rsid w:val="2D0D28C5"/>
    <w:rsid w:val="2D1619EE"/>
    <w:rsid w:val="2DAF2561"/>
    <w:rsid w:val="2DBC289C"/>
    <w:rsid w:val="2E1B274D"/>
    <w:rsid w:val="2E366BE2"/>
    <w:rsid w:val="2E99244E"/>
    <w:rsid w:val="2EAF70C1"/>
    <w:rsid w:val="2EBC5AE0"/>
    <w:rsid w:val="2EC9019F"/>
    <w:rsid w:val="2F4061F6"/>
    <w:rsid w:val="2FC20952"/>
    <w:rsid w:val="30CF4F10"/>
    <w:rsid w:val="31254D98"/>
    <w:rsid w:val="313C61AF"/>
    <w:rsid w:val="31BC6A4D"/>
    <w:rsid w:val="31EA2D5F"/>
    <w:rsid w:val="324B5C21"/>
    <w:rsid w:val="329A10D2"/>
    <w:rsid w:val="32A71824"/>
    <w:rsid w:val="330C3E0A"/>
    <w:rsid w:val="335150DD"/>
    <w:rsid w:val="3389306E"/>
    <w:rsid w:val="339831F3"/>
    <w:rsid w:val="33BB61A5"/>
    <w:rsid w:val="33F25C27"/>
    <w:rsid w:val="34341491"/>
    <w:rsid w:val="343C0E76"/>
    <w:rsid w:val="347E6ABD"/>
    <w:rsid w:val="34DA080E"/>
    <w:rsid w:val="355845ED"/>
    <w:rsid w:val="35A63010"/>
    <w:rsid w:val="35B22363"/>
    <w:rsid w:val="35C010E8"/>
    <w:rsid w:val="35EE6842"/>
    <w:rsid w:val="365302D1"/>
    <w:rsid w:val="36670E9B"/>
    <w:rsid w:val="36A878CD"/>
    <w:rsid w:val="36CA5B55"/>
    <w:rsid w:val="36F21BBC"/>
    <w:rsid w:val="3763745C"/>
    <w:rsid w:val="381E27CB"/>
    <w:rsid w:val="382C55E0"/>
    <w:rsid w:val="38542B8F"/>
    <w:rsid w:val="38594B3A"/>
    <w:rsid w:val="386A0646"/>
    <w:rsid w:val="389E16F7"/>
    <w:rsid w:val="39017963"/>
    <w:rsid w:val="390671B5"/>
    <w:rsid w:val="39613FAD"/>
    <w:rsid w:val="397173BC"/>
    <w:rsid w:val="39C75FD2"/>
    <w:rsid w:val="39E224F7"/>
    <w:rsid w:val="39F90A26"/>
    <w:rsid w:val="39FA495D"/>
    <w:rsid w:val="3A8125B4"/>
    <w:rsid w:val="3A98798D"/>
    <w:rsid w:val="3AFA72F6"/>
    <w:rsid w:val="3B2145E0"/>
    <w:rsid w:val="3BA21182"/>
    <w:rsid w:val="3BC82F5D"/>
    <w:rsid w:val="3BD305AE"/>
    <w:rsid w:val="3BED096F"/>
    <w:rsid w:val="3BFE4F91"/>
    <w:rsid w:val="3C1A5994"/>
    <w:rsid w:val="3C565593"/>
    <w:rsid w:val="3CEE197B"/>
    <w:rsid w:val="3D300271"/>
    <w:rsid w:val="3D632200"/>
    <w:rsid w:val="3D721ED2"/>
    <w:rsid w:val="3D733AB0"/>
    <w:rsid w:val="3D81407E"/>
    <w:rsid w:val="3DB55B94"/>
    <w:rsid w:val="3DB64B73"/>
    <w:rsid w:val="3E097655"/>
    <w:rsid w:val="3E25558F"/>
    <w:rsid w:val="3E2F67AF"/>
    <w:rsid w:val="3E521176"/>
    <w:rsid w:val="3E646904"/>
    <w:rsid w:val="3E8E4C42"/>
    <w:rsid w:val="3EAC2EBB"/>
    <w:rsid w:val="3EE15F8C"/>
    <w:rsid w:val="3F3560D6"/>
    <w:rsid w:val="3F4B674B"/>
    <w:rsid w:val="3FEF42DE"/>
    <w:rsid w:val="40797C61"/>
    <w:rsid w:val="40AF7E93"/>
    <w:rsid w:val="40C613DC"/>
    <w:rsid w:val="41267932"/>
    <w:rsid w:val="4168525C"/>
    <w:rsid w:val="419B3209"/>
    <w:rsid w:val="41A36B2C"/>
    <w:rsid w:val="41B909CB"/>
    <w:rsid w:val="41C665B3"/>
    <w:rsid w:val="41F574EF"/>
    <w:rsid w:val="42577F47"/>
    <w:rsid w:val="42852F7C"/>
    <w:rsid w:val="42B20A35"/>
    <w:rsid w:val="42D26AA1"/>
    <w:rsid w:val="42FF6D06"/>
    <w:rsid w:val="43114EBB"/>
    <w:rsid w:val="43383929"/>
    <w:rsid w:val="43A00101"/>
    <w:rsid w:val="43B45E99"/>
    <w:rsid w:val="43EC6D3B"/>
    <w:rsid w:val="43F855EE"/>
    <w:rsid w:val="44386306"/>
    <w:rsid w:val="444D0340"/>
    <w:rsid w:val="44AE7924"/>
    <w:rsid w:val="44B2397C"/>
    <w:rsid w:val="44BA670E"/>
    <w:rsid w:val="44CB35A3"/>
    <w:rsid w:val="44CD6E74"/>
    <w:rsid w:val="44E3583B"/>
    <w:rsid w:val="45003969"/>
    <w:rsid w:val="453673BC"/>
    <w:rsid w:val="45485320"/>
    <w:rsid w:val="45873FFA"/>
    <w:rsid w:val="45EE0504"/>
    <w:rsid w:val="462F6A06"/>
    <w:rsid w:val="469B34A9"/>
    <w:rsid w:val="46DE2E39"/>
    <w:rsid w:val="46E66E37"/>
    <w:rsid w:val="46E96C2C"/>
    <w:rsid w:val="47557F8C"/>
    <w:rsid w:val="4762774F"/>
    <w:rsid w:val="47703D42"/>
    <w:rsid w:val="47D77CA7"/>
    <w:rsid w:val="47E43A51"/>
    <w:rsid w:val="486E2FD5"/>
    <w:rsid w:val="487B5F72"/>
    <w:rsid w:val="489B740B"/>
    <w:rsid w:val="48BA02A0"/>
    <w:rsid w:val="48CD1B38"/>
    <w:rsid w:val="48ED6DA1"/>
    <w:rsid w:val="490D3CB5"/>
    <w:rsid w:val="49430783"/>
    <w:rsid w:val="49A70F0C"/>
    <w:rsid w:val="49B11B54"/>
    <w:rsid w:val="4A202696"/>
    <w:rsid w:val="4A4C14C8"/>
    <w:rsid w:val="4B6D2FBD"/>
    <w:rsid w:val="4BC17DCF"/>
    <w:rsid w:val="4BEE5A4A"/>
    <w:rsid w:val="4BFF5869"/>
    <w:rsid w:val="4C424DCB"/>
    <w:rsid w:val="4CDB3272"/>
    <w:rsid w:val="4D33238A"/>
    <w:rsid w:val="4D804383"/>
    <w:rsid w:val="4D8918D5"/>
    <w:rsid w:val="4D961DD5"/>
    <w:rsid w:val="4E193ECF"/>
    <w:rsid w:val="4E244A11"/>
    <w:rsid w:val="4E2D27BF"/>
    <w:rsid w:val="4EA21E4F"/>
    <w:rsid w:val="4F41520F"/>
    <w:rsid w:val="4F443527"/>
    <w:rsid w:val="4F462D73"/>
    <w:rsid w:val="4F541D96"/>
    <w:rsid w:val="4F5E7CBD"/>
    <w:rsid w:val="4F600160"/>
    <w:rsid w:val="4F6F3B97"/>
    <w:rsid w:val="4F882072"/>
    <w:rsid w:val="4FD35DEE"/>
    <w:rsid w:val="50373B43"/>
    <w:rsid w:val="508768D2"/>
    <w:rsid w:val="5097617B"/>
    <w:rsid w:val="509A41CB"/>
    <w:rsid w:val="50B420E5"/>
    <w:rsid w:val="50E65630"/>
    <w:rsid w:val="51276461"/>
    <w:rsid w:val="512C0366"/>
    <w:rsid w:val="51A04031"/>
    <w:rsid w:val="51B7229D"/>
    <w:rsid w:val="521176F0"/>
    <w:rsid w:val="52192B94"/>
    <w:rsid w:val="52232B32"/>
    <w:rsid w:val="522526F8"/>
    <w:rsid w:val="52567BF5"/>
    <w:rsid w:val="529B4F95"/>
    <w:rsid w:val="537070D8"/>
    <w:rsid w:val="537B7EBC"/>
    <w:rsid w:val="53B94F3B"/>
    <w:rsid w:val="53CD599D"/>
    <w:rsid w:val="53D01365"/>
    <w:rsid w:val="54632401"/>
    <w:rsid w:val="546D6331"/>
    <w:rsid w:val="5492599F"/>
    <w:rsid w:val="54B464F7"/>
    <w:rsid w:val="54EB385C"/>
    <w:rsid w:val="55387686"/>
    <w:rsid w:val="554C44BA"/>
    <w:rsid w:val="555E332C"/>
    <w:rsid w:val="556011AE"/>
    <w:rsid w:val="55AE223F"/>
    <w:rsid w:val="55C651DA"/>
    <w:rsid w:val="55DC4B33"/>
    <w:rsid w:val="563B4E3A"/>
    <w:rsid w:val="5646069E"/>
    <w:rsid w:val="565E4802"/>
    <w:rsid w:val="5693314E"/>
    <w:rsid w:val="56970DD7"/>
    <w:rsid w:val="56FC4DA7"/>
    <w:rsid w:val="57223312"/>
    <w:rsid w:val="57240032"/>
    <w:rsid w:val="572B6779"/>
    <w:rsid w:val="57426891"/>
    <w:rsid w:val="57615F57"/>
    <w:rsid w:val="57784D71"/>
    <w:rsid w:val="577E0B7E"/>
    <w:rsid w:val="5787673B"/>
    <w:rsid w:val="579A4D6E"/>
    <w:rsid w:val="58925028"/>
    <w:rsid w:val="58B63F5A"/>
    <w:rsid w:val="58B85FB5"/>
    <w:rsid w:val="59B1527A"/>
    <w:rsid w:val="59CA2048"/>
    <w:rsid w:val="59D65CC5"/>
    <w:rsid w:val="59D7497A"/>
    <w:rsid w:val="5A0418AC"/>
    <w:rsid w:val="5A0D49B6"/>
    <w:rsid w:val="5A37087E"/>
    <w:rsid w:val="5B037967"/>
    <w:rsid w:val="5B08253C"/>
    <w:rsid w:val="5B5A506C"/>
    <w:rsid w:val="5B6B08C4"/>
    <w:rsid w:val="5B8D674C"/>
    <w:rsid w:val="5B9D47D8"/>
    <w:rsid w:val="5BA96C79"/>
    <w:rsid w:val="5C1E7659"/>
    <w:rsid w:val="5C4B0991"/>
    <w:rsid w:val="5C571885"/>
    <w:rsid w:val="5C8F0894"/>
    <w:rsid w:val="5C9F583B"/>
    <w:rsid w:val="5CAA1F71"/>
    <w:rsid w:val="5CC114B6"/>
    <w:rsid w:val="5CD82279"/>
    <w:rsid w:val="5D4447A6"/>
    <w:rsid w:val="5D4A03FA"/>
    <w:rsid w:val="5D70247C"/>
    <w:rsid w:val="5D923F3B"/>
    <w:rsid w:val="5DC82BC5"/>
    <w:rsid w:val="5DFA2BC2"/>
    <w:rsid w:val="5E3946C6"/>
    <w:rsid w:val="5E516AAD"/>
    <w:rsid w:val="5E7A3557"/>
    <w:rsid w:val="5E9D1CDF"/>
    <w:rsid w:val="5EE16E2E"/>
    <w:rsid w:val="5EE50E1E"/>
    <w:rsid w:val="5EE97491"/>
    <w:rsid w:val="5EFF764D"/>
    <w:rsid w:val="5F563DBF"/>
    <w:rsid w:val="5F627FC1"/>
    <w:rsid w:val="5FD2545A"/>
    <w:rsid w:val="5FDD1AEE"/>
    <w:rsid w:val="5FE478EC"/>
    <w:rsid w:val="600639B4"/>
    <w:rsid w:val="605C772C"/>
    <w:rsid w:val="60CF037A"/>
    <w:rsid w:val="613A1A22"/>
    <w:rsid w:val="61581610"/>
    <w:rsid w:val="61650FB6"/>
    <w:rsid w:val="61CF7D4E"/>
    <w:rsid w:val="62415C5F"/>
    <w:rsid w:val="624832C1"/>
    <w:rsid w:val="62AA6F9F"/>
    <w:rsid w:val="62EB37BA"/>
    <w:rsid w:val="635810B8"/>
    <w:rsid w:val="636E0FF0"/>
    <w:rsid w:val="63C20BE7"/>
    <w:rsid w:val="63EB5341"/>
    <w:rsid w:val="6417015E"/>
    <w:rsid w:val="645F120F"/>
    <w:rsid w:val="64714362"/>
    <w:rsid w:val="64AC4E72"/>
    <w:rsid w:val="651D5CD4"/>
    <w:rsid w:val="65343AC4"/>
    <w:rsid w:val="654E6031"/>
    <w:rsid w:val="656B31E0"/>
    <w:rsid w:val="65C54CEF"/>
    <w:rsid w:val="660C69A7"/>
    <w:rsid w:val="660E411D"/>
    <w:rsid w:val="66346736"/>
    <w:rsid w:val="66E650A6"/>
    <w:rsid w:val="670C31C5"/>
    <w:rsid w:val="67190736"/>
    <w:rsid w:val="67390C9E"/>
    <w:rsid w:val="673A7185"/>
    <w:rsid w:val="6765314D"/>
    <w:rsid w:val="67C26229"/>
    <w:rsid w:val="680E0E88"/>
    <w:rsid w:val="681D5311"/>
    <w:rsid w:val="69593972"/>
    <w:rsid w:val="69F16458"/>
    <w:rsid w:val="6A0C144B"/>
    <w:rsid w:val="6A3738E0"/>
    <w:rsid w:val="6A84579F"/>
    <w:rsid w:val="6ABB11CB"/>
    <w:rsid w:val="6ADB3B18"/>
    <w:rsid w:val="6AF50FC3"/>
    <w:rsid w:val="6B557F6D"/>
    <w:rsid w:val="6B816B7C"/>
    <w:rsid w:val="6B8A5B9A"/>
    <w:rsid w:val="6BC23105"/>
    <w:rsid w:val="6BEB1538"/>
    <w:rsid w:val="6BF36405"/>
    <w:rsid w:val="6C084384"/>
    <w:rsid w:val="6C2F7685"/>
    <w:rsid w:val="6C595E91"/>
    <w:rsid w:val="6CA0722A"/>
    <w:rsid w:val="6D1B7BEB"/>
    <w:rsid w:val="6D7A2B09"/>
    <w:rsid w:val="6D824E63"/>
    <w:rsid w:val="6DD52E0F"/>
    <w:rsid w:val="6DE40EC4"/>
    <w:rsid w:val="6E4E48E4"/>
    <w:rsid w:val="6E582B05"/>
    <w:rsid w:val="6E5A7B9D"/>
    <w:rsid w:val="6EC826A5"/>
    <w:rsid w:val="6EE20A28"/>
    <w:rsid w:val="6F913014"/>
    <w:rsid w:val="6FC81F88"/>
    <w:rsid w:val="704A26E1"/>
    <w:rsid w:val="708E40B3"/>
    <w:rsid w:val="70B02D5B"/>
    <w:rsid w:val="70CE362B"/>
    <w:rsid w:val="715378FD"/>
    <w:rsid w:val="71CA2701"/>
    <w:rsid w:val="71E3495A"/>
    <w:rsid w:val="71ED5725"/>
    <w:rsid w:val="72370CE9"/>
    <w:rsid w:val="728C39C7"/>
    <w:rsid w:val="72C43747"/>
    <w:rsid w:val="72CB2AD3"/>
    <w:rsid w:val="73037F1A"/>
    <w:rsid w:val="73607849"/>
    <w:rsid w:val="738C3224"/>
    <w:rsid w:val="738F7F4B"/>
    <w:rsid w:val="73AC6508"/>
    <w:rsid w:val="73AE052C"/>
    <w:rsid w:val="73B57B70"/>
    <w:rsid w:val="73E43A19"/>
    <w:rsid w:val="740D54D7"/>
    <w:rsid w:val="741544AD"/>
    <w:rsid w:val="743663C2"/>
    <w:rsid w:val="74E5766A"/>
    <w:rsid w:val="75190552"/>
    <w:rsid w:val="75325FC4"/>
    <w:rsid w:val="754C240E"/>
    <w:rsid w:val="75815178"/>
    <w:rsid w:val="75C727E5"/>
    <w:rsid w:val="75E24A32"/>
    <w:rsid w:val="75FE69A8"/>
    <w:rsid w:val="76783E98"/>
    <w:rsid w:val="76C47188"/>
    <w:rsid w:val="775A64BB"/>
    <w:rsid w:val="777A608B"/>
    <w:rsid w:val="780C2382"/>
    <w:rsid w:val="780D584E"/>
    <w:rsid w:val="783072A3"/>
    <w:rsid w:val="78427E80"/>
    <w:rsid w:val="78946610"/>
    <w:rsid w:val="797E524E"/>
    <w:rsid w:val="79B56E51"/>
    <w:rsid w:val="79C31985"/>
    <w:rsid w:val="79EA5479"/>
    <w:rsid w:val="7A84427B"/>
    <w:rsid w:val="7AD5240B"/>
    <w:rsid w:val="7B0343CA"/>
    <w:rsid w:val="7B706CB3"/>
    <w:rsid w:val="7B9B69D9"/>
    <w:rsid w:val="7C2F452D"/>
    <w:rsid w:val="7C366182"/>
    <w:rsid w:val="7C7A071A"/>
    <w:rsid w:val="7CCA07D0"/>
    <w:rsid w:val="7CFC0389"/>
    <w:rsid w:val="7D071AB6"/>
    <w:rsid w:val="7DB2357C"/>
    <w:rsid w:val="7DE73A83"/>
    <w:rsid w:val="7DF068BB"/>
    <w:rsid w:val="7DF724C7"/>
    <w:rsid w:val="7E5F1964"/>
    <w:rsid w:val="7EB360B1"/>
    <w:rsid w:val="7F9F5614"/>
    <w:rsid w:val="7FE33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4"/>
    <w:qFormat/>
    <w:uiPriority w:val="0"/>
    <w:pPr>
      <w:keepNext/>
      <w:jc w:val="center"/>
      <w:outlineLvl w:val="0"/>
    </w:pPr>
    <w:rPr>
      <w:sz w:val="28"/>
      <w:szCs w:val="20"/>
    </w:rPr>
  </w:style>
  <w:style w:type="paragraph" w:styleId="4">
    <w:name w:val="heading 2"/>
    <w:basedOn w:val="1"/>
    <w:next w:val="1"/>
    <w:link w:val="41"/>
    <w:qFormat/>
    <w:uiPriority w:val="0"/>
    <w:pPr>
      <w:keepNext/>
      <w:keepLines/>
      <w:autoSpaceDE w:val="0"/>
      <w:autoSpaceDN w:val="0"/>
      <w:adjustRightInd w:val="0"/>
      <w:spacing w:before="120" w:after="120"/>
      <w:textAlignment w:val="baseline"/>
      <w:outlineLvl w:val="1"/>
    </w:pPr>
    <w:rPr>
      <w:rFonts w:ascii="宋体" w:hAnsi="Arial" w:eastAsia="楷体_GB2312"/>
      <w:b/>
      <w:kern w:val="24"/>
      <w:sz w:val="24"/>
      <w:szCs w:val="20"/>
    </w:rPr>
  </w:style>
  <w:style w:type="paragraph" w:styleId="5">
    <w:name w:val="heading 3"/>
    <w:basedOn w:val="1"/>
    <w:next w:val="1"/>
    <w:qFormat/>
    <w:uiPriority w:val="9"/>
    <w:pPr>
      <w:numPr>
        <w:ilvl w:val="2"/>
        <w:numId w:val="1"/>
      </w:numPr>
      <w:autoSpaceDE w:val="0"/>
      <w:autoSpaceDN w:val="0"/>
      <w:adjustRightInd w:val="0"/>
      <w:spacing w:before="120" w:after="120"/>
      <w:textAlignment w:val="baseline"/>
      <w:outlineLvl w:val="2"/>
    </w:pPr>
    <w:rPr>
      <w:rFonts w:ascii="宋体" w:hAnsi="Impact" w:eastAsia="楷体_GB2312"/>
      <w:b/>
      <w:kern w:val="24"/>
      <w:sz w:val="24"/>
      <w:szCs w:val="20"/>
    </w:rPr>
  </w:style>
  <w:style w:type="paragraph" w:styleId="6">
    <w:name w:val="heading 4"/>
    <w:basedOn w:val="1"/>
    <w:next w:val="1"/>
    <w:qFormat/>
    <w:uiPriority w:val="0"/>
    <w:pPr>
      <w:numPr>
        <w:ilvl w:val="3"/>
        <w:numId w:val="2"/>
      </w:numPr>
      <w:autoSpaceDE w:val="0"/>
      <w:autoSpaceDN w:val="0"/>
      <w:adjustRightInd w:val="0"/>
      <w:spacing w:before="120" w:after="120"/>
      <w:textAlignment w:val="baseline"/>
      <w:outlineLvl w:val="3"/>
    </w:pPr>
    <w:rPr>
      <w:rFonts w:ascii="宋体" w:hAnsi="Arial" w:eastAsia="楷体_GB2312"/>
      <w:b/>
      <w:kern w:val="24"/>
      <w:sz w:val="24"/>
      <w:szCs w:val="20"/>
    </w:rPr>
  </w:style>
  <w:style w:type="paragraph" w:styleId="7">
    <w:name w:val="heading 5"/>
    <w:basedOn w:val="1"/>
    <w:next w:val="8"/>
    <w:qFormat/>
    <w:uiPriority w:val="0"/>
    <w:pPr>
      <w:keepNext/>
      <w:keepLines/>
      <w:numPr>
        <w:ilvl w:val="4"/>
        <w:numId w:val="2"/>
      </w:numPr>
      <w:spacing w:before="60" w:after="60"/>
      <w:outlineLvl w:val="4"/>
    </w:pPr>
    <w:rPr>
      <w:rFonts w:ascii="宋体" w:hAnsi="Impact" w:eastAsia="楷体_GB2312"/>
      <w:b/>
      <w:sz w:val="24"/>
      <w:szCs w:val="20"/>
    </w:rPr>
  </w:style>
  <w:style w:type="paragraph" w:styleId="9">
    <w:name w:val="heading 6"/>
    <w:basedOn w:val="1"/>
    <w:next w:val="1"/>
    <w:qFormat/>
    <w:uiPriority w:val="0"/>
    <w:pPr>
      <w:keepNext/>
      <w:keepLines/>
      <w:numPr>
        <w:ilvl w:val="5"/>
        <w:numId w:val="2"/>
      </w:numPr>
      <w:autoSpaceDE w:val="0"/>
      <w:autoSpaceDN w:val="0"/>
      <w:adjustRightInd w:val="0"/>
      <w:spacing w:before="120" w:after="64" w:line="317" w:lineRule="auto"/>
      <w:textAlignment w:val="baseline"/>
      <w:outlineLvl w:val="5"/>
    </w:pPr>
    <w:rPr>
      <w:rFonts w:ascii="Arial" w:hAnsi="Arial" w:eastAsia="楷体_GB2312"/>
      <w:b/>
      <w:kern w:val="24"/>
      <w:sz w:val="24"/>
      <w:szCs w:val="20"/>
    </w:rPr>
  </w:style>
  <w:style w:type="paragraph" w:styleId="10">
    <w:name w:val="heading 7"/>
    <w:basedOn w:val="1"/>
    <w:next w:val="1"/>
    <w:qFormat/>
    <w:uiPriority w:val="9"/>
    <w:pPr>
      <w:keepNext/>
      <w:keepLines/>
      <w:numPr>
        <w:ilvl w:val="6"/>
        <w:numId w:val="2"/>
      </w:numPr>
      <w:autoSpaceDE w:val="0"/>
      <w:autoSpaceDN w:val="0"/>
      <w:adjustRightInd w:val="0"/>
      <w:spacing w:before="240" w:after="64" w:line="319" w:lineRule="auto"/>
      <w:textAlignment w:val="baseline"/>
      <w:outlineLvl w:val="6"/>
    </w:pPr>
    <w:rPr>
      <w:rFonts w:ascii="宋体" w:hAnsi="Impact" w:eastAsia="楷体_GB2312"/>
      <w:b/>
      <w:kern w:val="24"/>
      <w:sz w:val="24"/>
      <w:szCs w:val="20"/>
    </w:rPr>
  </w:style>
  <w:style w:type="paragraph" w:styleId="11">
    <w:name w:val="heading 8"/>
    <w:basedOn w:val="1"/>
    <w:next w:val="1"/>
    <w:qFormat/>
    <w:uiPriority w:val="0"/>
    <w:pPr>
      <w:keepNext/>
      <w:keepLines/>
      <w:numPr>
        <w:ilvl w:val="7"/>
        <w:numId w:val="2"/>
      </w:numPr>
      <w:autoSpaceDE w:val="0"/>
      <w:autoSpaceDN w:val="0"/>
      <w:adjustRightInd w:val="0"/>
      <w:spacing w:before="240" w:after="64" w:line="319" w:lineRule="auto"/>
      <w:textAlignment w:val="baseline"/>
      <w:outlineLvl w:val="7"/>
    </w:pPr>
    <w:rPr>
      <w:rFonts w:ascii="Arial" w:hAnsi="Arial" w:eastAsia="黑体"/>
      <w:kern w:val="24"/>
      <w:sz w:val="24"/>
      <w:szCs w:val="20"/>
    </w:rPr>
  </w:style>
  <w:style w:type="paragraph" w:styleId="12">
    <w:name w:val="heading 9"/>
    <w:basedOn w:val="1"/>
    <w:next w:val="1"/>
    <w:qFormat/>
    <w:uiPriority w:val="0"/>
    <w:pPr>
      <w:keepNext/>
      <w:keepLines/>
      <w:numPr>
        <w:ilvl w:val="8"/>
        <w:numId w:val="2"/>
      </w:numPr>
      <w:autoSpaceDE w:val="0"/>
      <w:autoSpaceDN w:val="0"/>
      <w:adjustRightInd w:val="0"/>
      <w:spacing w:before="240" w:after="64" w:line="319" w:lineRule="auto"/>
      <w:textAlignment w:val="baseline"/>
      <w:outlineLvl w:val="8"/>
    </w:pPr>
    <w:rPr>
      <w:rFonts w:ascii="Arial" w:hAnsi="Arial" w:eastAsia="黑体"/>
      <w:kern w:val="24"/>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正文 首行缩进:  2 字符"/>
    <w:basedOn w:val="1"/>
    <w:qFormat/>
    <w:uiPriority w:val="0"/>
    <w:pPr>
      <w:adjustRightInd w:val="0"/>
      <w:snapToGrid w:val="0"/>
      <w:ind w:firstLine="579" w:firstLineChars="200"/>
    </w:pPr>
    <w:rPr>
      <w:rFonts w:cs="宋体"/>
      <w:sz w:val="28"/>
      <w:szCs w:val="20"/>
    </w:rPr>
  </w:style>
  <w:style w:type="paragraph" w:styleId="8">
    <w:name w:val="Normal Indent"/>
    <w:basedOn w:val="1"/>
    <w:link w:val="58"/>
    <w:qFormat/>
    <w:uiPriority w:val="0"/>
    <w:pPr>
      <w:ind w:firstLine="420"/>
    </w:pPr>
  </w:style>
  <w:style w:type="paragraph" w:styleId="13">
    <w:name w:val="List 3"/>
    <w:basedOn w:val="1"/>
    <w:qFormat/>
    <w:uiPriority w:val="0"/>
    <w:pPr>
      <w:ind w:left="100" w:leftChars="400" w:hanging="200" w:hangingChars="200"/>
    </w:pPr>
  </w:style>
  <w:style w:type="paragraph" w:styleId="14">
    <w:name w:val="Note Heading"/>
    <w:basedOn w:val="1"/>
    <w:next w:val="1"/>
    <w:qFormat/>
    <w:uiPriority w:val="0"/>
    <w:pPr>
      <w:jc w:val="center"/>
    </w:pPr>
    <w:rPr>
      <w:szCs w:val="20"/>
    </w:rPr>
  </w:style>
  <w:style w:type="paragraph" w:styleId="15">
    <w:name w:val="Document Map"/>
    <w:basedOn w:val="1"/>
    <w:semiHidden/>
    <w:qFormat/>
    <w:uiPriority w:val="0"/>
    <w:pPr>
      <w:shd w:val="clear" w:color="auto" w:fill="000080"/>
    </w:pPr>
  </w:style>
  <w:style w:type="paragraph" w:styleId="16">
    <w:name w:val="annotation text"/>
    <w:basedOn w:val="1"/>
    <w:link w:val="47"/>
    <w:qFormat/>
    <w:uiPriority w:val="0"/>
    <w:pPr>
      <w:jc w:val="left"/>
    </w:pPr>
  </w:style>
  <w:style w:type="paragraph" w:styleId="17">
    <w:name w:val="Body Text"/>
    <w:basedOn w:val="1"/>
    <w:link w:val="95"/>
    <w:qFormat/>
    <w:uiPriority w:val="0"/>
    <w:pPr>
      <w:spacing w:line="360" w:lineRule="auto"/>
    </w:pPr>
    <w:rPr>
      <w:b/>
      <w:bCs/>
      <w:sz w:val="32"/>
    </w:rPr>
  </w:style>
  <w:style w:type="paragraph" w:styleId="18">
    <w:name w:val="Body Text Indent"/>
    <w:basedOn w:val="1"/>
    <w:link w:val="49"/>
    <w:qFormat/>
    <w:uiPriority w:val="0"/>
    <w:pPr>
      <w:spacing w:line="300" w:lineRule="auto"/>
      <w:ind w:firstLine="454"/>
    </w:pPr>
    <w:rPr>
      <w:sz w:val="24"/>
    </w:rPr>
  </w:style>
  <w:style w:type="paragraph" w:styleId="19">
    <w:name w:val="Plain Text"/>
    <w:basedOn w:val="1"/>
    <w:qFormat/>
    <w:uiPriority w:val="0"/>
    <w:rPr>
      <w:rFonts w:ascii="宋体" w:hAnsi="Courier New"/>
      <w:szCs w:val="20"/>
    </w:rPr>
  </w:style>
  <w:style w:type="paragraph" w:styleId="20">
    <w:name w:val="Date"/>
    <w:basedOn w:val="1"/>
    <w:next w:val="1"/>
    <w:qFormat/>
    <w:uiPriority w:val="0"/>
    <w:rPr>
      <w:sz w:val="24"/>
      <w:szCs w:val="20"/>
    </w:rPr>
  </w:style>
  <w:style w:type="paragraph" w:styleId="21">
    <w:name w:val="Body Text Indent 2"/>
    <w:basedOn w:val="1"/>
    <w:qFormat/>
    <w:uiPriority w:val="0"/>
    <w:pPr>
      <w:widowControl/>
      <w:ind w:firstLine="430"/>
      <w:jc w:val="left"/>
    </w:pPr>
    <w:rPr>
      <w:kern w:val="0"/>
      <w:sz w:val="24"/>
      <w:szCs w:val="20"/>
    </w:rPr>
  </w:style>
  <w:style w:type="paragraph" w:styleId="22">
    <w:name w:val="Balloon Text"/>
    <w:basedOn w:val="1"/>
    <w:semiHidden/>
    <w:qFormat/>
    <w:uiPriority w:val="0"/>
    <w:rPr>
      <w:sz w:val="18"/>
      <w:szCs w:val="18"/>
    </w:rPr>
  </w:style>
  <w:style w:type="paragraph" w:styleId="23">
    <w:name w:val="footer"/>
    <w:basedOn w:val="1"/>
    <w:link w:val="38"/>
    <w:qFormat/>
    <w:uiPriority w:val="99"/>
    <w:pPr>
      <w:widowControl/>
      <w:tabs>
        <w:tab w:val="center" w:pos="4153"/>
        <w:tab w:val="right" w:pos="8306"/>
      </w:tabs>
      <w:snapToGrid w:val="0"/>
      <w:jc w:val="left"/>
    </w:pPr>
    <w:rPr>
      <w:kern w:val="0"/>
      <w:sz w:val="18"/>
      <w:szCs w:val="20"/>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List"/>
    <w:basedOn w:val="1"/>
    <w:qFormat/>
    <w:uiPriority w:val="0"/>
    <w:pPr>
      <w:ind w:left="200" w:hanging="200" w:hangingChars="200"/>
      <w:contextualSpacing/>
    </w:pPr>
  </w:style>
  <w:style w:type="paragraph" w:styleId="26">
    <w:name w:val="Body Text Indent 3"/>
    <w:basedOn w:val="1"/>
    <w:qFormat/>
    <w:uiPriority w:val="0"/>
    <w:pPr>
      <w:spacing w:line="288" w:lineRule="auto"/>
      <w:ind w:firstLine="430"/>
    </w:pPr>
    <w:rPr>
      <w:sz w:val="24"/>
    </w:rPr>
  </w:style>
  <w:style w:type="paragraph" w:styleId="27">
    <w:name w:val="Body Text 2"/>
    <w:basedOn w:val="1"/>
    <w:qFormat/>
    <w:uiPriority w:val="0"/>
    <w:pPr>
      <w:jc w:val="center"/>
    </w:pPr>
    <w:rPr>
      <w:szCs w:val="20"/>
    </w:rPr>
  </w:style>
  <w:style w:type="paragraph" w:styleId="28">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paragraph" w:styleId="29">
    <w:name w:val="annotation subject"/>
    <w:basedOn w:val="16"/>
    <w:next w:val="16"/>
    <w:semiHidden/>
    <w:qFormat/>
    <w:uiPriority w:val="0"/>
    <w:rPr>
      <w:b/>
      <w:bCs/>
    </w:rPr>
  </w:style>
  <w:style w:type="paragraph" w:styleId="30">
    <w:name w:val="Body Text First Indent"/>
    <w:basedOn w:val="17"/>
    <w:link w:val="96"/>
    <w:qFormat/>
    <w:uiPriority w:val="0"/>
    <w:pPr>
      <w:spacing w:after="120" w:line="240" w:lineRule="auto"/>
      <w:ind w:firstLine="420" w:firstLineChars="100"/>
    </w:pPr>
    <w:rPr>
      <w:b w:val="0"/>
      <w:bCs w:val="0"/>
      <w:sz w:val="21"/>
      <w:szCs w:val="20"/>
    </w:rPr>
  </w:style>
  <w:style w:type="table" w:styleId="32">
    <w:name w:val="Table Grid"/>
    <w:basedOn w:val="3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4">
    <w:name w:val="Strong"/>
    <w:qFormat/>
    <w:uiPriority w:val="0"/>
    <w:rPr>
      <w:b/>
      <w:bCs/>
    </w:rPr>
  </w:style>
  <w:style w:type="character" w:styleId="35">
    <w:name w:val="page number"/>
    <w:basedOn w:val="33"/>
    <w:qFormat/>
    <w:uiPriority w:val="0"/>
  </w:style>
  <w:style w:type="character" w:styleId="36">
    <w:name w:val="Hyperlink"/>
    <w:qFormat/>
    <w:uiPriority w:val="0"/>
    <w:rPr>
      <w:color w:val="136EC2"/>
      <w:u w:val="single"/>
    </w:rPr>
  </w:style>
  <w:style w:type="character" w:styleId="37">
    <w:name w:val="annotation reference"/>
    <w:semiHidden/>
    <w:qFormat/>
    <w:uiPriority w:val="0"/>
    <w:rPr>
      <w:sz w:val="21"/>
      <w:szCs w:val="21"/>
    </w:rPr>
  </w:style>
  <w:style w:type="character" w:customStyle="1" w:styleId="38">
    <w:name w:val="页脚 字符"/>
    <w:link w:val="23"/>
    <w:qFormat/>
    <w:uiPriority w:val="99"/>
    <w:rPr>
      <w:rFonts w:eastAsia="宋体"/>
      <w:sz w:val="18"/>
      <w:lang w:bidi="ar-SA"/>
    </w:rPr>
  </w:style>
  <w:style w:type="character" w:customStyle="1" w:styleId="39">
    <w:name w:val="正文 03 Char"/>
    <w:link w:val="40"/>
    <w:qFormat/>
    <w:uiPriority w:val="0"/>
    <w:rPr>
      <w:rFonts w:eastAsia="楷体_GB2312"/>
      <w:sz w:val="24"/>
      <w:lang w:val="en-US" w:eastAsia="zh-CN" w:bidi="ar-SA"/>
    </w:rPr>
  </w:style>
  <w:style w:type="paragraph" w:customStyle="1" w:styleId="40">
    <w:name w:val="正文 03"/>
    <w:basedOn w:val="1"/>
    <w:link w:val="39"/>
    <w:qFormat/>
    <w:uiPriority w:val="0"/>
    <w:pPr>
      <w:autoSpaceDE w:val="0"/>
      <w:autoSpaceDN w:val="0"/>
      <w:adjustRightInd w:val="0"/>
      <w:textAlignment w:val="baseline"/>
    </w:pPr>
    <w:rPr>
      <w:rFonts w:eastAsia="楷体_GB2312"/>
      <w:kern w:val="0"/>
      <w:sz w:val="24"/>
      <w:szCs w:val="20"/>
    </w:rPr>
  </w:style>
  <w:style w:type="character" w:customStyle="1" w:styleId="41">
    <w:name w:val="标题 2 字符1"/>
    <w:link w:val="4"/>
    <w:qFormat/>
    <w:uiPriority w:val="0"/>
    <w:rPr>
      <w:rFonts w:ascii="宋体" w:hAnsi="Arial" w:eastAsia="楷体_GB2312"/>
      <w:b/>
      <w:kern w:val="24"/>
      <w:sz w:val="24"/>
      <w:lang w:val="en-US" w:eastAsia="zh-CN" w:bidi="ar-SA"/>
    </w:rPr>
  </w:style>
  <w:style w:type="character" w:customStyle="1" w:styleId="42">
    <w:name w:val="正文 32 Char"/>
    <w:link w:val="43"/>
    <w:qFormat/>
    <w:uiPriority w:val="0"/>
    <w:rPr>
      <w:rFonts w:eastAsia="楷体_GB2312"/>
      <w:sz w:val="24"/>
      <w:lang w:val="en-US" w:eastAsia="zh-CN" w:bidi="ar-SA"/>
    </w:rPr>
  </w:style>
  <w:style w:type="paragraph" w:customStyle="1" w:styleId="43">
    <w:name w:val="正文 32"/>
    <w:basedOn w:val="1"/>
    <w:link w:val="42"/>
    <w:qFormat/>
    <w:uiPriority w:val="0"/>
    <w:pPr>
      <w:autoSpaceDE w:val="0"/>
      <w:autoSpaceDN w:val="0"/>
      <w:adjustRightInd w:val="0"/>
      <w:spacing w:line="300" w:lineRule="auto"/>
      <w:ind w:firstLine="567"/>
      <w:textAlignment w:val="baseline"/>
    </w:pPr>
    <w:rPr>
      <w:rFonts w:eastAsia="楷体_GB2312"/>
      <w:sz w:val="24"/>
    </w:rPr>
  </w:style>
  <w:style w:type="character" w:customStyle="1" w:styleId="44">
    <w:name w:val="标题 1 字符"/>
    <w:link w:val="3"/>
    <w:qFormat/>
    <w:uiPriority w:val="0"/>
    <w:rPr>
      <w:kern w:val="2"/>
      <w:sz w:val="28"/>
    </w:rPr>
  </w:style>
  <w:style w:type="character" w:customStyle="1" w:styleId="45">
    <w:name w:val="报告表 段 Char"/>
    <w:link w:val="46"/>
    <w:qFormat/>
    <w:uiPriority w:val="0"/>
    <w:rPr>
      <w:rFonts w:ascii="宋体" w:eastAsia="宋体"/>
      <w:bCs/>
      <w:kern w:val="2"/>
      <w:sz w:val="24"/>
      <w:lang w:val="en-US" w:eastAsia="zh-CN" w:bidi="ar-SA"/>
    </w:rPr>
  </w:style>
  <w:style w:type="paragraph" w:customStyle="1" w:styleId="46">
    <w:name w:val="报告表 段"/>
    <w:basedOn w:val="1"/>
    <w:link w:val="45"/>
    <w:qFormat/>
    <w:uiPriority w:val="0"/>
    <w:pPr>
      <w:snapToGrid w:val="0"/>
      <w:spacing w:line="360" w:lineRule="auto"/>
      <w:ind w:firstLine="505"/>
    </w:pPr>
    <w:rPr>
      <w:rFonts w:ascii="宋体"/>
      <w:bCs/>
      <w:sz w:val="24"/>
      <w:szCs w:val="20"/>
    </w:rPr>
  </w:style>
  <w:style w:type="character" w:customStyle="1" w:styleId="47">
    <w:name w:val="批注文字 字符"/>
    <w:link w:val="16"/>
    <w:qFormat/>
    <w:uiPriority w:val="0"/>
    <w:rPr>
      <w:rFonts w:eastAsia="宋体"/>
      <w:kern w:val="2"/>
      <w:sz w:val="21"/>
      <w:szCs w:val="24"/>
      <w:lang w:val="en-US" w:eastAsia="zh-CN" w:bidi="ar-SA"/>
    </w:rPr>
  </w:style>
  <w:style w:type="character" w:customStyle="1" w:styleId="48">
    <w:name w:val="font21"/>
    <w:qFormat/>
    <w:uiPriority w:val="0"/>
    <w:rPr>
      <w:rFonts w:hint="default" w:ascii="ˎ̥" w:hAnsi="ˎ̥"/>
      <w:color w:val="000000"/>
      <w:sz w:val="20"/>
      <w:szCs w:val="20"/>
      <w:u w:val="none"/>
    </w:rPr>
  </w:style>
  <w:style w:type="character" w:customStyle="1" w:styleId="49">
    <w:name w:val="正文文本缩进 字符"/>
    <w:link w:val="18"/>
    <w:qFormat/>
    <w:uiPriority w:val="0"/>
    <w:rPr>
      <w:rFonts w:eastAsia="宋体"/>
      <w:kern w:val="2"/>
      <w:sz w:val="24"/>
      <w:szCs w:val="24"/>
      <w:lang w:val="en-US" w:eastAsia="zh-CN" w:bidi="ar-SA"/>
    </w:rPr>
  </w:style>
  <w:style w:type="character" w:customStyle="1" w:styleId="50">
    <w:name w:val="Char Char3"/>
    <w:qFormat/>
    <w:uiPriority w:val="0"/>
    <w:rPr>
      <w:rFonts w:eastAsia="宋体"/>
      <w:kern w:val="2"/>
      <w:sz w:val="21"/>
      <w:lang w:val="en-US" w:eastAsia="zh-CN" w:bidi="ar-SA"/>
    </w:rPr>
  </w:style>
  <w:style w:type="character" w:customStyle="1" w:styleId="51">
    <w:name w:val="p141"/>
    <w:qFormat/>
    <w:uiPriority w:val="0"/>
    <w:rPr>
      <w:color w:val="333333"/>
      <w:sz w:val="21"/>
      <w:szCs w:val="21"/>
    </w:rPr>
  </w:style>
  <w:style w:type="character" w:customStyle="1" w:styleId="52">
    <w:name w:val="正文 + 小四 Char"/>
    <w:link w:val="53"/>
    <w:qFormat/>
    <w:uiPriority w:val="0"/>
    <w:rPr>
      <w:rFonts w:hAnsi="宋体" w:eastAsia="宋体"/>
      <w:kern w:val="2"/>
      <w:sz w:val="24"/>
      <w:szCs w:val="24"/>
      <w:lang w:val="en-US" w:eastAsia="zh-CN" w:bidi="ar-SA"/>
    </w:rPr>
  </w:style>
  <w:style w:type="paragraph" w:customStyle="1" w:styleId="53">
    <w:name w:val="正文 + 小四"/>
    <w:basedOn w:val="1"/>
    <w:link w:val="52"/>
    <w:qFormat/>
    <w:uiPriority w:val="0"/>
    <w:pPr>
      <w:ind w:firstLine="360" w:firstLineChars="150"/>
    </w:pPr>
    <w:rPr>
      <w:rFonts w:hAnsi="宋体"/>
      <w:sz w:val="24"/>
    </w:rPr>
  </w:style>
  <w:style w:type="character" w:customStyle="1" w:styleId="54">
    <w:name w:val="表格 Char"/>
    <w:link w:val="55"/>
    <w:qFormat/>
    <w:uiPriority w:val="0"/>
    <w:rPr>
      <w:sz w:val="24"/>
      <w:lang w:val="en-US" w:eastAsia="zh-CN" w:bidi="ar-SA"/>
    </w:rPr>
  </w:style>
  <w:style w:type="paragraph" w:customStyle="1" w:styleId="55">
    <w:name w:val="表格"/>
    <w:next w:val="1"/>
    <w:link w:val="54"/>
    <w:qFormat/>
    <w:uiPriority w:val="0"/>
    <w:pPr>
      <w:keepNext/>
      <w:widowControl w:val="0"/>
      <w:autoSpaceDE w:val="0"/>
      <w:autoSpaceDN w:val="0"/>
      <w:adjustRightInd w:val="0"/>
      <w:jc w:val="center"/>
      <w:textAlignment w:val="baseline"/>
    </w:pPr>
    <w:rPr>
      <w:rFonts w:ascii="Times New Roman" w:hAnsi="Times New Roman" w:eastAsia="宋体" w:cs="Times New Roman"/>
      <w:sz w:val="24"/>
      <w:lang w:val="en-US" w:eastAsia="zh-CN" w:bidi="ar-SA"/>
    </w:rPr>
  </w:style>
  <w:style w:type="character" w:customStyle="1" w:styleId="56">
    <w:name w:val="正文1 Char"/>
    <w:link w:val="57"/>
    <w:qFormat/>
    <w:uiPriority w:val="0"/>
    <w:rPr>
      <w:rFonts w:eastAsia="楷体_GB2312"/>
      <w:kern w:val="2"/>
      <w:sz w:val="24"/>
      <w:lang w:val="en-US" w:eastAsia="zh-CN" w:bidi="ar-SA"/>
    </w:rPr>
  </w:style>
  <w:style w:type="paragraph" w:customStyle="1" w:styleId="57">
    <w:name w:val="正文1"/>
    <w:basedOn w:val="1"/>
    <w:link w:val="56"/>
    <w:qFormat/>
    <w:uiPriority w:val="0"/>
    <w:pPr>
      <w:adjustRightInd w:val="0"/>
    </w:pPr>
    <w:rPr>
      <w:rFonts w:eastAsia="楷体_GB2312"/>
      <w:sz w:val="24"/>
      <w:szCs w:val="20"/>
    </w:rPr>
  </w:style>
  <w:style w:type="character" w:customStyle="1" w:styleId="58">
    <w:name w:val="正文缩进 字符"/>
    <w:link w:val="8"/>
    <w:qFormat/>
    <w:uiPriority w:val="0"/>
    <w:rPr>
      <w:rFonts w:eastAsia="宋体"/>
      <w:kern w:val="2"/>
      <w:sz w:val="21"/>
      <w:lang w:val="en-US" w:eastAsia="zh-CN" w:bidi="ar-SA"/>
    </w:rPr>
  </w:style>
  <w:style w:type="character" w:customStyle="1" w:styleId="59">
    <w:name w:val="表格 32 Char"/>
    <w:link w:val="60"/>
    <w:qFormat/>
    <w:uiPriority w:val="0"/>
    <w:rPr>
      <w:rFonts w:ascii="宋体" w:hAnsi="Impact" w:eastAsia="宋体"/>
      <w:kern w:val="24"/>
      <w:sz w:val="24"/>
      <w:lang w:val="en-US" w:eastAsia="zh-CN" w:bidi="ar-SA"/>
    </w:rPr>
  </w:style>
  <w:style w:type="paragraph" w:customStyle="1" w:styleId="60">
    <w:name w:val="表格 32"/>
    <w:basedOn w:val="1"/>
    <w:link w:val="59"/>
    <w:qFormat/>
    <w:uiPriority w:val="0"/>
    <w:pPr>
      <w:autoSpaceDE w:val="0"/>
      <w:autoSpaceDN w:val="0"/>
      <w:adjustRightInd w:val="0"/>
      <w:jc w:val="center"/>
      <w:textAlignment w:val="baseline"/>
    </w:pPr>
    <w:rPr>
      <w:rFonts w:ascii="宋体" w:hAnsi="Impact"/>
      <w:kern w:val="24"/>
      <w:sz w:val="24"/>
    </w:rPr>
  </w:style>
  <w:style w:type="character" w:customStyle="1" w:styleId="61">
    <w:name w:val="表格 32 Char Char"/>
    <w:qFormat/>
    <w:uiPriority w:val="0"/>
    <w:rPr>
      <w:rFonts w:ascii="宋体" w:hAnsi="Impact" w:eastAsia="宋体"/>
      <w:kern w:val="24"/>
      <w:sz w:val="24"/>
      <w:lang w:val="en-US" w:eastAsia="zh-CN" w:bidi="ar-SA"/>
    </w:rPr>
  </w:style>
  <w:style w:type="paragraph" w:customStyle="1" w:styleId="6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szCs w:val="20"/>
    </w:rPr>
  </w:style>
  <w:style w:type="paragraph" w:customStyle="1" w:styleId="64">
    <w:name w:val="Char Char Char Char"/>
    <w:basedOn w:val="1"/>
    <w:qFormat/>
    <w:uiPriority w:val="0"/>
    <w:pPr>
      <w:snapToGrid w:val="0"/>
      <w:spacing w:line="360" w:lineRule="auto"/>
      <w:ind w:firstLine="529" w:firstLineChars="200"/>
    </w:pPr>
    <w:rPr>
      <w:rFonts w:ascii="宋体" w:hAnsi="宋体"/>
      <w:b/>
    </w:rPr>
  </w:style>
  <w:style w:type="paragraph" w:customStyle="1" w:styleId="65">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customStyle="1" w:styleId="66">
    <w:name w:val="表格2"/>
    <w:basedOn w:val="65"/>
    <w:next w:val="1"/>
    <w:qFormat/>
    <w:uiPriority w:val="0"/>
    <w:rPr>
      <w:position w:val="-28"/>
      <w:sz w:val="21"/>
    </w:rPr>
  </w:style>
  <w:style w:type="paragraph" w:customStyle="1" w:styleId="67">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68">
    <w:name w:val="Char Char Char Char Char Char Char Char Char1"/>
    <w:basedOn w:val="1"/>
    <w:qFormat/>
    <w:uiPriority w:val="0"/>
    <w:pPr>
      <w:snapToGrid w:val="0"/>
      <w:spacing w:line="360" w:lineRule="auto"/>
      <w:ind w:firstLine="529" w:firstLineChars="200"/>
    </w:pPr>
    <w:rPr>
      <w:rFonts w:ascii="宋体" w:hAnsi="宋体"/>
      <w:b/>
    </w:rPr>
  </w:style>
  <w:style w:type="paragraph" w:customStyle="1" w:styleId="69">
    <w:name w:val="表头"/>
    <w:basedOn w:val="13"/>
    <w:next w:val="55"/>
    <w:qFormat/>
    <w:uiPriority w:val="0"/>
    <w:pPr>
      <w:keepNext/>
      <w:autoSpaceDE w:val="0"/>
      <w:autoSpaceDN w:val="0"/>
      <w:adjustRightInd w:val="0"/>
      <w:spacing w:before="240" w:line="360" w:lineRule="auto"/>
      <w:ind w:left="0" w:leftChars="0" w:firstLine="0" w:firstLineChars="0"/>
      <w:jc w:val="center"/>
      <w:textAlignment w:val="baseline"/>
    </w:pPr>
    <w:rPr>
      <w:rFonts w:eastAsia="楷体_GB2312"/>
      <w:kern w:val="0"/>
      <w:sz w:val="28"/>
      <w:szCs w:val="20"/>
    </w:rPr>
  </w:style>
  <w:style w:type="paragraph" w:customStyle="1" w:styleId="70">
    <w:name w:val="缩进"/>
    <w:basedOn w:val="1"/>
    <w:qFormat/>
    <w:uiPriority w:val="0"/>
    <w:pPr>
      <w:autoSpaceDE w:val="0"/>
      <w:autoSpaceDN w:val="0"/>
      <w:adjustRightInd w:val="0"/>
      <w:spacing w:line="400" w:lineRule="atLeast"/>
      <w:ind w:firstLine="480" w:firstLineChars="200"/>
      <w:textAlignment w:val="baseline"/>
    </w:pPr>
    <w:rPr>
      <w:sz w:val="24"/>
      <w:szCs w:val="20"/>
    </w:rPr>
  </w:style>
  <w:style w:type="paragraph" w:customStyle="1" w:styleId="71">
    <w:name w:val="Char Char Char Char Char Char"/>
    <w:basedOn w:val="1"/>
    <w:qFormat/>
    <w:uiPriority w:val="0"/>
    <w:pPr>
      <w:snapToGrid w:val="0"/>
      <w:spacing w:line="360" w:lineRule="auto"/>
      <w:ind w:firstLine="529" w:firstLineChars="200"/>
    </w:pPr>
    <w:rPr>
      <w:rFonts w:ascii="宋体" w:hAnsi="宋体"/>
      <w:b/>
    </w:rPr>
  </w:style>
  <w:style w:type="paragraph" w:customStyle="1" w:styleId="72">
    <w:name w:val="4 Char"/>
    <w:basedOn w:val="1"/>
    <w:qFormat/>
    <w:uiPriority w:val="0"/>
  </w:style>
  <w:style w:type="paragraph" w:customStyle="1" w:styleId="73">
    <w:name w:val="表格 23"/>
    <w:basedOn w:val="1"/>
    <w:qFormat/>
    <w:uiPriority w:val="0"/>
    <w:pPr>
      <w:jc w:val="center"/>
    </w:pPr>
    <w:rPr>
      <w:rFonts w:eastAsia="仿宋_GB2312"/>
      <w:sz w:val="24"/>
    </w:rPr>
  </w:style>
  <w:style w:type="paragraph" w:customStyle="1" w:styleId="74">
    <w:name w:val="默认段落字体 Para Char Char Char Char Char Char Char Char Char Char Char Char Char1 Char"/>
    <w:basedOn w:val="15"/>
    <w:qFormat/>
    <w:uiPriority w:val="0"/>
    <w:rPr>
      <w:bCs/>
      <w:sz w:val="24"/>
    </w:rPr>
  </w:style>
  <w:style w:type="paragraph" w:customStyle="1" w:styleId="75">
    <w:name w:val="页面 7"/>
    <w:basedOn w:val="1"/>
    <w:qFormat/>
    <w:uiPriority w:val="0"/>
    <w:pPr>
      <w:autoSpaceDE w:val="0"/>
      <w:autoSpaceDN w:val="0"/>
      <w:adjustRightInd w:val="0"/>
      <w:spacing w:before="120" w:after="120"/>
      <w:jc w:val="center"/>
      <w:textAlignment w:val="baseline"/>
    </w:pPr>
    <w:rPr>
      <w:rFonts w:ascii="宋体" w:hAnsi="Impact"/>
      <w:kern w:val="24"/>
      <w:sz w:val="32"/>
      <w:szCs w:val="20"/>
    </w:rPr>
  </w:style>
  <w:style w:type="paragraph" w:customStyle="1" w:styleId="76">
    <w:name w:val="表1表2"/>
    <w:basedOn w:val="1"/>
    <w:qFormat/>
    <w:uiPriority w:val="0"/>
    <w:pPr>
      <w:autoSpaceDE w:val="0"/>
      <w:autoSpaceDN w:val="0"/>
      <w:adjustRightInd w:val="0"/>
      <w:jc w:val="center"/>
      <w:textAlignment w:val="center"/>
    </w:pPr>
    <w:rPr>
      <w:rFonts w:eastAsia="仿宋体"/>
      <w:kern w:val="0"/>
      <w:sz w:val="24"/>
      <w:szCs w:val="20"/>
    </w:rPr>
  </w:style>
  <w:style w:type="paragraph" w:customStyle="1" w:styleId="77">
    <w:name w:val="字元 字元"/>
    <w:basedOn w:val="1"/>
    <w:qFormat/>
    <w:uiPriority w:val="0"/>
    <w:rPr>
      <w:szCs w:val="21"/>
    </w:rPr>
  </w:style>
  <w:style w:type="paragraph" w:customStyle="1" w:styleId="78">
    <w:name w:val="Char Char Char Char Char Char Char"/>
    <w:basedOn w:val="6"/>
    <w:qFormat/>
    <w:uiPriority w:val="0"/>
    <w:pPr>
      <w:keepNext/>
      <w:keepLines/>
      <w:numPr>
        <w:ilvl w:val="0"/>
        <w:numId w:val="0"/>
      </w:numPr>
      <w:autoSpaceDE/>
      <w:autoSpaceDN/>
      <w:adjustRightInd/>
      <w:spacing w:before="280" w:after="290" w:line="374" w:lineRule="auto"/>
      <w:textAlignment w:val="auto"/>
    </w:pPr>
    <w:rPr>
      <w:rFonts w:ascii="Arial" w:eastAsia="仿宋_GB2312"/>
      <w:b w:val="0"/>
      <w:bCs/>
      <w:kern w:val="2"/>
      <w:szCs w:val="28"/>
    </w:rPr>
  </w:style>
  <w:style w:type="paragraph" w:customStyle="1" w:styleId="79">
    <w:name w:val="Char Char Char"/>
    <w:basedOn w:val="1"/>
    <w:qFormat/>
    <w:uiPriority w:val="0"/>
  </w:style>
  <w:style w:type="paragraph" w:customStyle="1" w:styleId="80">
    <w:name w:val="Char2"/>
    <w:basedOn w:val="1"/>
    <w:qFormat/>
    <w:uiPriority w:val="0"/>
  </w:style>
  <w:style w:type="paragraph" w:customStyle="1" w:styleId="81">
    <w:name w:val="流程图"/>
    <w:basedOn w:val="1"/>
    <w:qFormat/>
    <w:uiPriority w:val="0"/>
    <w:pPr>
      <w:widowControl/>
      <w:spacing w:line="360" w:lineRule="auto"/>
      <w:jc w:val="center"/>
    </w:pPr>
    <w:rPr>
      <w:sz w:val="24"/>
    </w:rPr>
  </w:style>
  <w:style w:type="paragraph" w:customStyle="1" w:styleId="82">
    <w:name w:val="表格填充1"/>
    <w:basedOn w:val="1"/>
    <w:qFormat/>
    <w:uiPriority w:val="0"/>
    <w:pPr>
      <w:adjustRightInd w:val="0"/>
      <w:snapToGrid w:val="0"/>
      <w:spacing w:line="400" w:lineRule="exact"/>
      <w:jc w:val="center"/>
    </w:pPr>
    <w:rPr>
      <w:snapToGrid w:val="0"/>
      <w:kern w:val="0"/>
      <w:szCs w:val="18"/>
    </w:rPr>
  </w:style>
  <w:style w:type="paragraph" w:customStyle="1" w:styleId="83">
    <w:name w:val="Char Char"/>
    <w:basedOn w:val="1"/>
    <w:qFormat/>
    <w:uiPriority w:val="0"/>
    <w:pPr>
      <w:snapToGrid w:val="0"/>
      <w:spacing w:line="360" w:lineRule="auto"/>
      <w:ind w:firstLine="529" w:firstLineChars="200"/>
    </w:pPr>
    <w:rPr>
      <w:rFonts w:ascii="宋体" w:hAnsi="宋体"/>
      <w:b/>
    </w:rPr>
  </w:style>
  <w:style w:type="paragraph" w:customStyle="1" w:styleId="84">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85">
    <w:name w:val="Char Char Char Char Char Char Char Char Char11"/>
    <w:basedOn w:val="1"/>
    <w:qFormat/>
    <w:uiPriority w:val="0"/>
    <w:pPr>
      <w:snapToGrid w:val="0"/>
      <w:spacing w:line="360" w:lineRule="auto"/>
      <w:ind w:firstLine="529" w:firstLineChars="200"/>
    </w:pPr>
    <w:rPr>
      <w:rFonts w:ascii="宋体" w:hAnsi="宋体"/>
      <w:b/>
    </w:rPr>
  </w:style>
  <w:style w:type="paragraph" w:customStyle="1" w:styleId="86">
    <w:name w:val="Char Char3 Char Char"/>
    <w:basedOn w:val="1"/>
    <w:qFormat/>
    <w:uiPriority w:val="0"/>
  </w:style>
  <w:style w:type="paragraph" w:customStyle="1" w:styleId="87">
    <w:name w:val="Table Paragraph"/>
    <w:basedOn w:val="1"/>
    <w:qFormat/>
    <w:uiPriority w:val="1"/>
  </w:style>
  <w:style w:type="paragraph" w:customStyle="1" w:styleId="88">
    <w:name w:val="Char"/>
    <w:basedOn w:val="1"/>
    <w:qFormat/>
    <w:uiPriority w:val="0"/>
    <w:pPr>
      <w:snapToGrid w:val="0"/>
      <w:spacing w:line="360" w:lineRule="auto"/>
      <w:ind w:firstLine="529" w:firstLineChars="200"/>
    </w:pPr>
    <w:rPr>
      <w:rFonts w:ascii="宋体" w:hAnsi="宋体"/>
      <w:b/>
    </w:rPr>
  </w:style>
  <w:style w:type="paragraph" w:customStyle="1" w:styleId="89">
    <w:name w:val="Char Char Char Char Char Char Char1"/>
    <w:basedOn w:val="1"/>
    <w:qFormat/>
    <w:uiPriority w:val="0"/>
    <w:pPr>
      <w:snapToGrid w:val="0"/>
      <w:spacing w:line="360" w:lineRule="auto"/>
      <w:ind w:firstLine="529" w:firstLineChars="200"/>
    </w:pPr>
    <w:rPr>
      <w:rFonts w:ascii="宋体" w:hAnsi="宋体"/>
      <w:b/>
    </w:rPr>
  </w:style>
  <w:style w:type="paragraph" w:customStyle="1" w:styleId="90">
    <w:name w:val="样式 正 文 中山"/>
    <w:basedOn w:val="1"/>
    <w:qFormat/>
    <w:uiPriority w:val="0"/>
    <w:pPr>
      <w:spacing w:line="480" w:lineRule="exact"/>
      <w:ind w:firstLine="471"/>
    </w:pPr>
    <w:rPr>
      <w:rFonts w:ascii="宋体" w:hAnsi="宋体" w:cs="Arial"/>
      <w:kern w:val="0"/>
      <w:sz w:val="28"/>
      <w:szCs w:val="28"/>
    </w:rPr>
  </w:style>
  <w:style w:type="paragraph" w:customStyle="1" w:styleId="91">
    <w:name w:val="页面 2"/>
    <w:basedOn w:val="1"/>
    <w:qFormat/>
    <w:uiPriority w:val="0"/>
    <w:pPr>
      <w:adjustRightInd w:val="0"/>
      <w:jc w:val="center"/>
    </w:pPr>
    <w:rPr>
      <w:kern w:val="0"/>
      <w:sz w:val="72"/>
      <w:szCs w:val="20"/>
    </w:rPr>
  </w:style>
  <w:style w:type="table" w:customStyle="1" w:styleId="92">
    <w:name w:val="Table Normal"/>
    <w:unhideWhenUsed/>
    <w:qFormat/>
    <w:uiPriority w:val="2"/>
    <w:tblPr>
      <w:tblLayout w:type="fixed"/>
      <w:tblCellMar>
        <w:top w:w="0" w:type="dxa"/>
        <w:left w:w="0" w:type="dxa"/>
        <w:bottom w:w="0" w:type="dxa"/>
        <w:right w:w="0" w:type="dxa"/>
      </w:tblCellMar>
    </w:tblPr>
  </w:style>
  <w:style w:type="character" w:customStyle="1" w:styleId="93">
    <w:name w:val="正文文本首行缩进 字符"/>
    <w:qFormat/>
    <w:uiPriority w:val="0"/>
    <w:rPr>
      <w:kern w:val="2"/>
      <w:sz w:val="21"/>
    </w:rPr>
  </w:style>
  <w:style w:type="paragraph" w:customStyle="1" w:styleId="94">
    <w:name w:val="1"/>
    <w:basedOn w:val="17"/>
    <w:next w:val="30"/>
    <w:qFormat/>
    <w:uiPriority w:val="0"/>
    <w:pPr>
      <w:spacing w:after="120" w:line="240" w:lineRule="auto"/>
      <w:ind w:firstLine="420" w:firstLineChars="100"/>
    </w:pPr>
    <w:rPr>
      <w:b w:val="0"/>
      <w:bCs w:val="0"/>
      <w:sz w:val="21"/>
      <w:szCs w:val="20"/>
      <w:lang w:val="zh-CN"/>
    </w:rPr>
  </w:style>
  <w:style w:type="character" w:customStyle="1" w:styleId="95">
    <w:name w:val="正文文本 字符"/>
    <w:link w:val="17"/>
    <w:qFormat/>
    <w:uiPriority w:val="0"/>
    <w:rPr>
      <w:b/>
      <w:bCs/>
      <w:kern w:val="2"/>
      <w:sz w:val="32"/>
      <w:szCs w:val="24"/>
    </w:rPr>
  </w:style>
  <w:style w:type="character" w:customStyle="1" w:styleId="96">
    <w:name w:val="正文文本首行缩进 字符1"/>
    <w:link w:val="30"/>
    <w:qFormat/>
    <w:uiPriority w:val="0"/>
    <w:rPr>
      <w:kern w:val="2"/>
      <w:sz w:val="21"/>
      <w:szCs w:val="24"/>
    </w:rPr>
  </w:style>
  <w:style w:type="paragraph" w:customStyle="1" w:styleId="97">
    <w:name w:val="lux正文"/>
    <w:basedOn w:val="1"/>
    <w:qFormat/>
    <w:uiPriority w:val="0"/>
    <w:pPr>
      <w:spacing w:beforeLines="50" w:afterLines="50" w:line="360" w:lineRule="auto"/>
    </w:pPr>
    <w:rPr>
      <w:sz w:val="24"/>
      <w:szCs w:val="20"/>
    </w:rPr>
  </w:style>
  <w:style w:type="paragraph" w:customStyle="1" w:styleId="98">
    <w:name w:val="列表段落1"/>
    <w:basedOn w:val="1"/>
    <w:qFormat/>
    <w:uiPriority w:val="34"/>
    <w:pPr>
      <w:ind w:firstLine="420" w:firstLineChars="200"/>
    </w:pPr>
    <w:rPr>
      <w:rFonts w:ascii="等线" w:hAnsi="等线" w:eastAsia="等线"/>
      <w:szCs w:val="22"/>
    </w:rPr>
  </w:style>
  <w:style w:type="character" w:customStyle="1" w:styleId="99">
    <w:name w:val="TT正文 Char"/>
    <w:link w:val="100"/>
    <w:qFormat/>
    <w:uiPriority w:val="0"/>
    <w:rPr>
      <w:sz w:val="24"/>
    </w:rPr>
  </w:style>
  <w:style w:type="paragraph" w:customStyle="1" w:styleId="100">
    <w:name w:val="TT正文"/>
    <w:basedOn w:val="1"/>
    <w:link w:val="99"/>
    <w:qFormat/>
    <w:uiPriority w:val="0"/>
    <w:pPr>
      <w:spacing w:line="360" w:lineRule="auto"/>
      <w:ind w:firstLine="200" w:firstLineChars="200"/>
    </w:pPr>
    <w:rPr>
      <w:kern w:val="0"/>
      <w:sz w:val="24"/>
      <w:szCs w:val="20"/>
    </w:rPr>
  </w:style>
  <w:style w:type="paragraph" w:customStyle="1" w:styleId="101">
    <w:name w:val="Char Char Char Char Char Char Char Char Char Char Char Char Char Char Char Char Char Char Char Char Char"/>
    <w:basedOn w:val="1"/>
    <w:qFormat/>
    <w:uiPriority w:val="0"/>
    <w:pPr>
      <w:adjustRightInd w:val="0"/>
      <w:snapToGrid w:val="0"/>
      <w:ind w:firstLine="200" w:firstLineChars="200"/>
    </w:pPr>
    <w:rPr>
      <w:sz w:val="24"/>
    </w:rPr>
  </w:style>
  <w:style w:type="character" w:customStyle="1" w:styleId="102">
    <w:name w:val="表格标题 Char"/>
    <w:link w:val="103"/>
    <w:qFormat/>
    <w:locked/>
    <w:uiPriority w:val="0"/>
    <w:rPr>
      <w:rFonts w:eastAsia="黑体"/>
      <w:sz w:val="24"/>
    </w:rPr>
  </w:style>
  <w:style w:type="paragraph" w:customStyle="1" w:styleId="103">
    <w:name w:val="表格标题"/>
    <w:basedOn w:val="1"/>
    <w:link w:val="102"/>
    <w:qFormat/>
    <w:uiPriority w:val="0"/>
    <w:pPr>
      <w:spacing w:line="360" w:lineRule="auto"/>
      <w:jc w:val="center"/>
    </w:pPr>
    <w:rPr>
      <w:rFonts w:eastAsia="黑体"/>
      <w:kern w:val="0"/>
      <w:sz w:val="24"/>
      <w:szCs w:val="20"/>
    </w:rPr>
  </w:style>
  <w:style w:type="character" w:customStyle="1" w:styleId="104">
    <w:name w:val="表格文字 Char Char"/>
    <w:link w:val="105"/>
    <w:qFormat/>
    <w:uiPriority w:val="0"/>
    <w:rPr>
      <w:kern w:val="2"/>
      <w:sz w:val="21"/>
      <w:szCs w:val="24"/>
    </w:rPr>
  </w:style>
  <w:style w:type="paragraph" w:customStyle="1" w:styleId="105">
    <w:name w:val="表格文字"/>
    <w:basedOn w:val="1"/>
    <w:next w:val="1"/>
    <w:link w:val="104"/>
    <w:qFormat/>
    <w:uiPriority w:val="0"/>
    <w:pPr>
      <w:adjustRightInd w:val="0"/>
      <w:snapToGrid w:val="0"/>
      <w:spacing w:line="288" w:lineRule="auto"/>
      <w:jc w:val="center"/>
    </w:pPr>
  </w:style>
  <w:style w:type="character" w:customStyle="1" w:styleId="106">
    <w:name w:val="标题 2 字符"/>
    <w:qFormat/>
    <w:uiPriority w:val="0"/>
    <w:rPr>
      <w:rFonts w:ascii="Times New Roman" w:hAnsi="Times New Roman" w:eastAsia="宋体"/>
      <w:b/>
      <w:bCs/>
      <w:kern w:val="2"/>
      <w:sz w:val="30"/>
      <w:szCs w:val="32"/>
    </w:rPr>
  </w:style>
  <w:style w:type="character" w:customStyle="1" w:styleId="107">
    <w:name w:val="表格标题 Char Char"/>
    <w:qFormat/>
    <w:uiPriority w:val="0"/>
    <w:rPr>
      <w:rFonts w:ascii="Times New Roman" w:hAnsi="Times New Roman" w:eastAsia="宋体"/>
      <w:b/>
      <w:sz w:val="21"/>
    </w:rPr>
  </w:style>
  <w:style w:type="paragraph" w:customStyle="1" w:styleId="108">
    <w:name w:val="3 Char"/>
    <w:basedOn w:val="1"/>
    <w:next w:val="1"/>
    <w:qFormat/>
    <w:uiPriority w:val="0"/>
    <w:pPr>
      <w:spacing w:line="360" w:lineRule="auto"/>
      <w:ind w:firstLine="200" w:firstLineChars="200"/>
    </w:pPr>
    <w:rPr>
      <w:szCs w:val="20"/>
    </w:rPr>
  </w:style>
  <w:style w:type="character" w:customStyle="1" w:styleId="109">
    <w:name w:val="未处理的提及1"/>
    <w:basedOn w:val="33"/>
    <w:unhideWhenUsed/>
    <w:qFormat/>
    <w:uiPriority w:val="99"/>
    <w:rPr>
      <w:color w:val="605E5C"/>
      <w:shd w:val="clear" w:color="auto" w:fill="E1DFDD"/>
    </w:rPr>
  </w:style>
  <w:style w:type="paragraph" w:customStyle="1" w:styleId="110">
    <w:name w:val="Char Char Char Char Char Char Char Char Char Char Char Char Char Char Char Char Char Char Char Char Char1"/>
    <w:basedOn w:val="1"/>
    <w:qFormat/>
    <w:uiPriority w:val="0"/>
    <w:pPr>
      <w:adjustRightInd w:val="0"/>
      <w:snapToGrid w:val="0"/>
      <w:ind w:firstLine="200" w:firstLineChars="200"/>
    </w:pPr>
    <w:rPr>
      <w:sz w:val="24"/>
    </w:rPr>
  </w:style>
  <w:style w:type="paragraph" w:customStyle="1" w:styleId="111">
    <w:name w:val="Char Char Char Char Char Char Char Char Char Char Char Char Char Char Char Char Char Char Char Char Char2"/>
    <w:basedOn w:val="1"/>
    <w:qFormat/>
    <w:uiPriority w:val="0"/>
    <w:pPr>
      <w:adjustRightInd w:val="0"/>
      <w:snapToGrid w:val="0"/>
      <w:ind w:firstLine="200" w:firstLineChars="200"/>
    </w:pPr>
    <w:rPr>
      <w:sz w:val="24"/>
    </w:rPr>
  </w:style>
  <w:style w:type="paragraph" w:customStyle="1" w:styleId="112">
    <w:name w:val="编号"/>
    <w:basedOn w:val="1"/>
    <w:qFormat/>
    <w:uiPriority w:val="0"/>
    <w:pPr>
      <w:adjustRightInd w:val="0"/>
      <w:snapToGrid w:val="0"/>
      <w:jc w:val="left"/>
    </w:pPr>
    <w:rPr>
      <w:b/>
      <w:sz w:val="32"/>
    </w:rPr>
  </w:style>
  <w:style w:type="paragraph" w:customStyle="1" w:styleId="113">
    <w:name w:val="编制说明"/>
    <w:basedOn w:val="1"/>
    <w:qFormat/>
    <w:uiPriority w:val="0"/>
    <w:pPr>
      <w:adjustRightInd w:val="0"/>
      <w:snapToGrid w:val="0"/>
      <w:spacing w:line="360" w:lineRule="auto"/>
      <w:ind w:firstLine="640" w:firstLineChars="200"/>
      <w:jc w:val="left"/>
    </w:pPr>
    <w:rPr>
      <w:sz w:val="28"/>
    </w:rPr>
  </w:style>
  <w:style w:type="character" w:customStyle="1" w:styleId="114">
    <w:name w:val="font01"/>
    <w:basedOn w:val="33"/>
    <w:qFormat/>
    <w:uiPriority w:val="0"/>
    <w:rPr>
      <w:rFonts w:hint="eastAsia" w:ascii="宋体" w:hAnsi="宋体" w:eastAsia="宋体" w:cs="宋体"/>
      <w:color w:val="000000"/>
      <w:sz w:val="24"/>
      <w:szCs w:val="24"/>
      <w:u w:val="none"/>
    </w:rPr>
  </w:style>
  <w:style w:type="character" w:customStyle="1" w:styleId="115">
    <w:name w:val="未处理的提及2"/>
    <w:basedOn w:val="33"/>
    <w:unhideWhenUsed/>
    <w:qFormat/>
    <w:uiPriority w:val="99"/>
    <w:rPr>
      <w:color w:val="605E5C"/>
      <w:shd w:val="clear" w:color="auto" w:fill="E1DFDD"/>
    </w:rPr>
  </w:style>
  <w:style w:type="paragraph" w:customStyle="1" w:styleId="116">
    <w:name w:val="细分正文"/>
    <w:basedOn w:val="1"/>
    <w:qFormat/>
    <w:uiPriority w:val="99"/>
    <w:pPr>
      <w:spacing w:line="360" w:lineRule="auto"/>
    </w:pPr>
    <w:rPr>
      <w:rFonts w:ascii="黑体" w:hAnsi="Arial" w:eastAsia="黑体"/>
      <w:b/>
      <w:bCs/>
      <w:kern w:val="0"/>
      <w:szCs w:val="21"/>
    </w:rPr>
  </w:style>
  <w:style w:type="paragraph" w:customStyle="1" w:styleId="117">
    <w:name w:val="正文缩进1"/>
    <w:basedOn w:val="1"/>
    <w:qFormat/>
    <w:uiPriority w:val="99"/>
    <w:rPr>
      <w:sz w:val="28"/>
      <w:szCs w:val="20"/>
    </w:rPr>
  </w:style>
  <w:style w:type="paragraph" w:customStyle="1" w:styleId="118">
    <w:name w:val="报告正文"/>
    <w:qFormat/>
    <w:uiPriority w:val="1"/>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rPr>
  </w:style>
  <w:style w:type="paragraph" w:customStyle="1" w:styleId="119">
    <w:name w:val="图表名称"/>
    <w:next w:val="118"/>
    <w:qFormat/>
    <w:uiPriority w:val="0"/>
    <w:pPr>
      <w:spacing w:line="360" w:lineRule="auto"/>
      <w:jc w:val="center"/>
    </w:pPr>
    <w:rPr>
      <w:rFonts w:ascii="Times New Roman" w:hAnsi="Times New Roman" w:eastAsia="宋体" w:cstheme="minorBidi"/>
      <w:b/>
      <w:bCs/>
      <w:kern w:val="2"/>
      <w:sz w:val="21"/>
      <w:szCs w:val="28"/>
      <w:lang w:val="en-US" w:eastAsia="zh-CN" w:bidi="ar-SA"/>
    </w:rPr>
  </w:style>
  <w:style w:type="paragraph" w:customStyle="1" w:styleId="120">
    <w:name w:val="表格内容"/>
    <w:qFormat/>
    <w:uiPriority w:val="0"/>
    <w:pPr>
      <w:jc w:val="center"/>
    </w:pPr>
    <w:rPr>
      <w:rFonts w:ascii="Times New Roman" w:hAnsi="Times New Roman"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429889-6E9D-4AD8-9104-D7A8E9998542}">
  <ds:schemaRefs/>
</ds:datastoreItem>
</file>

<file path=docProps/app.xml><?xml version="1.0" encoding="utf-8"?>
<Properties xmlns="http://schemas.openxmlformats.org/officeDocument/2006/extended-properties" xmlns:vt="http://schemas.openxmlformats.org/officeDocument/2006/docPropsVTypes">
  <Template>Normal</Template>
  <Company>zhen</Company>
  <Pages>68</Pages>
  <Words>6553</Words>
  <Characters>37354</Characters>
  <Lines>311</Lines>
  <Paragraphs>87</Paragraphs>
  <TotalTime>2</TotalTime>
  <ScaleCrop>false</ScaleCrop>
  <LinksUpToDate>false</LinksUpToDate>
  <CharactersWithSpaces>43820</CharactersWithSpaces>
  <Application>WPS Office_11.1.0.8751_F1E327BC-269C-435d-A152-05C5408002CA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2018-12-26T09:16:00Z</dcterms:created>
  <dc:creator>wen</dc:creator>
  <cp:lastModifiedBy>红色鲱鱼</cp:lastModifiedBy>
  <cp:lastPrinted>2019-07-18T06:16:00Z</cp:lastPrinted>
  <dcterms:modified xsi:type="dcterms:W3CDTF">2019-08-14T06:40:25Z</dcterms:modified>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2052-11.1.0.8751</vt:lpwstr>
  </property>
</Properties>
</file>