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default" w:ascii="Times New Roman" w:hAnsi="Times New Roman" w:cs="Times New Roman"/>
          <w:color w:val="auto"/>
        </w:rPr>
      </w:pPr>
      <w:bookmarkStart w:id="0" w:name="_Hlk535092535"/>
      <w:bookmarkEnd w:id="0"/>
      <w:r>
        <w:rPr>
          <w:rFonts w:hint="default" w:ascii="Times New Roman" w:hAnsi="Times New Roman" w:cs="Times New Roman"/>
          <w:color w:val="auto"/>
        </w:rPr>
        <mc:AlternateContent>
          <mc:Choice Requires="wps">
            <w:drawing>
              <wp:anchor distT="0" distB="0" distL="114300" distR="114300" simplePos="0" relativeHeight="251588608" behindDoc="0" locked="0" layoutInCell="1" allowOverlap="1">
                <wp:simplePos x="0" y="0"/>
                <wp:positionH relativeFrom="column">
                  <wp:posOffset>-3053715</wp:posOffset>
                </wp:positionH>
                <wp:positionV relativeFrom="paragraph">
                  <wp:posOffset>-1007745</wp:posOffset>
                </wp:positionV>
                <wp:extent cx="635" cy="635"/>
                <wp:effectExtent l="51435" t="48895" r="62230" b="64770"/>
                <wp:wrapNone/>
                <wp:docPr id="1407" name="直线 266"/>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9525">
                          <a:solidFill>
                            <a:srgbClr val="000001"/>
                          </a:solidFill>
                          <a:round/>
                          <a:tailEnd type="arrow" w="med" len="med"/>
                        </a:ln>
                      </wps:spPr>
                      <wps:bodyPr/>
                    </wps:wsp>
                  </a:graphicData>
                </a:graphic>
              </wp:anchor>
            </w:drawing>
          </mc:Choice>
          <mc:Fallback>
            <w:pict>
              <v:line id="直线 266" o:spid="_x0000_s1026" o:spt="20" style="position:absolute;left:0pt;margin-left:-240.45pt;margin-top:-79.35pt;height:0.05pt;width:0.05pt;z-index:251588608;mso-width-relative:page;mso-height-relative:page;" filled="f" stroked="t" coordsize="21600,21600" o:gfxdata="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I9b1mLYAAAADwEAAA8AAAAAAAAAAQAg&#10;AAAAIgAAAGRycy9kb3ducmV2LnhtbFBLAQIUABQAAAAIAIdO4kDxx7GX1QEAAIEDAAAOAAAAAAAA&#10;AAEAIAAAACcBAABkcnMvZTJvRG9jLnhtbFBLBQYAAAAABgAGAFkBAABuBQAAAAA=&#10;">
                <v:fill on="f" focussize="0,0"/>
                <v:stroke color="#000001" joinstyle="round" endarrow="open"/>
                <v:imagedata o:title=""/>
                <o:lock v:ext="edit" aspectratio="f"/>
              </v:line>
            </w:pict>
          </mc:Fallback>
        </mc:AlternateContent>
      </w:r>
    </w:p>
    <w:p>
      <w:pPr>
        <w:rPr>
          <w:rFonts w:hint="default" w:ascii="Times New Roman" w:hAnsi="Times New Roman" w:cs="Times New Roman"/>
          <w:color w:val="auto"/>
        </w:rPr>
      </w:pPr>
    </w:p>
    <w:p>
      <w:pPr>
        <w:rPr>
          <w:rFonts w:hint="default" w:ascii="Times New Roman" w:hAnsi="Times New Roman" w:cs="Times New Roman"/>
          <w:color w:val="auto"/>
        </w:rPr>
      </w:pPr>
    </w:p>
    <w:p>
      <w:pPr>
        <w:tabs>
          <w:tab w:val="left" w:pos="5717"/>
        </w:tabs>
        <w:rPr>
          <w:rFonts w:hint="default" w:ascii="Times New Roman" w:hAnsi="Times New Roman" w:cs="Times New Roman"/>
          <w:color w:val="auto"/>
        </w:rPr>
      </w:pPr>
      <w:r>
        <w:rPr>
          <w:rFonts w:hint="default" w:ascii="Times New Roman" w:hAnsi="Times New Roman" w:cs="Times New Roman"/>
          <w:color w:val="auto"/>
        </w:rPr>
        <w:tab/>
      </w:r>
    </w:p>
    <w:p>
      <w:pPr>
        <w:rPr>
          <w:rFonts w:hint="default" w:ascii="Times New Roman" w:hAnsi="Times New Roman" w:cs="Times New Roman"/>
          <w:color w:val="auto"/>
        </w:rPr>
      </w:pPr>
    </w:p>
    <w:p>
      <w:pPr>
        <w:rPr>
          <w:rFonts w:hint="default" w:ascii="Times New Roman" w:hAnsi="Times New Roman" w:cs="Times New Roman"/>
          <w:color w:val="auto"/>
        </w:rPr>
      </w:pPr>
    </w:p>
    <w:p>
      <w:pPr>
        <w:rPr>
          <w:rFonts w:hint="default" w:ascii="Times New Roman" w:hAnsi="Times New Roman" w:cs="Times New Roman"/>
          <w:color w:val="auto"/>
        </w:rPr>
      </w:pPr>
    </w:p>
    <w:p>
      <w:pPr>
        <w:rPr>
          <w:rFonts w:hint="default" w:ascii="Times New Roman" w:hAnsi="Times New Roman" w:cs="Times New Roman"/>
          <w:color w:val="auto"/>
        </w:rPr>
      </w:pPr>
    </w:p>
    <w:p>
      <w:pPr>
        <w:pStyle w:val="91"/>
        <w:adjustRightInd/>
        <w:rPr>
          <w:rFonts w:hint="default" w:ascii="Times New Roman" w:hAnsi="Times New Roman" w:cs="Times New Roman"/>
          <w:b/>
          <w:color w:val="auto"/>
          <w:kern w:val="2"/>
        </w:rPr>
      </w:pPr>
      <w:r>
        <w:rPr>
          <w:rFonts w:hint="default" w:ascii="Times New Roman" w:hAnsi="Times New Roman" w:cs="Times New Roman"/>
          <w:b/>
          <w:color w:val="auto"/>
          <w:kern w:val="2"/>
        </w:rPr>
        <w:t>建设项目环境影响报告表</w:t>
      </w:r>
    </w:p>
    <w:p>
      <w:pPr>
        <w:pStyle w:val="91"/>
        <w:adjustRightInd/>
        <w:rPr>
          <w:rFonts w:hint="default" w:ascii="Times New Roman" w:hAnsi="Times New Roman" w:eastAsia="宋体" w:cs="Times New Roman"/>
          <w:b/>
          <w:color w:val="auto"/>
          <w:kern w:val="2"/>
          <w:lang w:eastAsia="zh-CN"/>
        </w:rPr>
      </w:pPr>
    </w:p>
    <w:p>
      <w:pPr>
        <w:pStyle w:val="91"/>
        <w:adjustRightInd/>
        <w:rPr>
          <w:rFonts w:hint="default" w:ascii="Times New Roman" w:hAnsi="Times New Roman" w:cs="Times New Roman"/>
          <w:b/>
          <w:color w:val="auto"/>
          <w:kern w:val="2"/>
        </w:rPr>
      </w:pPr>
    </w:p>
    <w:p>
      <w:pPr>
        <w:pStyle w:val="91"/>
        <w:adjustRightInd/>
        <w:rPr>
          <w:rFonts w:hint="default" w:ascii="Times New Roman" w:hAnsi="Times New Roman" w:cs="Times New Roman"/>
          <w:b/>
          <w:color w:val="auto"/>
          <w:kern w:val="2"/>
        </w:rPr>
      </w:pPr>
    </w:p>
    <w:p>
      <w:pPr>
        <w:pStyle w:val="91"/>
        <w:adjustRightInd/>
        <w:spacing w:line="600" w:lineRule="auto"/>
        <w:jc w:val="both"/>
        <w:rPr>
          <w:rFonts w:hint="default" w:ascii="Times New Roman" w:hAnsi="Times New Roman" w:cs="Times New Roman"/>
          <w:b/>
          <w:color w:val="auto"/>
          <w:sz w:val="32"/>
          <w:szCs w:val="32"/>
        </w:rPr>
      </w:pPr>
    </w:p>
    <w:p>
      <w:pPr>
        <w:pStyle w:val="91"/>
        <w:adjustRightInd/>
        <w:spacing w:line="600" w:lineRule="auto"/>
        <w:jc w:val="center"/>
        <w:rPr>
          <w:rFonts w:hint="default" w:ascii="Times New Roman" w:hAnsi="Times New Roman" w:cs="Times New Roman"/>
          <w:b/>
          <w:color w:val="auto"/>
          <w:sz w:val="32"/>
          <w:szCs w:val="32"/>
          <w:u w:val="single"/>
        </w:rPr>
      </w:pPr>
      <w:r>
        <w:rPr>
          <w:rFonts w:hint="default" w:ascii="Times New Roman" w:hAnsi="Times New Roman" w:cs="Times New Roman"/>
          <w:b/>
          <w:color w:val="auto"/>
          <w:sz w:val="32"/>
          <w:szCs w:val="32"/>
        </w:rPr>
        <w:t>项目名称：</w:t>
      </w:r>
      <w:r>
        <w:rPr>
          <w:rFonts w:hint="eastAsia" w:cs="Times New Roman"/>
          <w:b/>
          <w:color w:val="auto"/>
          <w:sz w:val="32"/>
          <w:szCs w:val="32"/>
          <w:u w:val="single"/>
          <w:lang w:val="en-US" w:eastAsia="zh-CN"/>
        </w:rPr>
        <w:t xml:space="preserve">  </w:t>
      </w:r>
      <w:r>
        <w:rPr>
          <w:rFonts w:hint="eastAsia" w:cs="Times New Roman"/>
          <w:b/>
          <w:color w:val="auto"/>
          <w:sz w:val="32"/>
          <w:szCs w:val="32"/>
          <w:u w:val="single"/>
          <w:lang w:eastAsia="zh-CN"/>
        </w:rPr>
        <w:t>揭东岭东医院建设项目</w:t>
      </w:r>
    </w:p>
    <w:p>
      <w:pPr>
        <w:pStyle w:val="91"/>
        <w:adjustRightInd/>
        <w:spacing w:line="600" w:lineRule="auto"/>
        <w:jc w:val="center"/>
        <w:rPr>
          <w:rFonts w:hint="default" w:ascii="Times New Roman" w:hAnsi="Times New Roman" w:cs="Times New Roman"/>
          <w:b/>
          <w:color w:val="auto"/>
          <w:sz w:val="32"/>
          <w:szCs w:val="32"/>
        </w:rPr>
      </w:pPr>
      <w:r>
        <w:rPr>
          <w:rFonts w:hint="default" w:ascii="Times New Roman" w:hAnsi="Times New Roman" w:cs="Times New Roman"/>
          <w:b/>
          <w:color w:val="auto"/>
          <w:sz w:val="32"/>
          <w:szCs w:val="32"/>
        </w:rPr>
        <w:t>建设单位：</w:t>
      </w:r>
      <w:r>
        <w:rPr>
          <w:rFonts w:hint="eastAsia" w:cs="Times New Roman"/>
          <w:b/>
          <w:color w:val="auto"/>
          <w:sz w:val="32"/>
          <w:szCs w:val="32"/>
          <w:u w:val="single"/>
          <w:lang w:eastAsia="zh-CN"/>
        </w:rPr>
        <w:t>揭东岭东医院</w:t>
      </w:r>
      <w:r>
        <w:rPr>
          <w:rFonts w:hint="default" w:ascii="Times New Roman" w:hAnsi="Times New Roman" w:cs="Times New Roman"/>
          <w:b/>
          <w:color w:val="auto"/>
          <w:sz w:val="32"/>
          <w:szCs w:val="32"/>
        </w:rPr>
        <w:t>（盖章）</w:t>
      </w:r>
    </w:p>
    <w:p>
      <w:pPr>
        <w:pStyle w:val="91"/>
        <w:adjustRightInd/>
        <w:rPr>
          <w:rFonts w:hint="default" w:ascii="Times New Roman" w:hAnsi="Times New Roman" w:cs="Times New Roman"/>
          <w:b/>
          <w:color w:val="auto"/>
          <w:kern w:val="2"/>
          <w:sz w:val="28"/>
        </w:rPr>
      </w:pPr>
    </w:p>
    <w:p>
      <w:pPr>
        <w:pStyle w:val="91"/>
        <w:adjustRightInd/>
        <w:rPr>
          <w:rFonts w:hint="default" w:ascii="Times New Roman" w:hAnsi="Times New Roman" w:cs="Times New Roman"/>
          <w:b/>
          <w:color w:val="auto"/>
          <w:kern w:val="2"/>
          <w:sz w:val="28"/>
        </w:rPr>
      </w:pPr>
    </w:p>
    <w:p>
      <w:pPr>
        <w:pStyle w:val="91"/>
        <w:adjustRightInd/>
        <w:rPr>
          <w:rFonts w:hint="default" w:ascii="Times New Roman" w:hAnsi="Times New Roman" w:cs="Times New Roman"/>
          <w:b/>
          <w:color w:val="auto"/>
          <w:kern w:val="2"/>
          <w:sz w:val="28"/>
        </w:rPr>
      </w:pPr>
    </w:p>
    <w:p>
      <w:pPr>
        <w:pStyle w:val="91"/>
        <w:adjustRightInd/>
        <w:rPr>
          <w:rFonts w:hint="default" w:ascii="Times New Roman" w:hAnsi="Times New Roman" w:cs="Times New Roman"/>
          <w:b/>
          <w:color w:val="auto"/>
          <w:kern w:val="2"/>
          <w:sz w:val="28"/>
        </w:rPr>
      </w:pPr>
    </w:p>
    <w:p>
      <w:pPr>
        <w:pStyle w:val="91"/>
        <w:adjustRightInd/>
        <w:rPr>
          <w:rFonts w:hint="default" w:ascii="Times New Roman" w:hAnsi="Times New Roman" w:cs="Times New Roman"/>
          <w:b/>
          <w:color w:val="auto"/>
          <w:kern w:val="2"/>
          <w:sz w:val="28"/>
        </w:rPr>
      </w:pPr>
    </w:p>
    <w:p>
      <w:pPr>
        <w:pStyle w:val="91"/>
        <w:adjustRightInd/>
        <w:rPr>
          <w:rFonts w:hint="default" w:ascii="Times New Roman" w:hAnsi="Times New Roman" w:cs="Times New Roman"/>
          <w:b/>
          <w:color w:val="auto"/>
          <w:kern w:val="2"/>
          <w:sz w:val="28"/>
        </w:rPr>
      </w:pPr>
    </w:p>
    <w:p>
      <w:pPr>
        <w:pStyle w:val="91"/>
        <w:adjustRightInd/>
        <w:ind w:left="-619" w:leftChars="-295"/>
        <w:rPr>
          <w:rFonts w:hint="default" w:ascii="Times New Roman" w:hAnsi="Times New Roman" w:cs="Times New Roman"/>
          <w:b/>
          <w:color w:val="auto"/>
          <w:kern w:val="2"/>
          <w:sz w:val="28"/>
        </w:rPr>
      </w:pPr>
      <w:r>
        <w:rPr>
          <w:rFonts w:hint="default" w:ascii="Times New Roman" w:hAnsi="Times New Roman" w:cs="Times New Roman"/>
          <w:b/>
          <w:color w:val="auto"/>
          <w:kern w:val="2"/>
          <w:sz w:val="28"/>
        </w:rPr>
        <w:t>编制日期：二〇一</w:t>
      </w:r>
      <w:r>
        <w:rPr>
          <w:rFonts w:hint="default" w:ascii="Times New Roman" w:hAnsi="Times New Roman" w:cs="Times New Roman"/>
          <w:b/>
          <w:color w:val="auto"/>
          <w:kern w:val="2"/>
          <w:sz w:val="28"/>
          <w:lang w:eastAsia="zh-CN"/>
        </w:rPr>
        <w:t>九</w:t>
      </w:r>
      <w:r>
        <w:rPr>
          <w:rFonts w:hint="default" w:ascii="Times New Roman" w:hAnsi="Times New Roman" w:cs="Times New Roman"/>
          <w:b/>
          <w:color w:val="auto"/>
          <w:kern w:val="2"/>
          <w:sz w:val="28"/>
        </w:rPr>
        <w:t>年</w:t>
      </w:r>
      <w:r>
        <w:rPr>
          <w:rFonts w:hint="eastAsia" w:cs="Times New Roman"/>
          <w:b/>
          <w:color w:val="auto"/>
          <w:kern w:val="2"/>
          <w:sz w:val="28"/>
          <w:lang w:eastAsia="zh-CN"/>
        </w:rPr>
        <w:t>七</w:t>
      </w:r>
      <w:r>
        <w:rPr>
          <w:rFonts w:hint="default" w:ascii="Times New Roman" w:hAnsi="Times New Roman" w:cs="Times New Roman"/>
          <w:b/>
          <w:color w:val="auto"/>
          <w:kern w:val="2"/>
          <w:sz w:val="28"/>
        </w:rPr>
        <w:t>月</w:t>
      </w:r>
    </w:p>
    <w:p>
      <w:pPr>
        <w:pStyle w:val="91"/>
        <w:adjustRightInd/>
        <w:ind w:left="-619" w:leftChars="-295"/>
        <w:rPr>
          <w:rFonts w:hint="default" w:ascii="Times New Roman" w:hAnsi="Times New Roman" w:cs="Times New Roman"/>
          <w:color w:val="auto"/>
        </w:rPr>
      </w:pPr>
      <w:r>
        <w:rPr>
          <w:rFonts w:hint="default" w:ascii="Times New Roman" w:hAnsi="Times New Roman" w:cs="Times New Roman"/>
          <w:b/>
          <w:color w:val="auto"/>
          <w:kern w:val="2"/>
          <w:sz w:val="28"/>
        </w:rPr>
        <w:t>国家</w:t>
      </w:r>
      <w:r>
        <w:rPr>
          <w:rFonts w:hint="default" w:ascii="Times New Roman" w:hAnsi="Times New Roman" w:cs="Times New Roman"/>
          <w:b/>
          <w:color w:val="auto"/>
          <w:kern w:val="2"/>
          <w:sz w:val="28"/>
          <w:lang w:eastAsia="zh-CN"/>
        </w:rPr>
        <w:t>生态环境</w:t>
      </w:r>
      <w:r>
        <w:rPr>
          <w:rFonts w:hint="default" w:ascii="Times New Roman" w:hAnsi="Times New Roman" w:cs="Times New Roman"/>
          <w:b/>
          <w:color w:val="auto"/>
          <w:kern w:val="2"/>
          <w:sz w:val="28"/>
        </w:rPr>
        <w:t>部制</w:t>
      </w:r>
    </w:p>
    <w:p>
      <w:pPr>
        <w:widowControl/>
        <w:jc w:val="left"/>
        <w:rPr>
          <w:rFonts w:hint="default" w:ascii="Times New Roman" w:hAnsi="Times New Roman" w:cs="Times New Roman"/>
          <w:color w:val="auto"/>
        </w:rPr>
      </w:pPr>
    </w:p>
    <w:p>
      <w:pPr>
        <w:pStyle w:val="112"/>
        <w:jc w:val="center"/>
        <w:rPr>
          <w:rFonts w:hint="default" w:ascii="Times New Roman" w:hAnsi="Times New Roman" w:cs="Times New Roman"/>
          <w:color w:val="auto"/>
        </w:rPr>
      </w:pPr>
    </w:p>
    <w:p>
      <w:pPr>
        <w:pStyle w:val="112"/>
        <w:jc w:val="center"/>
        <w:rPr>
          <w:rFonts w:hint="default" w:ascii="Times New Roman" w:hAnsi="Times New Roman" w:cs="Times New Roman"/>
          <w:color w:val="auto"/>
        </w:rPr>
      </w:pPr>
    </w:p>
    <w:p>
      <w:pPr>
        <w:pStyle w:val="112"/>
        <w:jc w:val="center"/>
        <w:rPr>
          <w:rFonts w:hint="default" w:ascii="Times New Roman" w:hAnsi="Times New Roman" w:cs="Times New Roman"/>
          <w:color w:val="auto"/>
        </w:rPr>
      </w:pPr>
      <w:r>
        <w:rPr>
          <w:rFonts w:hint="default" w:ascii="Times New Roman" w:hAnsi="Times New Roman" w:cs="Times New Roman"/>
          <w:color w:val="auto"/>
        </w:rPr>
        <w:t>《建设项目环境影响报告表》编制说明</w:t>
      </w:r>
    </w:p>
    <w:p>
      <w:pPr>
        <w:pStyle w:val="112"/>
        <w:jc w:val="center"/>
        <w:rPr>
          <w:rFonts w:hint="default" w:ascii="Times New Roman" w:hAnsi="Times New Roman" w:cs="Times New Roman"/>
          <w:color w:val="auto"/>
        </w:rPr>
      </w:pPr>
    </w:p>
    <w:p>
      <w:pPr>
        <w:ind w:firstLine="480"/>
        <w:rPr>
          <w:rFonts w:hint="default" w:ascii="Times New Roman" w:hAnsi="Times New Roman" w:cs="Times New Roman"/>
          <w:color w:val="auto"/>
        </w:rPr>
      </w:pPr>
      <w:r>
        <w:rPr>
          <w:rFonts w:hint="default" w:ascii="Times New Roman" w:hAnsi="Times New Roman" w:cs="Times New Roman"/>
          <w:color w:val="auto"/>
        </w:rPr>
        <w:t xml:space="preserve"> </w:t>
      </w:r>
    </w:p>
    <w:p>
      <w:pPr>
        <w:ind w:firstLine="480"/>
        <w:rPr>
          <w:rFonts w:hint="default" w:ascii="Times New Roman" w:hAnsi="Times New Roman" w:cs="Times New Roman"/>
          <w:color w:val="auto"/>
        </w:rPr>
      </w:pPr>
    </w:p>
    <w:p>
      <w:pPr>
        <w:pStyle w:val="113"/>
        <w:ind w:firstLine="560"/>
        <w:rPr>
          <w:rFonts w:hint="default" w:ascii="Times New Roman" w:hAnsi="Times New Roman" w:cs="Times New Roman"/>
          <w:color w:val="auto"/>
        </w:rPr>
      </w:pPr>
      <w:r>
        <w:rPr>
          <w:rFonts w:hint="default" w:ascii="Times New Roman" w:hAnsi="Times New Roman" w:cs="Times New Roman"/>
          <w:color w:val="auto"/>
        </w:rPr>
        <w:t>《建设项目环境影响报告表》由具有从事环境影响评价工作资质的单位编制。</w:t>
      </w:r>
    </w:p>
    <w:p>
      <w:pPr>
        <w:pStyle w:val="113"/>
        <w:ind w:firstLine="560"/>
        <w:rPr>
          <w:rFonts w:hint="default" w:ascii="Times New Roman" w:hAnsi="Times New Roman" w:cs="Times New Roman"/>
          <w:color w:val="auto"/>
        </w:rPr>
      </w:pPr>
      <w:r>
        <w:rPr>
          <w:rFonts w:hint="default" w:ascii="Times New Roman" w:hAnsi="Times New Roman" w:cs="Times New Roman"/>
          <w:color w:val="auto"/>
        </w:rPr>
        <w:t>1.项目名称——指项目立项批复时的名称，应不超过30个字（两个英文字段作一个汉字）。</w:t>
      </w:r>
    </w:p>
    <w:p>
      <w:pPr>
        <w:pStyle w:val="113"/>
        <w:ind w:firstLine="560"/>
        <w:rPr>
          <w:rFonts w:hint="default" w:ascii="Times New Roman" w:hAnsi="Times New Roman" w:cs="Times New Roman"/>
          <w:color w:val="auto"/>
        </w:rPr>
      </w:pPr>
      <w:r>
        <w:rPr>
          <w:rFonts w:hint="default" w:ascii="Times New Roman" w:hAnsi="Times New Roman" w:cs="Times New Roman"/>
          <w:color w:val="auto"/>
        </w:rPr>
        <w:t xml:space="preserve">2.建设地点——指项目所在地详细地址，公路、铁路应填写起止地点。    </w:t>
      </w:r>
    </w:p>
    <w:p>
      <w:pPr>
        <w:pStyle w:val="113"/>
        <w:ind w:firstLine="560"/>
        <w:rPr>
          <w:rFonts w:hint="default" w:ascii="Times New Roman" w:hAnsi="Times New Roman" w:cs="Times New Roman"/>
          <w:color w:val="auto"/>
        </w:rPr>
      </w:pPr>
      <w:r>
        <w:rPr>
          <w:rFonts w:hint="default" w:ascii="Times New Roman" w:hAnsi="Times New Roman" w:cs="Times New Roman"/>
          <w:color w:val="auto"/>
        </w:rPr>
        <w:t>3.行业类别——按国标填写。</w:t>
      </w:r>
    </w:p>
    <w:p>
      <w:pPr>
        <w:pStyle w:val="113"/>
        <w:ind w:firstLine="560"/>
        <w:rPr>
          <w:rFonts w:hint="default" w:ascii="Times New Roman" w:hAnsi="Times New Roman" w:cs="Times New Roman"/>
          <w:color w:val="auto"/>
        </w:rPr>
      </w:pPr>
      <w:r>
        <w:rPr>
          <w:rFonts w:hint="default" w:ascii="Times New Roman" w:hAnsi="Times New Roman" w:cs="Times New Roman"/>
          <w:color w:val="auto"/>
        </w:rPr>
        <w:t>4.总投资——指项目投资总额。</w:t>
      </w:r>
    </w:p>
    <w:p>
      <w:pPr>
        <w:pStyle w:val="113"/>
        <w:ind w:firstLine="560"/>
        <w:rPr>
          <w:rFonts w:hint="default" w:ascii="Times New Roman" w:hAnsi="Times New Roman" w:cs="Times New Roman"/>
          <w:color w:val="auto"/>
        </w:rPr>
      </w:pPr>
      <w:r>
        <w:rPr>
          <w:rFonts w:hint="default" w:ascii="Times New Roman" w:hAnsi="Times New Roman" w:cs="Times New Roman"/>
          <w:color w:val="auto"/>
        </w:rPr>
        <w:t>5.主要环境保护目标——指项目区周围一定范围内集中居民住宅区、学校医院、保护文物、风景名胜区、水源地和生态敏感点等，应尽可能给出保护目标、性质、规模和距厂界距离等。</w:t>
      </w:r>
    </w:p>
    <w:p>
      <w:pPr>
        <w:pStyle w:val="113"/>
        <w:ind w:firstLine="560"/>
        <w:rPr>
          <w:rFonts w:hint="default" w:ascii="Times New Roman" w:hAnsi="Times New Roman" w:cs="Times New Roman"/>
          <w:color w:val="auto"/>
        </w:rPr>
      </w:pPr>
      <w:r>
        <w:rPr>
          <w:rFonts w:hint="default" w:ascii="Times New Roman" w:hAnsi="Times New Roman" w:cs="Times New Roman"/>
          <w:color w:val="auto"/>
        </w:rPr>
        <w:t>6.结论与建议——给出本项目清洁生产、达标排放和总量控制的分析结论，确定污染防治措施的有效性，说明本项目对环境造成的影响，给出建设项目环境可行性的明确结论。同时提出减少环境影响的其他建议。</w:t>
      </w:r>
    </w:p>
    <w:p>
      <w:pPr>
        <w:pStyle w:val="113"/>
        <w:ind w:firstLine="560"/>
        <w:rPr>
          <w:rFonts w:hint="default" w:ascii="Times New Roman" w:hAnsi="Times New Roman" w:cs="Times New Roman"/>
          <w:color w:val="auto"/>
        </w:rPr>
      </w:pPr>
      <w:r>
        <w:rPr>
          <w:rFonts w:hint="default" w:ascii="Times New Roman" w:hAnsi="Times New Roman" w:cs="Times New Roman"/>
          <w:color w:val="auto"/>
        </w:rPr>
        <w:t xml:space="preserve">7.预审意见——由行业主管部门填写答复意见，无主管部门项目，可不填。 </w:t>
      </w:r>
    </w:p>
    <w:p>
      <w:pPr>
        <w:pStyle w:val="113"/>
        <w:ind w:firstLine="560"/>
        <w:rPr>
          <w:rFonts w:hint="default" w:ascii="Times New Roman" w:hAnsi="Times New Roman" w:cs="Times New Roman"/>
          <w:color w:val="auto"/>
        </w:rPr>
      </w:pPr>
      <w:r>
        <w:rPr>
          <w:rFonts w:hint="default" w:ascii="Times New Roman" w:hAnsi="Times New Roman" w:cs="Times New Roman"/>
          <w:color w:val="auto"/>
        </w:rPr>
        <w:t>8.审批意见——由负责审批该项目的环境保护行政主管部门批复。</w:t>
      </w:r>
    </w:p>
    <w:p>
      <w:pPr>
        <w:pStyle w:val="113"/>
        <w:ind w:firstLine="560"/>
        <w:rPr>
          <w:rFonts w:hint="default" w:ascii="Times New Roman" w:hAnsi="Times New Roman" w:cs="Times New Roman"/>
          <w:color w:val="auto"/>
        </w:rPr>
      </w:pPr>
    </w:p>
    <w:p>
      <w:pPr>
        <w:pStyle w:val="113"/>
        <w:ind w:firstLine="560"/>
        <w:rPr>
          <w:rFonts w:hint="default" w:ascii="Times New Roman" w:hAnsi="Times New Roman" w:cs="Times New Roman"/>
          <w:color w:val="auto"/>
        </w:rPr>
      </w:pPr>
    </w:p>
    <w:p>
      <w:pPr>
        <w:pStyle w:val="113"/>
        <w:ind w:firstLine="0" w:firstLineChars="0"/>
        <w:jc w:val="center"/>
        <w:rPr>
          <w:rFonts w:hint="default" w:ascii="Times New Roman" w:hAnsi="Times New Roman" w:cs="Times New Roman"/>
          <w:color w:val="auto"/>
        </w:rPr>
      </w:pPr>
    </w:p>
    <w:p>
      <w:pPr>
        <w:widowControl/>
        <w:jc w:val="left"/>
        <w:rPr>
          <w:rFonts w:hint="default" w:ascii="Times New Roman" w:hAnsi="Times New Roman" w:cs="Times New Roman"/>
          <w:color w:val="auto"/>
          <w:sz w:val="30"/>
          <w:szCs w:val="30"/>
          <w:lang w:val="en-GB"/>
        </w:rPr>
        <w:sectPr>
          <w:headerReference r:id="rId3" w:type="default"/>
          <w:footerReference r:id="rId4" w:type="even"/>
          <w:pgSz w:w="11906" w:h="16838"/>
          <w:pgMar w:top="1440" w:right="1800" w:bottom="1440" w:left="1800" w:header="851" w:footer="851" w:gutter="0"/>
          <w:pgBorders>
            <w:top w:val="none" w:sz="0" w:space="0"/>
            <w:left w:val="none" w:sz="0" w:space="0"/>
            <w:bottom w:val="none" w:sz="0" w:space="0"/>
            <w:right w:val="none" w:sz="0" w:space="0"/>
          </w:pgBorders>
          <w:pgNumType w:fmt="numberInDash" w:start="1"/>
          <w:cols w:space="720" w:num="1"/>
          <w:docGrid w:type="lines" w:linePitch="312" w:charSpace="0"/>
        </w:sectPr>
      </w:pPr>
      <w:r>
        <w:rPr>
          <w:rFonts w:hint="default" w:ascii="Times New Roman" w:hAnsi="Times New Roman" w:cs="Times New Roman"/>
          <w:color w:val="auto"/>
          <w:sz w:val="30"/>
          <w:szCs w:val="30"/>
          <w:lang w:val="en-GB"/>
        </w:rPr>
        <w:br w:type="page"/>
      </w:r>
    </w:p>
    <w:p>
      <w:pPr>
        <w:pStyle w:val="3"/>
        <w:jc w:val="left"/>
        <w:rPr>
          <w:rFonts w:hint="default" w:ascii="Times New Roman" w:hAnsi="Times New Roman" w:cs="Times New Roman"/>
          <w:b/>
          <w:bCs/>
          <w:color w:val="auto"/>
          <w:szCs w:val="28"/>
        </w:rPr>
      </w:pPr>
      <w:r>
        <w:rPr>
          <w:rFonts w:hint="default" w:ascii="Times New Roman" w:hAnsi="Times New Roman" w:cs="Times New Roman"/>
          <w:b/>
          <w:bCs/>
          <w:color w:val="auto"/>
          <w:szCs w:val="28"/>
        </w:rPr>
        <w:t>建设项目基本情况</w:t>
      </w:r>
    </w:p>
    <w:tbl>
      <w:tblPr>
        <w:tblStyle w:val="31"/>
        <w:tblW w:w="9484"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77"/>
        <w:gridCol w:w="424"/>
        <w:gridCol w:w="1010"/>
        <w:gridCol w:w="423"/>
        <w:gridCol w:w="1417"/>
        <w:gridCol w:w="254"/>
        <w:gridCol w:w="1051"/>
        <w:gridCol w:w="399"/>
        <w:gridCol w:w="1490"/>
        <w:gridCol w:w="133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rPr>
        <w:tc>
          <w:tcPr>
            <w:tcW w:w="1677" w:type="dxa"/>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项目名称</w:t>
            </w:r>
          </w:p>
        </w:tc>
        <w:tc>
          <w:tcPr>
            <w:tcW w:w="7807" w:type="dxa"/>
            <w:gridSpan w:val="9"/>
            <w:vAlign w:val="center"/>
          </w:tcPr>
          <w:p>
            <w:pPr>
              <w:pStyle w:val="61"/>
              <w:autoSpaceDE/>
              <w:autoSpaceDN/>
              <w:adjustRightInd/>
              <w:textAlignment w:val="auto"/>
              <w:rPr>
                <w:rFonts w:hint="default" w:ascii="Times New Roman" w:hAnsi="Times New Roman" w:eastAsia="宋体" w:cs="Times New Roman"/>
                <w:bCs/>
                <w:color w:val="auto"/>
                <w:kern w:val="2"/>
                <w:lang w:eastAsia="zh-CN"/>
              </w:rPr>
            </w:pPr>
            <w:r>
              <w:rPr>
                <w:rFonts w:hint="eastAsia" w:ascii="Times New Roman" w:hAnsi="Times New Roman" w:cs="Times New Roman"/>
                <w:bCs/>
                <w:color w:val="auto"/>
                <w:kern w:val="2"/>
                <w:lang w:eastAsia="zh-CN"/>
              </w:rPr>
              <w:t>揭东岭东医院建设项目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rPr>
        <w:tc>
          <w:tcPr>
            <w:tcW w:w="1677" w:type="dxa"/>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建设单位</w:t>
            </w:r>
          </w:p>
        </w:tc>
        <w:tc>
          <w:tcPr>
            <w:tcW w:w="7807" w:type="dxa"/>
            <w:gridSpan w:val="9"/>
            <w:vAlign w:val="center"/>
          </w:tcPr>
          <w:p>
            <w:pPr>
              <w:pStyle w:val="65"/>
              <w:topLinePunct w:val="0"/>
              <w:autoSpaceDE/>
              <w:autoSpaceDN/>
              <w:adjustRightInd/>
              <w:textAlignment w:val="auto"/>
              <w:rPr>
                <w:rFonts w:hint="default" w:ascii="Times New Roman" w:hAnsi="Times New Roman" w:eastAsia="宋体" w:cs="Times New Roman"/>
                <w:bCs/>
                <w:color w:val="auto"/>
                <w:kern w:val="2"/>
                <w:sz w:val="24"/>
                <w:szCs w:val="24"/>
                <w:lang w:eastAsia="zh-CN"/>
              </w:rPr>
            </w:pPr>
            <w:r>
              <w:rPr>
                <w:rFonts w:hint="eastAsia" w:ascii="Times New Roman" w:hAnsi="Times New Roman" w:cs="Times New Roman"/>
                <w:color w:val="auto"/>
                <w:sz w:val="24"/>
                <w:lang w:eastAsia="zh-CN"/>
              </w:rPr>
              <w:t>揭东岭东医院</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rPr>
        <w:tc>
          <w:tcPr>
            <w:tcW w:w="1677" w:type="dxa"/>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法人代表</w:t>
            </w:r>
          </w:p>
        </w:tc>
        <w:tc>
          <w:tcPr>
            <w:tcW w:w="3528" w:type="dxa"/>
            <w:gridSpan w:val="5"/>
            <w:vAlign w:val="center"/>
          </w:tcPr>
          <w:p>
            <w:pPr>
              <w:jc w:val="center"/>
              <w:rPr>
                <w:rFonts w:hint="default" w:ascii="Times New Roman" w:hAnsi="Times New Roman" w:eastAsia="宋体" w:cs="Times New Roman"/>
                <w:color w:val="auto"/>
                <w:lang w:eastAsia="zh-CN"/>
              </w:rPr>
            </w:pPr>
            <w:r>
              <w:rPr>
                <w:rFonts w:hint="default" w:ascii="Times New Roman" w:hAnsi="Times New Roman" w:cs="Times New Roman"/>
                <w:color w:val="auto"/>
                <w:sz w:val="24"/>
                <w:highlight w:val="yellow"/>
                <w:lang w:eastAsia="zh-CN"/>
              </w:rPr>
              <w:t>侯祥超</w:t>
            </w:r>
          </w:p>
        </w:tc>
        <w:tc>
          <w:tcPr>
            <w:tcW w:w="1450" w:type="dxa"/>
            <w:gridSpan w:val="2"/>
            <w:vAlign w:val="center"/>
          </w:tcPr>
          <w:p>
            <w:pPr>
              <w:jc w:val="center"/>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联 系 人</w:t>
            </w:r>
          </w:p>
        </w:tc>
        <w:tc>
          <w:tcPr>
            <w:tcW w:w="2829" w:type="dxa"/>
            <w:gridSpan w:val="2"/>
            <w:vAlign w:val="center"/>
          </w:tcPr>
          <w:p>
            <w:pPr>
              <w:jc w:val="center"/>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sz w:val="24"/>
                <w:highlight w:val="yellow"/>
                <w:lang w:eastAsia="zh-CN"/>
              </w:rPr>
              <w:t>苏义杰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rPr>
        <w:tc>
          <w:tcPr>
            <w:tcW w:w="1677" w:type="dxa"/>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通讯地址</w:t>
            </w:r>
          </w:p>
        </w:tc>
        <w:tc>
          <w:tcPr>
            <w:tcW w:w="7807" w:type="dxa"/>
            <w:gridSpan w:val="9"/>
            <w:vAlign w:val="center"/>
          </w:tcPr>
          <w:p>
            <w:pPr>
              <w:ind w:firstLine="25"/>
              <w:jc w:val="center"/>
              <w:rPr>
                <w:rFonts w:hint="default" w:ascii="Times New Roman" w:hAnsi="Times New Roman" w:eastAsia="宋体" w:cs="Times New Roman"/>
                <w:color w:val="auto"/>
                <w:sz w:val="24"/>
                <w:lang w:eastAsia="zh-CN"/>
              </w:rPr>
            </w:pPr>
            <w:r>
              <w:rPr>
                <w:rFonts w:hint="eastAsia" w:cs="Times New Roman"/>
                <w:color w:val="auto"/>
                <w:sz w:val="24"/>
                <w:lang w:eastAsia="zh-CN"/>
              </w:rPr>
              <w:t>揭东区锡场镇华清村山沟西片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rPr>
        <w:tc>
          <w:tcPr>
            <w:tcW w:w="1677" w:type="dxa"/>
            <w:vAlign w:val="center"/>
          </w:tcPr>
          <w:p>
            <w:pPr>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联系电话</w:t>
            </w:r>
          </w:p>
        </w:tc>
        <w:tc>
          <w:tcPr>
            <w:tcW w:w="1857" w:type="dxa"/>
            <w:gridSpan w:val="3"/>
            <w:vAlign w:val="center"/>
          </w:tcPr>
          <w:p>
            <w:pPr>
              <w:pStyle w:val="61"/>
              <w:autoSpaceDE/>
              <w:autoSpaceDN/>
              <w:adjustRightInd/>
              <w:textAlignment w:val="auto"/>
              <w:rPr>
                <w:rFonts w:hint="default" w:ascii="Times New Roman" w:hAnsi="Times New Roman" w:eastAsia="宋体" w:cs="Times New Roman"/>
                <w:color w:val="auto"/>
                <w:kern w:val="2"/>
                <w:highlight w:val="none"/>
                <w:lang w:val="en-US" w:eastAsia="zh-CN"/>
              </w:rPr>
            </w:pPr>
            <w:r>
              <w:rPr>
                <w:rFonts w:hint="default" w:ascii="Times New Roman" w:hAnsi="Times New Roman" w:cs="Times New Roman"/>
                <w:color w:val="auto"/>
                <w:kern w:val="2"/>
                <w:highlight w:val="yellow"/>
                <w:lang w:val="en-US" w:eastAsia="zh-CN"/>
              </w:rPr>
              <w:t>13729356608</w:t>
            </w:r>
          </w:p>
        </w:tc>
        <w:tc>
          <w:tcPr>
            <w:tcW w:w="1671" w:type="dxa"/>
            <w:gridSpan w:val="2"/>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传真</w:t>
            </w:r>
          </w:p>
        </w:tc>
        <w:tc>
          <w:tcPr>
            <w:tcW w:w="1450" w:type="dxa"/>
            <w:gridSpan w:val="2"/>
            <w:vAlign w:val="center"/>
          </w:tcPr>
          <w:p>
            <w:pPr>
              <w:pStyle w:val="66"/>
              <w:topLinePunct w:val="0"/>
              <w:autoSpaceDE/>
              <w:autoSpaceDN/>
              <w:adjustRightInd/>
              <w:textAlignment w:val="auto"/>
              <w:rPr>
                <w:rFonts w:hint="default" w:ascii="Times New Roman" w:hAnsi="Times New Roman" w:cs="Times New Roman"/>
                <w:color w:val="auto"/>
                <w:kern w:val="2"/>
                <w:position w:val="0"/>
                <w:sz w:val="24"/>
              </w:rPr>
            </w:pPr>
            <w:r>
              <w:rPr>
                <w:rFonts w:hint="default" w:ascii="Times New Roman" w:hAnsi="Times New Roman" w:cs="Times New Roman"/>
                <w:color w:val="auto"/>
                <w:kern w:val="2"/>
                <w:position w:val="0"/>
                <w:sz w:val="24"/>
              </w:rPr>
              <w:t>——</w:t>
            </w:r>
          </w:p>
        </w:tc>
        <w:tc>
          <w:tcPr>
            <w:tcW w:w="1490" w:type="dxa"/>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邮政编码</w:t>
            </w:r>
          </w:p>
        </w:tc>
        <w:tc>
          <w:tcPr>
            <w:tcW w:w="1339" w:type="dxa"/>
            <w:vAlign w:val="center"/>
          </w:tcPr>
          <w:p>
            <w:pPr>
              <w:pStyle w:val="66"/>
              <w:topLinePunct w:val="0"/>
              <w:autoSpaceDE/>
              <w:autoSpaceDN/>
              <w:adjustRightInd/>
              <w:textAlignment w:val="auto"/>
              <w:rPr>
                <w:rFonts w:hint="default" w:ascii="Times New Roman" w:hAnsi="Times New Roman" w:eastAsia="宋体" w:cs="Times New Roman"/>
                <w:color w:val="auto"/>
                <w:kern w:val="2"/>
                <w:position w:val="0"/>
                <w:sz w:val="24"/>
                <w:lang w:val="en-US" w:eastAsia="zh-CN"/>
              </w:rPr>
            </w:pPr>
            <w:r>
              <w:rPr>
                <w:rFonts w:hint="eastAsia" w:ascii="Times New Roman" w:hAnsi="Times New Roman" w:cs="Times New Roman"/>
                <w:color w:val="auto"/>
                <w:sz w:val="24"/>
                <w:lang w:val="en-US" w:eastAsia="zh-CN"/>
              </w:rPr>
              <w:t>522000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rPr>
        <w:tc>
          <w:tcPr>
            <w:tcW w:w="1677" w:type="dxa"/>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建设地点</w:t>
            </w:r>
          </w:p>
        </w:tc>
        <w:tc>
          <w:tcPr>
            <w:tcW w:w="7807" w:type="dxa"/>
            <w:gridSpan w:val="9"/>
            <w:vAlign w:val="center"/>
          </w:tcPr>
          <w:p>
            <w:pPr>
              <w:jc w:val="center"/>
              <w:rPr>
                <w:rFonts w:hint="default"/>
                <w:lang w:eastAsia="zh-CN"/>
              </w:rPr>
            </w:pPr>
            <w:r>
              <w:rPr>
                <w:rFonts w:hint="default"/>
                <w:sz w:val="24"/>
                <w:szCs w:val="24"/>
                <w:lang w:eastAsia="zh-CN"/>
              </w:rPr>
              <w:t>揭东区锡场镇华清村山沟西片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rPr>
        <w:tc>
          <w:tcPr>
            <w:tcW w:w="2101" w:type="dxa"/>
            <w:gridSpan w:val="2"/>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立项审批部门</w:t>
            </w:r>
          </w:p>
        </w:tc>
        <w:tc>
          <w:tcPr>
            <w:tcW w:w="2850" w:type="dxa"/>
            <w:gridSpan w:val="3"/>
            <w:vAlign w:val="center"/>
          </w:tcPr>
          <w:p>
            <w:pPr>
              <w:pStyle w:val="61"/>
              <w:autoSpaceDE/>
              <w:autoSpaceDN/>
              <w:adjustRightInd/>
              <w:textAlignment w:val="auto"/>
              <w:rPr>
                <w:rFonts w:hint="default" w:ascii="Times New Roman" w:hAnsi="Times New Roman" w:cs="Times New Roman"/>
                <w:color w:val="auto"/>
                <w:kern w:val="2"/>
              </w:rPr>
            </w:pPr>
            <w:r>
              <w:rPr>
                <w:rFonts w:hint="default" w:ascii="Times New Roman" w:hAnsi="Times New Roman" w:cs="Times New Roman"/>
                <w:color w:val="auto"/>
                <w:kern w:val="2"/>
              </w:rPr>
              <w:t>/</w:t>
            </w:r>
          </w:p>
        </w:tc>
        <w:tc>
          <w:tcPr>
            <w:tcW w:w="1305" w:type="dxa"/>
            <w:gridSpan w:val="2"/>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批准文号</w:t>
            </w:r>
          </w:p>
        </w:tc>
        <w:tc>
          <w:tcPr>
            <w:tcW w:w="3228" w:type="dxa"/>
            <w:gridSpan w:val="3"/>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rPr>
        <w:tc>
          <w:tcPr>
            <w:tcW w:w="1677" w:type="dxa"/>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建设性质</w:t>
            </w:r>
          </w:p>
        </w:tc>
        <w:tc>
          <w:tcPr>
            <w:tcW w:w="3274" w:type="dxa"/>
            <w:gridSpan w:val="4"/>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新建</w:t>
            </w:r>
          </w:p>
        </w:tc>
        <w:tc>
          <w:tcPr>
            <w:tcW w:w="1305" w:type="dxa"/>
            <w:gridSpan w:val="2"/>
            <w:vAlign w:val="center"/>
          </w:tcPr>
          <w:p>
            <w:pPr>
              <w:pStyle w:val="61"/>
              <w:autoSpaceDE/>
              <w:autoSpaceDN/>
              <w:adjustRightInd/>
              <w:textAlignment w:val="auto"/>
              <w:rPr>
                <w:rFonts w:hint="default" w:ascii="Times New Roman" w:hAnsi="Times New Roman" w:cs="Times New Roman"/>
                <w:color w:val="auto"/>
                <w:kern w:val="2"/>
              </w:rPr>
            </w:pPr>
            <w:r>
              <w:rPr>
                <w:rFonts w:hint="default" w:ascii="Times New Roman" w:hAnsi="Times New Roman" w:cs="Times New Roman"/>
                <w:color w:val="auto"/>
                <w:kern w:val="2"/>
              </w:rPr>
              <w:t>行业类别</w:t>
            </w:r>
          </w:p>
          <w:p>
            <w:pPr>
              <w:pStyle w:val="61"/>
              <w:autoSpaceDE/>
              <w:autoSpaceDN/>
              <w:adjustRightInd/>
              <w:textAlignment w:val="auto"/>
              <w:rPr>
                <w:rFonts w:hint="default" w:ascii="Times New Roman" w:hAnsi="Times New Roman" w:cs="Times New Roman"/>
                <w:color w:val="auto"/>
                <w:kern w:val="2"/>
              </w:rPr>
            </w:pPr>
            <w:r>
              <w:rPr>
                <w:rFonts w:hint="default" w:ascii="Times New Roman" w:hAnsi="Times New Roman" w:cs="Times New Roman"/>
                <w:color w:val="auto"/>
                <w:kern w:val="2"/>
              </w:rPr>
              <w:t>及代码</w:t>
            </w:r>
          </w:p>
        </w:tc>
        <w:tc>
          <w:tcPr>
            <w:tcW w:w="3228" w:type="dxa"/>
            <w:gridSpan w:val="3"/>
            <w:vAlign w:val="center"/>
          </w:tcPr>
          <w:p>
            <w:pPr>
              <w:jc w:val="center"/>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Q84</w:t>
            </w:r>
            <w:r>
              <w:rPr>
                <w:rFonts w:hint="eastAsia" w:cs="Times New Roman"/>
                <w:color w:val="auto"/>
                <w:sz w:val="24"/>
                <w:lang w:val="en-US" w:eastAsia="zh-CN"/>
              </w:rPr>
              <w:t>11</w:t>
            </w:r>
            <w:r>
              <w:rPr>
                <w:rFonts w:hint="default" w:ascii="Times New Roman" w:hAnsi="Times New Roman" w:cs="Times New Roman"/>
                <w:color w:val="auto"/>
                <w:sz w:val="24"/>
                <w:lang w:val="en-US" w:eastAsia="zh-CN"/>
              </w:rPr>
              <w:t xml:space="preserve"> </w:t>
            </w:r>
            <w:r>
              <w:rPr>
                <w:rFonts w:hint="eastAsia" w:cs="Times New Roman"/>
                <w:color w:val="auto"/>
                <w:sz w:val="24"/>
                <w:lang w:val="en-US" w:eastAsia="zh-CN"/>
              </w:rPr>
              <w:t>综合医院</w:t>
            </w:r>
            <w:r>
              <w:rPr>
                <w:rFonts w:hint="default" w:ascii="Times New Roman" w:hAnsi="Times New Roman" w:cs="Times New Roman"/>
                <w:color w:val="auto"/>
                <w:sz w:val="24"/>
                <w:lang w:val="en-US" w:eastAsia="zh-CN"/>
              </w:rPr>
              <w:t xml:space="preserve">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rPr>
        <w:tc>
          <w:tcPr>
            <w:tcW w:w="1677" w:type="dxa"/>
            <w:vAlign w:val="center"/>
          </w:tcPr>
          <w:p>
            <w:pPr>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占地面积</w:t>
            </w:r>
          </w:p>
          <w:p>
            <w:pPr>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(平方米)</w:t>
            </w:r>
          </w:p>
        </w:tc>
        <w:tc>
          <w:tcPr>
            <w:tcW w:w="3274" w:type="dxa"/>
            <w:gridSpan w:val="4"/>
            <w:vAlign w:val="center"/>
          </w:tcPr>
          <w:p>
            <w:pPr>
              <w:pStyle w:val="61"/>
              <w:autoSpaceDE/>
              <w:autoSpaceDN/>
              <w:adjustRightInd/>
              <w:textAlignment w:val="auto"/>
              <w:rPr>
                <w:rFonts w:hint="default" w:ascii="Times New Roman" w:hAnsi="Times New Roman" w:eastAsia="宋体" w:cs="Times New Roman"/>
                <w:color w:val="auto"/>
                <w:kern w:val="2"/>
                <w:highlight w:val="none"/>
                <w:lang w:val="en-US" w:eastAsia="zh-CN"/>
              </w:rPr>
            </w:pPr>
            <w:r>
              <w:rPr>
                <w:rFonts w:hint="eastAsia" w:ascii="Times New Roman" w:hAnsi="Times New Roman" w:cs="Times New Roman"/>
                <w:color w:val="auto"/>
                <w:kern w:val="2"/>
                <w:highlight w:val="none"/>
                <w:lang w:val="en-US" w:eastAsia="zh-CN"/>
              </w:rPr>
              <w:t>4300</w:t>
            </w:r>
          </w:p>
        </w:tc>
        <w:tc>
          <w:tcPr>
            <w:tcW w:w="1305" w:type="dxa"/>
            <w:gridSpan w:val="2"/>
            <w:vAlign w:val="center"/>
          </w:tcPr>
          <w:p>
            <w:pPr>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绿化面积</w:t>
            </w:r>
          </w:p>
          <w:p>
            <w:pPr>
              <w:jc w:val="center"/>
              <w:rPr>
                <w:rFonts w:hint="default" w:ascii="Times New Roman" w:hAnsi="Times New Roman" w:cs="Times New Roman"/>
                <w:color w:val="auto"/>
                <w:sz w:val="24"/>
                <w:highlight w:val="yellow"/>
              </w:rPr>
            </w:pPr>
            <w:r>
              <w:rPr>
                <w:rFonts w:hint="default" w:ascii="Times New Roman" w:hAnsi="Times New Roman" w:cs="Times New Roman"/>
                <w:color w:val="auto"/>
                <w:sz w:val="24"/>
                <w:highlight w:val="none"/>
              </w:rPr>
              <w:t>(平方米)</w:t>
            </w:r>
          </w:p>
        </w:tc>
        <w:tc>
          <w:tcPr>
            <w:tcW w:w="3228" w:type="dxa"/>
            <w:gridSpan w:val="3"/>
            <w:vAlign w:val="center"/>
          </w:tcPr>
          <w:p>
            <w:pPr>
              <w:pStyle w:val="61"/>
              <w:autoSpaceDE/>
              <w:autoSpaceDN/>
              <w:adjustRightInd/>
              <w:textAlignment w:val="auto"/>
              <w:rPr>
                <w:rFonts w:hint="default" w:ascii="Times New Roman" w:hAnsi="Times New Roman" w:eastAsia="宋体" w:cs="Times New Roman"/>
                <w:color w:val="auto"/>
                <w:kern w:val="2"/>
                <w:lang w:val="en-US" w:eastAsia="zh-CN"/>
              </w:rPr>
            </w:pPr>
            <w:r>
              <w:rPr>
                <w:rFonts w:hint="default" w:ascii="Times New Roman" w:hAnsi="Times New Roman" w:eastAsia="宋体" w:cs="Times New Roman"/>
                <w:color w:val="auto"/>
                <w:kern w:val="2"/>
                <w:sz w:val="24"/>
                <w:szCs w:val="24"/>
                <w:lang w:val="en-US" w:eastAsia="zh-CN" w:bidi="ar-SA"/>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rPr>
        <w:tc>
          <w:tcPr>
            <w:tcW w:w="1677" w:type="dxa"/>
            <w:vAlign w:val="center"/>
          </w:tcPr>
          <w:p>
            <w:pPr>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总投资</w:t>
            </w:r>
          </w:p>
          <w:p>
            <w:pPr>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（万元）</w:t>
            </w:r>
          </w:p>
        </w:tc>
        <w:tc>
          <w:tcPr>
            <w:tcW w:w="1434" w:type="dxa"/>
            <w:gridSpan w:val="2"/>
            <w:vAlign w:val="center"/>
          </w:tcPr>
          <w:p>
            <w:pPr>
              <w:snapToGrid w:val="0"/>
              <w:jc w:val="center"/>
              <w:rPr>
                <w:rFonts w:hint="default" w:ascii="Times New Roman" w:hAnsi="Times New Roman" w:eastAsia="宋体" w:cs="Times New Roman"/>
                <w:color w:val="auto"/>
                <w:sz w:val="24"/>
                <w:lang w:val="en-US" w:eastAsia="zh-CN"/>
              </w:rPr>
            </w:pPr>
            <w:r>
              <w:rPr>
                <w:rFonts w:hint="eastAsia" w:cs="Times New Roman"/>
                <w:color w:val="auto"/>
                <w:sz w:val="24"/>
                <w:highlight w:val="none"/>
                <w:lang w:val="en-US" w:eastAsia="zh-CN"/>
              </w:rPr>
              <w:t>500</w:t>
            </w:r>
          </w:p>
        </w:tc>
        <w:tc>
          <w:tcPr>
            <w:tcW w:w="1840" w:type="dxa"/>
            <w:gridSpan w:val="2"/>
            <w:vAlign w:val="center"/>
          </w:tcPr>
          <w:p>
            <w:pPr>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其中：环保投资（万元）</w:t>
            </w:r>
          </w:p>
        </w:tc>
        <w:tc>
          <w:tcPr>
            <w:tcW w:w="1305" w:type="dxa"/>
            <w:gridSpan w:val="2"/>
            <w:vAlign w:val="center"/>
          </w:tcPr>
          <w:p>
            <w:pPr>
              <w:snapToGrid w:val="0"/>
              <w:jc w:val="center"/>
              <w:rPr>
                <w:rFonts w:hint="default" w:ascii="Times New Roman" w:hAnsi="Times New Roman" w:eastAsia="宋体" w:cs="Times New Roman"/>
                <w:color w:val="auto"/>
                <w:sz w:val="24"/>
                <w:lang w:val="en-US" w:eastAsia="zh-CN"/>
              </w:rPr>
            </w:pPr>
            <w:r>
              <w:rPr>
                <w:rFonts w:hint="eastAsia" w:cs="Times New Roman"/>
                <w:color w:val="auto"/>
                <w:sz w:val="24"/>
                <w:highlight w:val="none"/>
                <w:lang w:val="en-US" w:eastAsia="zh-CN"/>
              </w:rPr>
              <w:t>150</w:t>
            </w:r>
          </w:p>
        </w:tc>
        <w:tc>
          <w:tcPr>
            <w:tcW w:w="1889" w:type="dxa"/>
            <w:gridSpan w:val="2"/>
            <w:vAlign w:val="center"/>
          </w:tcPr>
          <w:p>
            <w:pPr>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环保投资占总投资比例</w:t>
            </w:r>
          </w:p>
        </w:tc>
        <w:tc>
          <w:tcPr>
            <w:tcW w:w="1339" w:type="dxa"/>
            <w:vAlign w:val="center"/>
          </w:tcPr>
          <w:p>
            <w:pPr>
              <w:pStyle w:val="65"/>
              <w:topLinePunct w:val="0"/>
              <w:autoSpaceDE/>
              <w:autoSpaceDN/>
              <w:adjustRightInd/>
              <w:snapToGrid w:val="0"/>
              <w:textAlignment w:val="auto"/>
              <w:rPr>
                <w:rFonts w:hint="default" w:ascii="Times New Roman" w:hAnsi="Times New Roman" w:cs="Times New Roman"/>
                <w:color w:val="auto"/>
                <w:kern w:val="2"/>
                <w:sz w:val="24"/>
                <w:szCs w:val="24"/>
                <w:highlight w:val="yellow"/>
              </w:rPr>
            </w:pPr>
            <w:r>
              <w:rPr>
                <w:rFonts w:hint="eastAsia" w:ascii="Times New Roman" w:hAnsi="Times New Roman" w:cs="Times New Roman"/>
                <w:color w:val="auto"/>
                <w:kern w:val="2"/>
                <w:sz w:val="24"/>
                <w:szCs w:val="24"/>
                <w:highlight w:val="none"/>
                <w:lang w:val="en-US" w:eastAsia="zh-CN"/>
              </w:rPr>
              <w:t>30</w:t>
            </w:r>
            <w:r>
              <w:rPr>
                <w:rFonts w:hint="default" w:ascii="Times New Roman" w:hAnsi="Times New Roman" w:cs="Times New Roman"/>
                <w:color w:val="auto"/>
                <w:kern w:val="2"/>
                <w:sz w:val="24"/>
                <w:szCs w:val="24"/>
                <w:highlight w:val="none"/>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rPr>
        <w:tc>
          <w:tcPr>
            <w:tcW w:w="1677" w:type="dxa"/>
            <w:tcBorders>
              <w:bottom w:val="single" w:color="auto" w:sz="4" w:space="0"/>
            </w:tcBorders>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评价经费</w:t>
            </w:r>
          </w:p>
        </w:tc>
        <w:tc>
          <w:tcPr>
            <w:tcW w:w="1434" w:type="dxa"/>
            <w:gridSpan w:val="2"/>
            <w:tcBorders>
              <w:bottom w:val="single" w:color="auto" w:sz="4" w:space="0"/>
            </w:tcBorders>
            <w:vAlign w:val="center"/>
          </w:tcPr>
          <w:p>
            <w:pPr>
              <w:pStyle w:val="61"/>
              <w:autoSpaceDE/>
              <w:autoSpaceDN/>
              <w:adjustRightInd/>
              <w:textAlignment w:val="auto"/>
              <w:rPr>
                <w:rFonts w:hint="default" w:ascii="Times New Roman" w:hAnsi="Times New Roman" w:cs="Times New Roman"/>
                <w:color w:val="auto"/>
                <w:kern w:val="2"/>
              </w:rPr>
            </w:pPr>
            <w:r>
              <w:rPr>
                <w:rFonts w:hint="default" w:ascii="Times New Roman" w:hAnsi="Times New Roman" w:cs="Times New Roman"/>
                <w:color w:val="auto"/>
                <w:kern w:val="2"/>
              </w:rPr>
              <w:t>/</w:t>
            </w:r>
          </w:p>
        </w:tc>
        <w:tc>
          <w:tcPr>
            <w:tcW w:w="1840" w:type="dxa"/>
            <w:gridSpan w:val="2"/>
            <w:tcBorders>
              <w:bottom w:val="single" w:color="auto" w:sz="4" w:space="0"/>
            </w:tcBorders>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预计投产日期</w:t>
            </w:r>
          </w:p>
        </w:tc>
        <w:tc>
          <w:tcPr>
            <w:tcW w:w="4533" w:type="dxa"/>
            <w:gridSpan w:val="5"/>
            <w:tcBorders>
              <w:bottom w:val="single" w:color="auto" w:sz="4" w:space="0"/>
            </w:tcBorders>
            <w:vAlign w:val="center"/>
          </w:tcPr>
          <w:p>
            <w:pPr>
              <w:pStyle w:val="61"/>
              <w:autoSpaceDE/>
              <w:autoSpaceDN/>
              <w:adjustRightInd/>
              <w:textAlignment w:val="auto"/>
              <w:rPr>
                <w:rFonts w:hint="default" w:ascii="Times New Roman" w:hAnsi="Times New Roman" w:cs="Times New Roman"/>
                <w:color w:val="auto"/>
                <w:kern w:val="2"/>
              </w:rPr>
            </w:pPr>
            <w:r>
              <w:rPr>
                <w:rFonts w:hint="default" w:ascii="Times New Roman" w:hAnsi="Times New Roman" w:cs="Times New Roman"/>
                <w:color w:val="auto"/>
                <w:kern w:val="2"/>
                <w:highlight w:val="none"/>
              </w:rPr>
              <w:t>20</w:t>
            </w:r>
            <w:r>
              <w:rPr>
                <w:rFonts w:hint="default" w:ascii="Times New Roman" w:hAnsi="Times New Roman" w:cs="Times New Roman"/>
                <w:color w:val="auto"/>
                <w:kern w:val="2"/>
                <w:highlight w:val="none"/>
                <w:lang w:val="en-US" w:eastAsia="zh-CN"/>
              </w:rPr>
              <w:t>20</w:t>
            </w:r>
            <w:r>
              <w:rPr>
                <w:rFonts w:hint="default" w:ascii="Times New Roman" w:hAnsi="Times New Roman" w:cs="Times New Roman"/>
                <w:color w:val="auto"/>
                <w:kern w:val="2"/>
                <w:highlight w:val="none"/>
              </w:rPr>
              <w:t>年0</w:t>
            </w:r>
            <w:r>
              <w:rPr>
                <w:rFonts w:hint="eastAsia" w:ascii="Times New Roman" w:hAnsi="Times New Roman" w:cs="Times New Roman"/>
                <w:color w:val="auto"/>
                <w:kern w:val="2"/>
                <w:highlight w:val="none"/>
                <w:lang w:val="en-US" w:eastAsia="zh-CN"/>
              </w:rPr>
              <w:t>7</w:t>
            </w:r>
            <w:r>
              <w:rPr>
                <w:rFonts w:hint="default" w:ascii="Times New Roman" w:hAnsi="Times New Roman" w:cs="Times New Roman"/>
                <w:color w:val="auto"/>
                <w:kern w:val="2"/>
                <w:highlight w:val="none"/>
              </w:rPr>
              <w:t>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rPr>
        <w:tc>
          <w:tcPr>
            <w:tcW w:w="1677" w:type="dxa"/>
            <w:tcBorders>
              <w:bottom w:val="single" w:color="auto" w:sz="4" w:space="0"/>
            </w:tcBorders>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地理坐标</w:t>
            </w:r>
          </w:p>
        </w:tc>
        <w:tc>
          <w:tcPr>
            <w:tcW w:w="7807" w:type="dxa"/>
            <w:gridSpan w:val="9"/>
            <w:tcBorders>
              <w:bottom w:val="single" w:color="auto" w:sz="4" w:space="0"/>
            </w:tcBorders>
            <w:vAlign w:val="center"/>
          </w:tcPr>
          <w:p>
            <w:pPr>
              <w:pStyle w:val="61"/>
              <w:autoSpaceDE/>
              <w:autoSpaceDN/>
              <w:adjustRightInd/>
              <w:textAlignment w:val="auto"/>
              <w:rPr>
                <w:rFonts w:hint="default" w:ascii="Times New Roman" w:hAnsi="Times New Roman" w:cs="Times New Roman"/>
                <w:color w:val="auto"/>
                <w:kern w:val="2"/>
              </w:rPr>
            </w:pPr>
            <w:r>
              <w:rPr>
                <w:rFonts w:hint="default" w:ascii="Times New Roman" w:hAnsi="Times New Roman" w:cs="Times New Roman"/>
                <w:color w:val="auto"/>
                <w:highlight w:val="none"/>
              </w:rPr>
              <w:t>北纬23°</w:t>
            </w:r>
            <w:r>
              <w:rPr>
                <w:rFonts w:hint="eastAsia" w:ascii="Times New Roman" w:hAnsi="Times New Roman" w:cs="Times New Roman"/>
                <w:color w:val="auto"/>
                <w:highlight w:val="none"/>
                <w:lang w:val="en-US" w:eastAsia="zh-CN"/>
              </w:rPr>
              <w:t>36</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37.08</w:t>
            </w:r>
            <w:r>
              <w:rPr>
                <w:rFonts w:hint="default" w:ascii="Times New Roman" w:hAnsi="Times New Roman" w:cs="Times New Roman"/>
                <w:color w:val="auto"/>
                <w:highlight w:val="none"/>
              </w:rPr>
              <w:t>"，东经11</w:t>
            </w:r>
            <w:r>
              <w:rPr>
                <w:rFonts w:hint="default" w:ascii="Times New Roman" w:hAnsi="Times New Roman" w:cs="Times New Roman"/>
                <w:color w:val="auto"/>
                <w:highlight w:val="none"/>
                <w:lang w:val="en-US" w:eastAsia="zh-CN"/>
              </w:rPr>
              <w:t>6</w:t>
            </w:r>
            <w:r>
              <w:rPr>
                <w:rFonts w:hint="default" w:ascii="Times New Roman" w:hAnsi="Times New Roman" w:cs="Times New Roman"/>
                <w:color w:val="auto"/>
                <w:highlight w:val="none"/>
              </w:rPr>
              <w:t xml:space="preserve">° </w:t>
            </w:r>
            <w:r>
              <w:rPr>
                <w:rFonts w:hint="eastAsia" w:ascii="Times New Roman" w:hAnsi="Times New Roman" w:cs="Times New Roman"/>
                <w:color w:val="auto"/>
                <w:highlight w:val="none"/>
                <w:lang w:val="en-US" w:eastAsia="zh-CN"/>
              </w:rPr>
              <w:t>18</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28.94</w:t>
            </w:r>
            <w:r>
              <w:rPr>
                <w:rFonts w:hint="default" w:ascii="Times New Roman" w:hAnsi="Times New Roman" w:cs="Times New Roman"/>
                <w:color w:val="auto"/>
                <w:highlight w:val="none"/>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90" w:hRule="atLeast"/>
        </w:trPr>
        <w:tc>
          <w:tcPr>
            <w:tcW w:w="9484" w:type="dxa"/>
            <w:gridSpan w:val="10"/>
            <w:vAlign w:val="center"/>
          </w:tcPr>
          <w:p>
            <w:pPr>
              <w:spacing w:line="360" w:lineRule="auto"/>
              <w:rPr>
                <w:rFonts w:hint="default" w:ascii="Times New Roman" w:hAnsi="Times New Roman" w:cs="Times New Roman"/>
                <w:b/>
                <w:color w:val="auto"/>
                <w:sz w:val="28"/>
              </w:rPr>
            </w:pPr>
            <w:r>
              <w:rPr>
                <w:rFonts w:hint="default" w:ascii="Times New Roman" w:hAnsi="Times New Roman" w:cs="Times New Roman"/>
                <w:b/>
                <w:color w:val="auto"/>
                <w:sz w:val="28"/>
              </w:rPr>
              <w:t>项目内容及规模：</w:t>
            </w:r>
          </w:p>
          <w:p>
            <w:pPr>
              <w:pStyle w:val="47"/>
              <w:adjustRightInd w:val="0"/>
              <w:snapToGrid/>
              <w:ind w:firstLine="480" w:firstLineChars="200"/>
              <w:rPr>
                <w:rFonts w:hint="default" w:ascii="Times New Roman" w:hAnsi="Times New Roman" w:cs="Times New Roman"/>
                <w:color w:val="auto"/>
                <w:lang w:val="en-US" w:eastAsia="zh-CN"/>
              </w:rPr>
            </w:pPr>
            <w:r>
              <w:rPr>
                <w:rFonts w:hint="eastAsia" w:ascii="Times New Roman" w:cs="Times New Roman"/>
                <w:color w:val="auto"/>
                <w:lang w:eastAsia="zh-CN"/>
              </w:rPr>
              <w:t>揭东岭东医院</w:t>
            </w:r>
            <w:r>
              <w:rPr>
                <w:rFonts w:hint="default" w:ascii="Times New Roman" w:hAnsi="Times New Roman" w:cs="Times New Roman"/>
                <w:color w:val="auto"/>
                <w:lang w:eastAsia="zh-CN"/>
              </w:rPr>
              <w:t>是一所集门诊、住院、预防、保健于一体的综合性医院，肩负着</w:t>
            </w:r>
            <w:r>
              <w:rPr>
                <w:rFonts w:hint="eastAsia" w:ascii="Times New Roman" w:cs="Times New Roman"/>
                <w:color w:val="auto"/>
                <w:lang w:eastAsia="zh-CN"/>
              </w:rPr>
              <w:t>揭东区锡场镇及周边乡镇人口</w:t>
            </w:r>
            <w:r>
              <w:rPr>
                <w:rFonts w:hint="default" w:ascii="Times New Roman" w:hAnsi="Times New Roman" w:cs="Times New Roman"/>
                <w:color w:val="auto"/>
                <w:lang w:val="en-US" w:eastAsia="zh-CN"/>
              </w:rPr>
              <w:t>的基本医疗及卫生保健工作。</w:t>
            </w:r>
            <w:r>
              <w:rPr>
                <w:rFonts w:hint="eastAsia" w:ascii="Times New Roman" w:cs="Times New Roman"/>
                <w:color w:val="auto"/>
                <w:lang w:val="en-US" w:eastAsia="zh-CN"/>
              </w:rPr>
              <w:t>本医院占地面积4300㎡，建筑面积为5000㎡；建筑内容包括外科住院部、内科住院部、门诊部、体检中心、药剂部、饭堂宿舍、配电房等；主要科室设置为内科、外科、五官科、康复科、医学影像科、医学检验科、妇产科等</w:t>
            </w:r>
            <w:r>
              <w:rPr>
                <w:rFonts w:hint="default" w:ascii="Times New Roman" w:hAnsi="Times New Roman" w:cs="Times New Roman"/>
                <w:color w:val="auto"/>
                <w:lang w:val="en-US" w:eastAsia="zh-CN"/>
              </w:rPr>
              <w:t>。</w:t>
            </w:r>
            <w:r>
              <w:rPr>
                <w:rFonts w:hint="eastAsia" w:ascii="Times New Roman" w:cs="Times New Roman"/>
                <w:color w:val="auto"/>
                <w:lang w:val="en-US" w:eastAsia="zh-CN"/>
              </w:rPr>
              <w:t>设置床位90个。</w:t>
            </w:r>
            <w:r>
              <w:rPr>
                <w:rFonts w:hint="default" w:ascii="Times New Roman" w:hAnsi="Times New Roman" w:cs="Times New Roman"/>
                <w:color w:val="auto"/>
                <w:lang w:val="en-US" w:eastAsia="zh-CN"/>
              </w:rPr>
              <w:t>满足人民群众看病就医的需求，保障人民健康，促进社会的和谐发展。</w:t>
            </w:r>
          </w:p>
          <w:p>
            <w:pPr>
              <w:pStyle w:val="47"/>
              <w:adjustRightInd w:val="0"/>
              <w:snapToGrid/>
              <w:ind w:firstLine="480" w:firstLineChars="200"/>
              <w:rPr>
                <w:rFonts w:hint="default" w:ascii="Times New Roman" w:hAnsi="Times New Roman" w:cs="Times New Roman"/>
                <w:color w:val="auto"/>
              </w:rPr>
            </w:pPr>
            <w:r>
              <w:rPr>
                <w:rFonts w:hint="default" w:ascii="Times New Roman" w:hAnsi="Times New Roman" w:cs="Times New Roman"/>
                <w:color w:val="auto"/>
              </w:rPr>
              <w:t>根据《建设项目环境保护管理条例》（国务院第253号令）、《中华人民共和国环境影响评价法》（2018年修正）、国家环保部《建设项目环境影响评价分类管理名录》（2017年）的规定、生态</w:t>
            </w:r>
            <w:r>
              <w:rPr>
                <w:rFonts w:hint="default" w:ascii="Times New Roman" w:hAnsi="Times New Roman" w:cs="Times New Roman"/>
                <w:color w:val="auto"/>
                <w:lang w:eastAsia="zh-CN"/>
              </w:rPr>
              <w:t>环境</w:t>
            </w:r>
            <w:r>
              <w:rPr>
                <w:rFonts w:hint="default" w:ascii="Times New Roman" w:hAnsi="Times New Roman" w:cs="Times New Roman"/>
                <w:color w:val="auto"/>
              </w:rPr>
              <w:t>部《建设项目环境影响评价分类管理名录》修改单（2018年）中有关规定，本项目属于“</w:t>
            </w:r>
            <w:r>
              <w:rPr>
                <w:rFonts w:hint="default" w:ascii="Times New Roman" w:hAnsi="Times New Roman" w:cs="Times New Roman"/>
                <w:b/>
                <w:color w:val="auto"/>
                <w:lang w:eastAsia="zh-CN"/>
              </w:rPr>
              <w:t>三十八、专业技术服务业</w:t>
            </w:r>
            <w:r>
              <w:rPr>
                <w:rFonts w:hint="default" w:ascii="Times New Roman" w:hAnsi="Times New Roman" w:cs="Times New Roman"/>
                <w:b/>
                <w:color w:val="auto"/>
                <w:lang w:val="en-US" w:eastAsia="zh-CN"/>
              </w:rPr>
              <w:t>111</w:t>
            </w:r>
            <w:r>
              <w:rPr>
                <w:rFonts w:hint="default" w:ascii="Times New Roman" w:hAnsi="Times New Roman" w:cs="Times New Roman"/>
                <w:b/>
                <w:color w:val="auto"/>
              </w:rPr>
              <w:t>、</w:t>
            </w:r>
            <w:r>
              <w:rPr>
                <w:rFonts w:hint="default" w:ascii="Times New Roman" w:hAnsi="Times New Roman" w:cs="Times New Roman"/>
                <w:b/>
                <w:color w:val="auto"/>
                <w:lang w:eastAsia="zh-CN"/>
              </w:rPr>
              <w:t>医院、专科防治院（所、站）、社区医疗、卫生院（所、站）、血站、急救中心、妇幼保健院、疗养院等其他卫生机构—</w:t>
            </w:r>
            <w:r>
              <w:rPr>
                <w:rFonts w:hint="default" w:ascii="Times New Roman" w:hAnsi="Times New Roman" w:cs="Times New Roman"/>
                <w:b/>
                <w:color w:val="auto"/>
                <w:lang w:val="en-US" w:eastAsia="zh-CN"/>
              </w:rPr>
              <w:t>其他（20张床位以下的除外）</w:t>
            </w:r>
            <w:r>
              <w:rPr>
                <w:rFonts w:hint="default" w:ascii="Times New Roman" w:hAnsi="Times New Roman" w:cs="Times New Roman"/>
                <w:color w:val="auto"/>
              </w:rPr>
              <w:t>”，属于“报告表”类别，应编制环境影响报告表。根据《中华人民共和国环境保护法》、《中华人民共和国环境影响评价法》和《建设项目环境保护管理条例》中有关规定，建设项目应在可行性研究阶段同步开展环境影响评价工作，为做好项目的环境保护工作，防止污染，做到经济效益、社会效益和环境效益的“三统一”，</w:t>
            </w:r>
            <w:r>
              <w:rPr>
                <w:rFonts w:hint="default" w:ascii="Times New Roman" w:hAnsi="Times New Roman" w:cs="Times New Roman"/>
                <w:bCs w:val="0"/>
                <w:color w:val="auto"/>
              </w:rPr>
              <w:t xml:space="preserve"> </w:t>
            </w:r>
            <w:r>
              <w:rPr>
                <w:rFonts w:hint="eastAsia" w:ascii="Times New Roman" w:cs="Times New Roman"/>
                <w:bCs w:val="0"/>
                <w:color w:val="auto"/>
                <w:lang w:eastAsia="zh-CN"/>
              </w:rPr>
              <w:t>揭东岭东医院</w:t>
            </w:r>
            <w:r>
              <w:rPr>
                <w:rFonts w:hint="default" w:ascii="Times New Roman" w:hAnsi="Times New Roman" w:cs="Times New Roman"/>
                <w:color w:val="auto"/>
              </w:rPr>
              <w:t>委托</w:t>
            </w:r>
            <w:r>
              <w:rPr>
                <w:rFonts w:hint="default" w:ascii="Times New Roman" w:hAnsi="Times New Roman" w:cs="Times New Roman"/>
                <w:color w:val="auto"/>
                <w:lang w:eastAsia="zh-CN"/>
              </w:rPr>
              <w:t>深圳环新生态技术有限公司</w:t>
            </w:r>
            <w:r>
              <w:rPr>
                <w:rFonts w:hint="default" w:ascii="Times New Roman" w:hAnsi="Times New Roman" w:cs="Times New Roman"/>
                <w:color w:val="auto"/>
              </w:rPr>
              <w:t>进行该建设项目的环评工作。我单位在接到委托后，按项目特点与专业要求，进行现场踏勘、收集资料，针对本项目可能涉及的污染问题，从工程角度和环境角度进行了分析，并对工程中的污染等问题提出了相应的防治对策和管理措施，尤其对工程可能带来的环境正负影响和效益进行了客观的论述，在此基础上，编制了该环境影响报告表，为环境保护工作提供科学的依据。</w:t>
            </w:r>
          </w:p>
          <w:p>
            <w:pPr>
              <w:adjustRightInd w:val="0"/>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1、项目工程内容</w:t>
            </w:r>
          </w:p>
          <w:p>
            <w:pPr>
              <w:pStyle w:val="47"/>
              <w:adjustRightInd w:val="0"/>
              <w:snapToGrid/>
              <w:ind w:firstLine="480" w:firstLineChars="200"/>
              <w:rPr>
                <w:rFonts w:hint="default" w:ascii="Times New Roman" w:hAnsi="Times New Roman" w:eastAsia="宋体" w:cs="Times New Roman"/>
                <w:color w:val="auto"/>
                <w:lang w:val="en-US" w:eastAsia="zh-CN"/>
              </w:rPr>
            </w:pPr>
            <w:r>
              <w:rPr>
                <w:rFonts w:hint="default" w:ascii="Times New Roman" w:hAnsi="Times New Roman" w:cs="Times New Roman"/>
                <w:color w:val="auto"/>
                <w:szCs w:val="21"/>
              </w:rPr>
              <w:t>项目总投资</w:t>
            </w:r>
            <w:r>
              <w:rPr>
                <w:rFonts w:hint="eastAsia" w:ascii="Times New Roman" w:cs="Times New Roman"/>
                <w:color w:val="auto"/>
                <w:highlight w:val="none"/>
                <w:lang w:val="en-US" w:eastAsia="zh-CN"/>
              </w:rPr>
              <w:t>500</w:t>
            </w:r>
            <w:r>
              <w:rPr>
                <w:rFonts w:hint="default" w:ascii="Times New Roman" w:hAnsi="Times New Roman" w:cs="Times New Roman"/>
                <w:color w:val="auto"/>
                <w:highlight w:val="none"/>
              </w:rPr>
              <w:t>万元</w:t>
            </w:r>
            <w:r>
              <w:rPr>
                <w:rFonts w:hint="default" w:ascii="Times New Roman" w:hAnsi="Times New Roman" w:cs="Times New Roman"/>
                <w:color w:val="auto"/>
              </w:rPr>
              <w:t>，</w:t>
            </w:r>
            <w:r>
              <w:rPr>
                <w:rFonts w:hint="default" w:ascii="Times New Roman" w:hAnsi="Times New Roman" w:cs="Times New Roman"/>
                <w:bCs w:val="0"/>
                <w:color w:val="auto"/>
              </w:rPr>
              <w:t>占地面积</w:t>
            </w:r>
            <w:r>
              <w:rPr>
                <w:rFonts w:hint="eastAsia" w:ascii="Times New Roman" w:cs="Times New Roman"/>
                <w:bCs w:val="0"/>
                <w:color w:val="auto"/>
                <w:lang w:val="en-US" w:eastAsia="zh-CN"/>
              </w:rPr>
              <w:t>4300</w:t>
            </w:r>
            <w:r>
              <w:rPr>
                <w:rFonts w:hint="default" w:ascii="Times New Roman" w:hAnsi="Times New Roman" w:cs="Times New Roman"/>
                <w:color w:val="auto"/>
              </w:rPr>
              <w:t>m</w:t>
            </w:r>
            <w:r>
              <w:rPr>
                <w:rFonts w:hint="default" w:ascii="Times New Roman" w:hAnsi="Times New Roman" w:cs="Times New Roman"/>
                <w:color w:val="auto"/>
                <w:vertAlign w:val="superscript"/>
              </w:rPr>
              <w:t>2</w:t>
            </w:r>
            <w:r>
              <w:rPr>
                <w:rFonts w:hint="default" w:ascii="Times New Roman" w:hAnsi="Times New Roman" w:cs="Times New Roman"/>
                <w:color w:val="auto"/>
              </w:rPr>
              <w:t>，建筑面积</w:t>
            </w:r>
            <w:r>
              <w:rPr>
                <w:rFonts w:hint="eastAsia" w:ascii="Times New Roman" w:cs="Times New Roman"/>
                <w:color w:val="auto"/>
                <w:lang w:val="en-US" w:eastAsia="zh-CN"/>
              </w:rPr>
              <w:t>5000</w:t>
            </w:r>
            <w:r>
              <w:rPr>
                <w:rFonts w:hint="default" w:ascii="Times New Roman" w:hAnsi="Times New Roman" w:cs="Times New Roman"/>
                <w:color w:val="auto"/>
              </w:rPr>
              <w:t>m</w:t>
            </w:r>
            <w:r>
              <w:rPr>
                <w:rFonts w:hint="default" w:ascii="Times New Roman" w:hAnsi="Times New Roman" w:cs="Times New Roman"/>
                <w:color w:val="auto"/>
                <w:vertAlign w:val="superscript"/>
              </w:rPr>
              <w:t>2</w:t>
            </w:r>
            <w:r>
              <w:rPr>
                <w:rFonts w:hint="default" w:ascii="Times New Roman" w:hAnsi="Times New Roman" w:cs="Times New Roman"/>
                <w:color w:val="auto"/>
              </w:rPr>
              <w:t>，项目</w:t>
            </w:r>
            <w:r>
              <w:rPr>
                <w:rFonts w:hint="default" w:ascii="Times New Roman" w:hAnsi="Times New Roman" w:cs="Times New Roman"/>
                <w:color w:val="auto"/>
                <w:lang w:val="en-US" w:eastAsia="zh-CN"/>
              </w:rPr>
              <w:t>主要基本功能包括</w:t>
            </w:r>
            <w:r>
              <w:rPr>
                <w:rFonts w:hint="eastAsia" w:ascii="Times New Roman" w:cs="Times New Roman"/>
                <w:color w:val="auto"/>
                <w:lang w:val="en-US" w:eastAsia="zh-CN"/>
              </w:rPr>
              <w:t>内科、外科、五官科、康复科、医学影像科、医学检验科、妇产科等</w:t>
            </w:r>
            <w:r>
              <w:rPr>
                <w:rFonts w:hint="default" w:ascii="Times New Roman" w:hAnsi="Times New Roman" w:cs="Times New Roman"/>
                <w:color w:val="auto"/>
                <w:lang w:eastAsia="zh-CN"/>
              </w:rPr>
              <w:t>，共设</w:t>
            </w:r>
            <w:r>
              <w:rPr>
                <w:rFonts w:hint="eastAsia" w:ascii="Times New Roman" w:cs="Times New Roman"/>
                <w:color w:val="auto"/>
                <w:lang w:val="en-US" w:eastAsia="zh-CN"/>
              </w:rPr>
              <w:t>90</w:t>
            </w:r>
            <w:r>
              <w:rPr>
                <w:rFonts w:hint="default" w:ascii="Times New Roman" w:hAnsi="Times New Roman" w:cs="Times New Roman"/>
                <w:color w:val="auto"/>
                <w:lang w:val="en-US" w:eastAsia="zh-CN"/>
              </w:rPr>
              <w:t>张床位</w:t>
            </w:r>
            <w:r>
              <w:rPr>
                <w:rFonts w:hint="default" w:ascii="Times New Roman" w:hAnsi="Times New Roman" w:cs="Times New Roman"/>
                <w:color w:val="auto"/>
              </w:rPr>
              <w:t>。</w:t>
            </w:r>
            <w:r>
              <w:rPr>
                <w:rFonts w:hint="default" w:ascii="Times New Roman" w:hAnsi="Times New Roman" w:cs="Times New Roman"/>
                <w:color w:val="auto"/>
                <w:lang w:eastAsia="zh-CN"/>
              </w:rPr>
              <w:t>项目建设内容见表</w:t>
            </w:r>
            <w:r>
              <w:rPr>
                <w:rFonts w:hint="default" w:ascii="Times New Roman" w:hAnsi="Times New Roman" w:cs="Times New Roman"/>
                <w:color w:val="auto"/>
                <w:lang w:val="en-US" w:eastAsia="zh-CN"/>
              </w:rPr>
              <w:t>1-1，项目经济技术指标见表1-2。</w:t>
            </w:r>
          </w:p>
          <w:p>
            <w:pPr>
              <w:ind w:firstLine="482"/>
              <w:jc w:val="center"/>
              <w:rPr>
                <w:rFonts w:hint="default" w:ascii="Times New Roman" w:hAnsi="Times New Roman" w:cs="Times New Roman"/>
                <w:b/>
                <w:color w:val="auto"/>
                <w:sz w:val="24"/>
              </w:rPr>
            </w:pPr>
            <w:r>
              <w:rPr>
                <w:rFonts w:hint="default" w:ascii="Times New Roman" w:hAnsi="Times New Roman" w:cs="Times New Roman"/>
                <w:b/>
                <w:color w:val="auto"/>
                <w:sz w:val="24"/>
              </w:rPr>
              <w:t>表1-1 项目建设内容一览表</w:t>
            </w:r>
          </w:p>
          <w:tbl>
            <w:tblPr>
              <w:tblStyle w:val="32"/>
              <w:tblW w:w="92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1"/>
              <w:gridCol w:w="1139"/>
              <w:gridCol w:w="1440"/>
              <w:gridCol w:w="5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Align w:val="center"/>
                </w:tcPr>
                <w:p>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工程类别</w:t>
                  </w:r>
                </w:p>
              </w:tc>
              <w:tc>
                <w:tcPr>
                  <w:tcW w:w="2579" w:type="dxa"/>
                  <w:gridSpan w:val="2"/>
                  <w:vAlign w:val="center"/>
                </w:tcPr>
                <w:p>
                  <w:pPr>
                    <w:widowControl/>
                    <w:jc w:val="center"/>
                    <w:rPr>
                      <w:rFonts w:hint="default" w:ascii="Times New Roman" w:hAnsi="Times New Roman" w:eastAsia="宋体" w:cs="Times New Roman"/>
                      <w:b/>
                      <w:color w:val="auto"/>
                      <w:szCs w:val="21"/>
                      <w:lang w:eastAsia="zh-CN"/>
                    </w:rPr>
                  </w:pPr>
                  <w:r>
                    <w:rPr>
                      <w:rFonts w:hint="default" w:ascii="Times New Roman" w:hAnsi="Times New Roman" w:cs="Times New Roman"/>
                      <w:b/>
                      <w:color w:val="auto"/>
                      <w:kern w:val="0"/>
                      <w:szCs w:val="21"/>
                    </w:rPr>
                    <w:t>指标名称</w:t>
                  </w:r>
                </w:p>
              </w:tc>
              <w:tc>
                <w:tcPr>
                  <w:tcW w:w="5528" w:type="dxa"/>
                  <w:vAlign w:val="center"/>
                </w:tcPr>
                <w:p>
                  <w:pPr>
                    <w:widowControl/>
                    <w:jc w:val="center"/>
                    <w:rPr>
                      <w:rFonts w:hint="default" w:ascii="Times New Roman" w:hAnsi="Times New Roman" w:eastAsia="宋体" w:cs="Times New Roman"/>
                      <w:b/>
                      <w:color w:val="auto"/>
                      <w:szCs w:val="21"/>
                      <w:lang w:eastAsia="zh-CN"/>
                    </w:rPr>
                  </w:pPr>
                  <w:r>
                    <w:rPr>
                      <w:rFonts w:hint="default" w:ascii="Times New Roman" w:hAnsi="Times New Roman" w:cs="Times New Roman"/>
                      <w:b/>
                      <w:color w:val="auto"/>
                      <w:szCs w:val="21"/>
                      <w:lang w:eastAsia="zh-CN"/>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restart"/>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主体工程</w:t>
                  </w:r>
                </w:p>
              </w:tc>
              <w:tc>
                <w:tcPr>
                  <w:tcW w:w="2579" w:type="dxa"/>
                  <w:gridSpan w:val="2"/>
                  <w:vAlign w:val="center"/>
                </w:tcPr>
                <w:p>
                  <w:pPr>
                    <w:widowControl/>
                    <w:jc w:val="center"/>
                    <w:rPr>
                      <w:rFonts w:hint="default" w:ascii="Times New Roman" w:hAnsi="Times New Roman" w:cs="Times New Roman"/>
                      <w:color w:val="auto"/>
                      <w:kern w:val="0"/>
                      <w:szCs w:val="21"/>
                    </w:rPr>
                  </w:pPr>
                  <w:r>
                    <w:rPr>
                      <w:rFonts w:hint="eastAsia" w:cs="Times New Roman"/>
                      <w:color w:val="auto"/>
                      <w:kern w:val="0"/>
                      <w:szCs w:val="21"/>
                      <w:lang w:eastAsia="zh-CN"/>
                    </w:rPr>
                    <w:t>外科住院部</w:t>
                  </w:r>
                </w:p>
              </w:tc>
              <w:tc>
                <w:tcPr>
                  <w:tcW w:w="5528" w:type="dxa"/>
                  <w:vAlign w:val="center"/>
                </w:tcPr>
                <w:p>
                  <w:pPr>
                    <w:widowControl/>
                    <w:jc w:val="both"/>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4层，建筑面积550㎡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continue"/>
                  <w:vAlign w:val="center"/>
                </w:tcPr>
                <w:p>
                  <w:pPr>
                    <w:pStyle w:val="2"/>
                    <w:ind w:firstLine="0" w:firstLineChars="0"/>
                    <w:jc w:val="center"/>
                    <w:rPr>
                      <w:rFonts w:hint="default" w:ascii="Times New Roman" w:hAnsi="Times New Roman" w:cs="Times New Roman"/>
                      <w:color w:val="auto"/>
                    </w:rPr>
                  </w:pPr>
                </w:p>
              </w:tc>
              <w:tc>
                <w:tcPr>
                  <w:tcW w:w="2579" w:type="dxa"/>
                  <w:gridSpan w:val="2"/>
                  <w:vAlign w:val="center"/>
                </w:tcPr>
                <w:p>
                  <w:pPr>
                    <w:widowControl/>
                    <w:jc w:val="center"/>
                    <w:rPr>
                      <w:rFonts w:hint="eastAsia" w:ascii="Times New Roman" w:hAnsi="Times New Roman" w:eastAsia="宋体" w:cs="Times New Roman"/>
                      <w:color w:val="auto"/>
                      <w:kern w:val="0"/>
                      <w:szCs w:val="21"/>
                      <w:lang w:eastAsia="zh-CN"/>
                    </w:rPr>
                  </w:pPr>
                  <w:r>
                    <w:rPr>
                      <w:rFonts w:hint="eastAsia" w:cs="Times New Roman"/>
                      <w:color w:val="auto"/>
                      <w:kern w:val="0"/>
                      <w:szCs w:val="21"/>
                      <w:lang w:eastAsia="zh-CN"/>
                    </w:rPr>
                    <w:t>内科住院部</w:t>
                  </w:r>
                </w:p>
              </w:tc>
              <w:tc>
                <w:tcPr>
                  <w:tcW w:w="5528" w:type="dxa"/>
                  <w:vAlign w:val="center"/>
                </w:tcPr>
                <w:p>
                  <w:pPr>
                    <w:widowControl/>
                    <w:jc w:val="both"/>
                    <w:rPr>
                      <w:rFonts w:hint="default" w:ascii="Times New Roman" w:hAnsi="Times New Roman" w:eastAsia="宋体" w:cs="Times New Roman"/>
                      <w:color w:val="auto"/>
                      <w:kern w:val="0"/>
                      <w:szCs w:val="21"/>
                      <w:highlight w:val="none"/>
                      <w:lang w:val="en-US" w:eastAsia="zh-CN"/>
                    </w:rPr>
                  </w:pPr>
                  <w:r>
                    <w:rPr>
                      <w:rFonts w:hint="eastAsia" w:cs="Times New Roman"/>
                      <w:color w:val="auto"/>
                      <w:kern w:val="0"/>
                      <w:szCs w:val="21"/>
                      <w:highlight w:val="none"/>
                      <w:lang w:val="en-US" w:eastAsia="zh-CN"/>
                    </w:rPr>
                    <w:t>1层，</w:t>
                  </w:r>
                  <w:r>
                    <w:rPr>
                      <w:rFonts w:hint="eastAsia" w:cs="Times New Roman"/>
                      <w:color w:val="auto"/>
                      <w:highlight w:val="none"/>
                      <w:lang w:val="en-US" w:eastAsia="zh-CN"/>
                    </w:rPr>
                    <w:t>建筑面积550㎡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continue"/>
                  <w:vAlign w:val="center"/>
                </w:tcPr>
                <w:p>
                  <w:pPr>
                    <w:pStyle w:val="2"/>
                    <w:ind w:firstLine="0" w:firstLineChars="0"/>
                    <w:jc w:val="center"/>
                    <w:rPr>
                      <w:rFonts w:hint="default" w:ascii="Times New Roman" w:hAnsi="Times New Roman" w:cs="Times New Roman"/>
                      <w:color w:val="auto"/>
                    </w:rPr>
                  </w:pPr>
                </w:p>
              </w:tc>
              <w:tc>
                <w:tcPr>
                  <w:tcW w:w="2579" w:type="dxa"/>
                  <w:gridSpan w:val="2"/>
                  <w:vAlign w:val="center"/>
                </w:tcPr>
                <w:p>
                  <w:pPr>
                    <w:widowControl/>
                    <w:jc w:val="center"/>
                    <w:rPr>
                      <w:rFonts w:hint="eastAsia" w:ascii="Times New Roman" w:hAnsi="Times New Roman" w:eastAsia="宋体" w:cs="Times New Roman"/>
                      <w:color w:val="auto"/>
                      <w:kern w:val="0"/>
                      <w:szCs w:val="21"/>
                      <w:lang w:eastAsia="zh-CN"/>
                    </w:rPr>
                  </w:pPr>
                  <w:r>
                    <w:rPr>
                      <w:rFonts w:hint="eastAsia" w:cs="Times New Roman"/>
                      <w:color w:val="auto"/>
                      <w:kern w:val="0"/>
                      <w:szCs w:val="21"/>
                      <w:lang w:eastAsia="zh-CN"/>
                    </w:rPr>
                    <w:t>门诊部</w:t>
                  </w:r>
                </w:p>
              </w:tc>
              <w:tc>
                <w:tcPr>
                  <w:tcW w:w="5528" w:type="dxa"/>
                  <w:vAlign w:val="center"/>
                </w:tcPr>
                <w:p>
                  <w:pPr>
                    <w:widowControl/>
                    <w:jc w:val="both"/>
                    <w:rPr>
                      <w:rFonts w:hint="default" w:ascii="Times New Roman" w:hAnsi="Times New Roman" w:eastAsia="宋体" w:cs="Times New Roman"/>
                      <w:color w:val="auto"/>
                      <w:kern w:val="0"/>
                      <w:szCs w:val="21"/>
                      <w:lang w:val="en-US" w:eastAsia="zh-CN"/>
                    </w:rPr>
                  </w:pPr>
                  <w:r>
                    <w:rPr>
                      <w:rFonts w:hint="eastAsia" w:cs="Times New Roman"/>
                      <w:color w:val="auto"/>
                      <w:kern w:val="0"/>
                      <w:szCs w:val="21"/>
                      <w:lang w:eastAsia="zh-CN"/>
                    </w:rPr>
                    <w:t>门诊流量约</w:t>
                  </w:r>
                  <w:r>
                    <w:rPr>
                      <w:rFonts w:hint="eastAsia" w:cs="Times New Roman"/>
                      <w:color w:val="auto"/>
                      <w:kern w:val="0"/>
                      <w:szCs w:val="21"/>
                      <w:lang w:val="en-US" w:eastAsia="zh-CN"/>
                    </w:rPr>
                    <w:t>3000人次/年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continue"/>
                  <w:vAlign w:val="center"/>
                </w:tcPr>
                <w:p>
                  <w:pPr>
                    <w:pStyle w:val="2"/>
                    <w:ind w:firstLine="0" w:firstLineChars="0"/>
                    <w:jc w:val="center"/>
                    <w:rPr>
                      <w:rFonts w:hint="default" w:ascii="Times New Roman" w:hAnsi="Times New Roman" w:cs="Times New Roman"/>
                      <w:color w:val="auto"/>
                    </w:rPr>
                  </w:pPr>
                </w:p>
              </w:tc>
              <w:tc>
                <w:tcPr>
                  <w:tcW w:w="2579" w:type="dxa"/>
                  <w:gridSpan w:val="2"/>
                  <w:vAlign w:val="center"/>
                </w:tcPr>
                <w:p>
                  <w:pPr>
                    <w:widowControl/>
                    <w:jc w:val="center"/>
                    <w:rPr>
                      <w:rFonts w:hint="eastAsia" w:ascii="Times New Roman" w:hAnsi="Times New Roman" w:eastAsia="宋体" w:cs="Times New Roman"/>
                      <w:color w:val="auto"/>
                      <w:kern w:val="0"/>
                      <w:szCs w:val="21"/>
                      <w:lang w:eastAsia="zh-CN"/>
                    </w:rPr>
                  </w:pPr>
                  <w:r>
                    <w:rPr>
                      <w:rFonts w:hint="eastAsia" w:cs="Times New Roman"/>
                      <w:color w:val="auto"/>
                      <w:kern w:val="0"/>
                      <w:szCs w:val="21"/>
                      <w:lang w:eastAsia="zh-CN"/>
                    </w:rPr>
                    <w:t>体检中心</w:t>
                  </w:r>
                </w:p>
              </w:tc>
              <w:tc>
                <w:tcPr>
                  <w:tcW w:w="5528" w:type="dxa"/>
                  <w:vAlign w:val="center"/>
                </w:tcPr>
                <w:p>
                  <w:pPr>
                    <w:widowControl/>
                    <w:jc w:val="both"/>
                    <w:rPr>
                      <w:rFonts w:hint="default"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continue"/>
                  <w:vAlign w:val="center"/>
                </w:tcPr>
                <w:p>
                  <w:pPr>
                    <w:pStyle w:val="2"/>
                    <w:ind w:firstLine="0" w:firstLineChars="0"/>
                    <w:jc w:val="center"/>
                    <w:rPr>
                      <w:rFonts w:hint="default" w:ascii="Times New Roman" w:hAnsi="Times New Roman" w:cs="Times New Roman"/>
                      <w:color w:val="auto"/>
                    </w:rPr>
                  </w:pPr>
                </w:p>
              </w:tc>
              <w:tc>
                <w:tcPr>
                  <w:tcW w:w="2579" w:type="dxa"/>
                  <w:gridSpan w:val="2"/>
                  <w:vAlign w:val="center"/>
                </w:tcPr>
                <w:p>
                  <w:pPr>
                    <w:widowControl/>
                    <w:jc w:val="center"/>
                    <w:rPr>
                      <w:rFonts w:hint="eastAsia" w:ascii="Times New Roman" w:hAnsi="Times New Roman" w:eastAsia="宋体" w:cs="Times New Roman"/>
                      <w:color w:val="auto"/>
                      <w:kern w:val="0"/>
                      <w:szCs w:val="21"/>
                      <w:lang w:eastAsia="zh-CN"/>
                    </w:rPr>
                  </w:pPr>
                  <w:r>
                    <w:rPr>
                      <w:rFonts w:hint="eastAsia" w:cs="Times New Roman"/>
                      <w:color w:val="auto"/>
                      <w:kern w:val="0"/>
                      <w:szCs w:val="21"/>
                      <w:lang w:eastAsia="zh-CN"/>
                    </w:rPr>
                    <w:t>药剂部</w:t>
                  </w:r>
                </w:p>
              </w:tc>
              <w:tc>
                <w:tcPr>
                  <w:tcW w:w="5528" w:type="dxa"/>
                  <w:vAlign w:val="center"/>
                </w:tcPr>
                <w:p>
                  <w:pPr>
                    <w:widowControl/>
                    <w:jc w:val="both"/>
                    <w:rPr>
                      <w:rFonts w:hint="default"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continue"/>
                  <w:vAlign w:val="center"/>
                </w:tcPr>
                <w:p>
                  <w:pPr>
                    <w:pStyle w:val="2"/>
                    <w:ind w:firstLine="0" w:firstLineChars="0"/>
                    <w:jc w:val="center"/>
                    <w:rPr>
                      <w:rFonts w:hint="default" w:ascii="Times New Roman" w:hAnsi="Times New Roman" w:cs="Times New Roman"/>
                      <w:color w:val="auto"/>
                    </w:rPr>
                  </w:pPr>
                </w:p>
              </w:tc>
              <w:tc>
                <w:tcPr>
                  <w:tcW w:w="2579" w:type="dxa"/>
                  <w:gridSpan w:val="2"/>
                  <w:vAlign w:val="center"/>
                </w:tcPr>
                <w:p>
                  <w:pPr>
                    <w:widowControl/>
                    <w:jc w:val="center"/>
                    <w:rPr>
                      <w:rFonts w:hint="default"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饭堂宿舍</w:t>
                  </w:r>
                </w:p>
              </w:tc>
              <w:tc>
                <w:tcPr>
                  <w:tcW w:w="5528" w:type="dxa"/>
                  <w:vAlign w:val="center"/>
                </w:tcPr>
                <w:p>
                  <w:pPr>
                    <w:widowControl/>
                    <w:jc w:val="both"/>
                    <w:rPr>
                      <w:rFonts w:hint="default" w:ascii="Times New Roman" w:hAnsi="Times New Roman" w:eastAsia="宋体" w:cs="Times New Roman"/>
                      <w:color w:val="auto"/>
                      <w:kern w:val="0"/>
                      <w:szCs w:val="21"/>
                      <w:lang w:val="en-US" w:eastAsia="zh-CN"/>
                    </w:rPr>
                  </w:pPr>
                  <w:r>
                    <w:rPr>
                      <w:rFonts w:hint="eastAsia" w:cs="Times New Roman"/>
                      <w:color w:val="auto"/>
                      <w:kern w:val="0"/>
                      <w:szCs w:val="21"/>
                      <w:lang w:eastAsia="zh-CN"/>
                    </w:rPr>
                    <w:t>共</w:t>
                  </w:r>
                  <w:r>
                    <w:rPr>
                      <w:rFonts w:hint="eastAsia" w:cs="Times New Roman"/>
                      <w:color w:val="auto"/>
                      <w:kern w:val="0"/>
                      <w:szCs w:val="21"/>
                      <w:lang w:val="en-US" w:eastAsia="zh-CN"/>
                    </w:rPr>
                    <w:t>2层，占地面积225㎡，建筑面积450㎡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continue"/>
                  <w:vAlign w:val="center"/>
                </w:tcPr>
                <w:p>
                  <w:pPr>
                    <w:pStyle w:val="2"/>
                    <w:ind w:firstLine="0" w:firstLineChars="0"/>
                    <w:jc w:val="center"/>
                    <w:rPr>
                      <w:rFonts w:hint="default" w:ascii="Times New Roman" w:hAnsi="Times New Roman" w:cs="Times New Roman"/>
                      <w:color w:val="auto"/>
                    </w:rPr>
                  </w:pPr>
                </w:p>
              </w:tc>
              <w:tc>
                <w:tcPr>
                  <w:tcW w:w="2579" w:type="dxa"/>
                  <w:gridSpan w:val="2"/>
                  <w:vAlign w:val="center"/>
                </w:tcPr>
                <w:p>
                  <w:pPr>
                    <w:widowControl/>
                    <w:jc w:val="center"/>
                    <w:rPr>
                      <w:rFonts w:hint="default" w:ascii="Times New Roman" w:hAnsi="Times New Roman" w:cs="Times New Roman"/>
                      <w:color w:val="auto"/>
                      <w:kern w:val="0"/>
                      <w:szCs w:val="21"/>
                      <w:lang w:val="en-US" w:eastAsia="zh-CN"/>
                    </w:rPr>
                  </w:pPr>
                  <w:r>
                    <w:rPr>
                      <w:rFonts w:hint="eastAsia" w:cs="Times New Roman"/>
                      <w:color w:val="auto"/>
                      <w:kern w:val="0"/>
                      <w:szCs w:val="21"/>
                      <w:lang w:val="en-US" w:eastAsia="zh-CN"/>
                    </w:rPr>
                    <w:t>配电房</w:t>
                  </w:r>
                </w:p>
              </w:tc>
              <w:tc>
                <w:tcPr>
                  <w:tcW w:w="5528" w:type="dxa"/>
                  <w:vAlign w:val="center"/>
                </w:tcPr>
                <w:p>
                  <w:pPr>
                    <w:widowControl/>
                    <w:jc w:val="both"/>
                    <w:rPr>
                      <w:rFonts w:hint="default"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1层，建筑面积30㎡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continue"/>
                  <w:vAlign w:val="center"/>
                </w:tcPr>
                <w:p>
                  <w:pPr>
                    <w:pStyle w:val="2"/>
                    <w:ind w:firstLine="0" w:firstLineChars="0"/>
                    <w:jc w:val="center"/>
                    <w:rPr>
                      <w:rFonts w:hint="default" w:ascii="Times New Roman" w:hAnsi="Times New Roman" w:cs="Times New Roman"/>
                      <w:color w:val="auto"/>
                    </w:rPr>
                  </w:pPr>
                </w:p>
              </w:tc>
              <w:tc>
                <w:tcPr>
                  <w:tcW w:w="2579" w:type="dxa"/>
                  <w:gridSpan w:val="2"/>
                  <w:vAlign w:val="center"/>
                </w:tcPr>
                <w:p>
                  <w:pPr>
                    <w:widowControl/>
                    <w:jc w:val="center"/>
                    <w:rPr>
                      <w:rFonts w:hint="default" w:ascii="Times New Roman" w:hAnsi="Times New Roman" w:cs="Times New Roman"/>
                      <w:color w:val="auto"/>
                      <w:kern w:val="0"/>
                      <w:szCs w:val="21"/>
                      <w:lang w:val="en-US" w:eastAsia="zh-CN"/>
                    </w:rPr>
                  </w:pPr>
                  <w:r>
                    <w:rPr>
                      <w:rFonts w:hint="eastAsia" w:cs="Times New Roman"/>
                      <w:color w:val="auto"/>
                      <w:kern w:val="0"/>
                      <w:szCs w:val="21"/>
                      <w:lang w:val="en-US" w:eastAsia="zh-CN"/>
                    </w:rPr>
                    <w:t>污水处理设施</w:t>
                  </w:r>
                </w:p>
              </w:tc>
              <w:tc>
                <w:tcPr>
                  <w:tcW w:w="5528" w:type="dxa"/>
                  <w:vAlign w:val="center"/>
                </w:tcPr>
                <w:p>
                  <w:pPr>
                    <w:widowControl/>
                    <w:jc w:val="both"/>
                    <w:rPr>
                      <w:rFonts w:hint="default"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restart"/>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公用工程</w:t>
                  </w:r>
                </w:p>
              </w:tc>
              <w:tc>
                <w:tcPr>
                  <w:tcW w:w="1139" w:type="dxa"/>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给水工程</w:t>
                  </w:r>
                </w:p>
              </w:tc>
              <w:tc>
                <w:tcPr>
                  <w:tcW w:w="6968" w:type="dxa"/>
                  <w:gridSpan w:val="2"/>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由市政管网供给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continue"/>
                  <w:vAlign w:val="center"/>
                </w:tcPr>
                <w:p>
                  <w:pPr>
                    <w:pStyle w:val="2"/>
                    <w:ind w:firstLine="0" w:firstLineChars="0"/>
                    <w:jc w:val="center"/>
                    <w:rPr>
                      <w:rFonts w:hint="default" w:ascii="Times New Roman" w:hAnsi="Times New Roman" w:cs="Times New Roman"/>
                      <w:color w:val="auto"/>
                    </w:rPr>
                  </w:pPr>
                </w:p>
              </w:tc>
              <w:tc>
                <w:tcPr>
                  <w:tcW w:w="1139" w:type="dxa"/>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排水工程</w:t>
                  </w:r>
                </w:p>
              </w:tc>
              <w:tc>
                <w:tcPr>
                  <w:tcW w:w="6968" w:type="dxa"/>
                  <w:gridSpan w:val="2"/>
                  <w:vAlign w:val="center"/>
                </w:tcPr>
                <w:p>
                  <w:pPr>
                    <w:widowControl/>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lang w:eastAsia="zh-CN"/>
                    </w:rPr>
                    <w:t>医疗废水、洗衣房废水、</w:t>
                  </w:r>
                  <w:r>
                    <w:rPr>
                      <w:rFonts w:hint="default" w:ascii="Times New Roman" w:hAnsi="Times New Roman" w:cs="Times New Roman"/>
                      <w:color w:val="auto"/>
                      <w:kern w:val="0"/>
                      <w:szCs w:val="21"/>
                      <w:highlight w:val="none"/>
                    </w:rPr>
                    <w:t>生活污水经污水处理设施处理达</w:t>
                  </w:r>
                  <w:r>
                    <w:rPr>
                      <w:rFonts w:hint="eastAsia" w:cs="Times New Roman"/>
                      <w:color w:val="auto"/>
                      <w:kern w:val="0"/>
                      <w:szCs w:val="21"/>
                      <w:highlight w:val="none"/>
                      <w:lang w:eastAsia="zh-CN"/>
                    </w:rPr>
                    <w:t>《城市污水再生利用</w:t>
                  </w:r>
                  <w:r>
                    <w:rPr>
                      <w:rFonts w:hint="eastAsia" w:cs="Times New Roman"/>
                      <w:color w:val="auto"/>
                      <w:kern w:val="0"/>
                      <w:szCs w:val="21"/>
                      <w:highlight w:val="none"/>
                      <w:lang w:val="en-US" w:eastAsia="zh-CN"/>
                    </w:rPr>
                    <w:t xml:space="preserve"> 城市杂用水水质》（GB/T18920-2002）中“城市绿化”标准后回用项目周边绿化用水；远期经污水处理设施处理达</w:t>
                  </w:r>
                  <w:r>
                    <w:rPr>
                      <w:rFonts w:hint="default" w:ascii="Times New Roman" w:hAnsi="Times New Roman" w:cs="Times New Roman"/>
                      <w:color w:val="auto"/>
                      <w:highlight w:val="none"/>
                    </w:rPr>
                    <w:t>《医疗机构水污染物排放标准》（GB18466-2005）综合医疗机构水污染物排放限值（日均值）预处理标准后</w:t>
                  </w:r>
                  <w:r>
                    <w:rPr>
                      <w:rFonts w:hint="default" w:ascii="Times New Roman" w:hAnsi="Times New Roman" w:cs="Times New Roman"/>
                      <w:color w:val="auto"/>
                      <w:highlight w:val="none"/>
                      <w:lang w:eastAsia="zh-CN"/>
                    </w:rPr>
                    <w:t>排入</w:t>
                  </w:r>
                  <w:r>
                    <w:rPr>
                      <w:rFonts w:hint="eastAsia" w:cs="Times New Roman"/>
                      <w:color w:val="auto"/>
                      <w:highlight w:val="none"/>
                      <w:lang w:eastAsia="zh-CN"/>
                    </w:rPr>
                    <w:t>揭东</w:t>
                  </w:r>
                  <w:r>
                    <w:rPr>
                      <w:rFonts w:hint="default" w:ascii="Times New Roman" w:hAnsi="Times New Roman" w:cs="Times New Roman"/>
                      <w:color w:val="auto"/>
                      <w:highlight w:val="none"/>
                      <w:lang w:eastAsia="zh-CN"/>
                    </w:rPr>
                    <w:t>区污水处理厂处理</w:t>
                  </w:r>
                  <w:r>
                    <w:rPr>
                      <w:rFonts w:hint="default" w:ascii="Times New Roman" w:hAnsi="Times New Roman" w:cs="Times New Roman"/>
                      <w:color w:val="auto"/>
                      <w:kern w:val="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continue"/>
                  <w:vAlign w:val="center"/>
                </w:tcPr>
                <w:p>
                  <w:pPr>
                    <w:pStyle w:val="2"/>
                    <w:ind w:firstLine="0" w:firstLineChars="0"/>
                    <w:jc w:val="center"/>
                    <w:rPr>
                      <w:rFonts w:hint="default" w:ascii="Times New Roman" w:hAnsi="Times New Roman" w:cs="Times New Roman"/>
                      <w:color w:val="auto"/>
                    </w:rPr>
                  </w:pPr>
                </w:p>
              </w:tc>
              <w:tc>
                <w:tcPr>
                  <w:tcW w:w="1139" w:type="dxa"/>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供电工程</w:t>
                  </w:r>
                </w:p>
              </w:tc>
              <w:tc>
                <w:tcPr>
                  <w:tcW w:w="6968" w:type="dxa"/>
                  <w:gridSpan w:val="2"/>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由市政电网供给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restart"/>
                  <w:vAlign w:val="center"/>
                </w:tcPr>
                <w:p>
                  <w:pPr>
                    <w:pStyle w:val="2"/>
                    <w:ind w:firstLine="0" w:firstLineChars="0"/>
                    <w:jc w:val="center"/>
                    <w:rPr>
                      <w:rFonts w:hint="default" w:ascii="Times New Roman" w:hAnsi="Times New Roman" w:eastAsia="宋体" w:cs="Times New Roman"/>
                      <w:color w:val="auto"/>
                      <w:lang w:eastAsia="zh-CN"/>
                    </w:rPr>
                  </w:pPr>
                  <w:r>
                    <w:rPr>
                      <w:rFonts w:hint="default" w:ascii="Times New Roman" w:hAnsi="Times New Roman" w:eastAsia="宋体" w:cs="Times New Roman"/>
                      <w:color w:val="auto"/>
                      <w:kern w:val="0"/>
                      <w:sz w:val="21"/>
                      <w:szCs w:val="21"/>
                      <w:lang w:val="en-US" w:eastAsia="zh-CN" w:bidi="ar-SA"/>
                    </w:rPr>
                    <w:t>环保工程</w:t>
                  </w:r>
                </w:p>
              </w:tc>
              <w:tc>
                <w:tcPr>
                  <w:tcW w:w="1139" w:type="dxa"/>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废气治理</w:t>
                  </w:r>
                </w:p>
              </w:tc>
              <w:tc>
                <w:tcPr>
                  <w:tcW w:w="6968" w:type="dxa"/>
                  <w:gridSpan w:val="2"/>
                  <w:vAlign w:val="center"/>
                </w:tcPr>
                <w:p>
                  <w:pPr>
                    <w:widowControl/>
                    <w:ind w:firstLine="420" w:firstLineChars="0"/>
                    <w:jc w:val="center"/>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食堂油烟废气经高效油烟净化装置处理后《饮食业油烟排放标准（试行）》（GB18483-2001）后排放，备用发电机废气收集后</w:t>
                  </w:r>
                  <w:r>
                    <w:rPr>
                      <w:rFonts w:hint="default" w:ascii="Times New Roman" w:hAnsi="Times New Roman" w:cs="Times New Roman"/>
                      <w:color w:val="auto"/>
                      <w:sz w:val="21"/>
                      <w:szCs w:val="21"/>
                      <w:highlight w:val="none"/>
                      <w:lang w:eastAsia="zh-CN"/>
                    </w:rPr>
                    <w:t>通过排气筒</w:t>
                  </w:r>
                  <w:r>
                    <w:rPr>
                      <w:rFonts w:hint="default" w:ascii="Times New Roman" w:hAnsi="Times New Roman" w:cs="Times New Roman"/>
                      <w:color w:val="auto"/>
                      <w:kern w:val="0"/>
                      <w:szCs w:val="21"/>
                      <w:highlight w:val="none"/>
                      <w:lang w:val="en-US" w:eastAsia="zh-CN"/>
                    </w:rPr>
                    <w:t>引至天面排放，污水处理站臭气经</w:t>
                  </w:r>
                  <w:r>
                    <w:rPr>
                      <w:rFonts w:hint="default" w:ascii="Times New Roman" w:hAnsi="Times New Roman" w:cs="Times New Roman"/>
                      <w:color w:val="auto"/>
                      <w:lang w:eastAsia="zh-CN"/>
                    </w:rPr>
                    <w:t>臭氧活性炭吸附</w:t>
                  </w:r>
                  <w:r>
                    <w:rPr>
                      <w:rFonts w:hint="default" w:ascii="Times New Roman" w:hAnsi="Times New Roman" w:cs="Times New Roman"/>
                      <w:color w:val="auto"/>
                    </w:rPr>
                    <w:t>工艺处理后</w:t>
                  </w:r>
                  <w:r>
                    <w:rPr>
                      <w:rFonts w:hint="default" w:ascii="Times New Roman" w:hAnsi="Times New Roman" w:cs="Times New Roman"/>
                      <w:color w:val="auto"/>
                      <w:sz w:val="21"/>
                      <w:szCs w:val="21"/>
                      <w:highlight w:val="none"/>
                      <w:lang w:eastAsia="zh-CN"/>
                    </w:rPr>
                    <w:t>通过排气筒</w:t>
                  </w:r>
                  <w:r>
                    <w:rPr>
                      <w:rFonts w:hint="default" w:ascii="Times New Roman" w:hAnsi="Times New Roman" w:cs="Times New Roman"/>
                      <w:color w:val="auto"/>
                      <w:lang w:eastAsia="zh-CN"/>
                    </w:rPr>
                    <w:t>引至</w:t>
                  </w:r>
                  <w:r>
                    <w:rPr>
                      <w:rFonts w:hint="default" w:ascii="Times New Roman" w:hAnsi="Times New Roman" w:cs="Times New Roman"/>
                      <w:color w:val="auto"/>
                      <w:kern w:val="0"/>
                      <w:szCs w:val="21"/>
                      <w:highlight w:val="none"/>
                      <w:lang w:val="en-US" w:eastAsia="zh-CN"/>
                    </w:rPr>
                    <w:t>天面</w:t>
                  </w:r>
                  <w:r>
                    <w:rPr>
                      <w:rFonts w:hint="default" w:ascii="Times New Roman" w:hAnsi="Times New Roman" w:cs="Times New Roman"/>
                      <w:color w:val="auto"/>
                    </w:rPr>
                    <w:t>排放</w:t>
                  </w:r>
                  <w:r>
                    <w:rPr>
                      <w:rFonts w:hint="default" w:ascii="Times New Roman" w:hAnsi="Times New Roman" w:cs="Times New Roman"/>
                      <w:color w:val="auto"/>
                      <w:lang w:eastAsia="zh-CN"/>
                    </w:rPr>
                    <w:t>，垃圾房</w:t>
                  </w:r>
                  <w:r>
                    <w:rPr>
                      <w:rFonts w:hint="default" w:ascii="Times New Roman" w:hAnsi="Times New Roman" w:cs="Times New Roman"/>
                      <w:color w:val="auto"/>
                      <w:sz w:val="21"/>
                      <w:szCs w:val="21"/>
                      <w:lang w:eastAsia="zh-CN"/>
                    </w:rPr>
                    <w:t>采用封闭式设计，垃圾收集入房即关闭房门，对垃圾收集房喷洒除臭剂、消毒剂，经常地面清洗处理</w:t>
                  </w:r>
                  <w:r>
                    <w:rPr>
                      <w:rFonts w:hint="eastAsia" w:cs="Times New Roman"/>
                      <w:color w:val="auto"/>
                      <w:sz w:val="21"/>
                      <w:szCs w:val="21"/>
                      <w:lang w:eastAsia="zh-CN"/>
                    </w:rPr>
                    <w:t>，停车场汽车尾气为间歇性无组织排放，通过自然通风和绿化减轻对大气环境的影响</w:t>
                  </w:r>
                  <w:r>
                    <w:rPr>
                      <w:rFonts w:hint="default" w:ascii="Times New Roman" w:hAnsi="Times New Roman" w:cs="Times New Roman"/>
                      <w:color w:val="auto"/>
                      <w:kern w:val="0"/>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continue"/>
                  <w:vAlign w:val="center"/>
                </w:tcPr>
                <w:p>
                  <w:pPr>
                    <w:pStyle w:val="2"/>
                    <w:ind w:firstLine="0" w:firstLineChars="0"/>
                    <w:jc w:val="center"/>
                    <w:rPr>
                      <w:rFonts w:hint="default" w:ascii="Times New Roman" w:hAnsi="Times New Roman" w:cs="Times New Roman"/>
                      <w:color w:val="auto"/>
                    </w:rPr>
                  </w:pPr>
                </w:p>
              </w:tc>
              <w:tc>
                <w:tcPr>
                  <w:tcW w:w="1139" w:type="dxa"/>
                  <w:vAlign w:val="center"/>
                </w:tcPr>
                <w:p>
                  <w:pPr>
                    <w:widowControl/>
                    <w:jc w:val="center"/>
                    <w:rPr>
                      <w:rFonts w:hint="default" w:ascii="Times New Roman" w:hAnsi="Times New Roman" w:eastAsia="宋体" w:cs="Times New Roman"/>
                      <w:color w:val="auto"/>
                      <w:kern w:val="0"/>
                      <w:szCs w:val="21"/>
                      <w:lang w:eastAsia="zh-CN"/>
                    </w:rPr>
                  </w:pPr>
                  <w:r>
                    <w:rPr>
                      <w:rFonts w:hint="default" w:ascii="Times New Roman" w:hAnsi="Times New Roman" w:cs="Times New Roman"/>
                      <w:color w:val="auto"/>
                      <w:kern w:val="0"/>
                      <w:szCs w:val="21"/>
                      <w:lang w:eastAsia="zh-CN"/>
                    </w:rPr>
                    <w:t>废水治理</w:t>
                  </w:r>
                </w:p>
              </w:tc>
              <w:tc>
                <w:tcPr>
                  <w:tcW w:w="6968" w:type="dxa"/>
                  <w:gridSpan w:val="2"/>
                  <w:vAlign w:val="center"/>
                </w:tcPr>
                <w:p>
                  <w:pPr>
                    <w:widowControl/>
                    <w:ind w:firstLine="420"/>
                    <w:jc w:val="center"/>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eastAsia="zh-CN"/>
                    </w:rPr>
                    <w:t>医疗废水、洗衣房废水、</w:t>
                  </w:r>
                  <w:r>
                    <w:rPr>
                      <w:rFonts w:hint="default" w:ascii="Times New Roman" w:hAnsi="Times New Roman" w:cs="Times New Roman"/>
                      <w:color w:val="auto"/>
                      <w:kern w:val="0"/>
                      <w:szCs w:val="21"/>
                      <w:highlight w:val="none"/>
                    </w:rPr>
                    <w:t>生活污水经污水处理设施处理达</w:t>
                  </w:r>
                  <w:r>
                    <w:rPr>
                      <w:rFonts w:hint="eastAsia" w:cs="Times New Roman"/>
                      <w:color w:val="auto"/>
                      <w:kern w:val="0"/>
                      <w:szCs w:val="21"/>
                      <w:highlight w:val="none"/>
                      <w:lang w:eastAsia="zh-CN"/>
                    </w:rPr>
                    <w:t>《城市污水再生利用</w:t>
                  </w:r>
                  <w:r>
                    <w:rPr>
                      <w:rFonts w:hint="eastAsia" w:cs="Times New Roman"/>
                      <w:color w:val="auto"/>
                      <w:kern w:val="0"/>
                      <w:szCs w:val="21"/>
                      <w:highlight w:val="none"/>
                      <w:lang w:val="en-US" w:eastAsia="zh-CN"/>
                    </w:rPr>
                    <w:t xml:space="preserve"> 城市杂用水水质》（GB/T18920-2002）中“城市绿化”标准后回用项目周边绿化用水；远期经污水处理设施处理达</w:t>
                  </w:r>
                  <w:r>
                    <w:rPr>
                      <w:rFonts w:hint="default" w:ascii="Times New Roman" w:hAnsi="Times New Roman" w:cs="Times New Roman"/>
                      <w:color w:val="auto"/>
                      <w:highlight w:val="none"/>
                    </w:rPr>
                    <w:t>《医疗机构水污染物排放标准》（GB18466-2005）综合医疗机构水污染物排放限值（日均值）预处理标准后</w:t>
                  </w:r>
                  <w:r>
                    <w:rPr>
                      <w:rFonts w:hint="default" w:ascii="Times New Roman" w:hAnsi="Times New Roman" w:cs="Times New Roman"/>
                      <w:color w:val="auto"/>
                      <w:highlight w:val="none"/>
                      <w:lang w:eastAsia="zh-CN"/>
                    </w:rPr>
                    <w:t>排入</w:t>
                  </w:r>
                  <w:r>
                    <w:rPr>
                      <w:rFonts w:hint="eastAsia" w:cs="Times New Roman"/>
                      <w:color w:val="auto"/>
                      <w:highlight w:val="none"/>
                      <w:lang w:eastAsia="zh-CN"/>
                    </w:rPr>
                    <w:t>揭东</w:t>
                  </w:r>
                  <w:r>
                    <w:rPr>
                      <w:rFonts w:hint="default" w:ascii="Times New Roman" w:hAnsi="Times New Roman" w:cs="Times New Roman"/>
                      <w:color w:val="auto"/>
                      <w:highlight w:val="none"/>
                      <w:lang w:eastAsia="zh-CN"/>
                    </w:rPr>
                    <w:t>区污水处理厂处理</w:t>
                  </w:r>
                  <w:r>
                    <w:rPr>
                      <w:rFonts w:hint="default" w:ascii="Times New Roman" w:hAnsi="Times New Roman" w:cs="Times New Roman"/>
                      <w:color w:val="auto"/>
                      <w:kern w:val="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continue"/>
                  <w:vAlign w:val="center"/>
                </w:tcPr>
                <w:p>
                  <w:pPr>
                    <w:pStyle w:val="2"/>
                    <w:ind w:firstLine="0" w:firstLineChars="0"/>
                    <w:jc w:val="center"/>
                    <w:rPr>
                      <w:rFonts w:hint="default" w:ascii="Times New Roman" w:hAnsi="Times New Roman" w:cs="Times New Roman"/>
                      <w:color w:val="auto"/>
                    </w:rPr>
                  </w:pPr>
                </w:p>
              </w:tc>
              <w:tc>
                <w:tcPr>
                  <w:tcW w:w="1139" w:type="dxa"/>
                  <w:vAlign w:val="center"/>
                </w:tcPr>
                <w:p>
                  <w:pPr>
                    <w:widowControl/>
                    <w:jc w:val="center"/>
                    <w:rPr>
                      <w:rFonts w:hint="default" w:ascii="Times New Roman" w:hAnsi="Times New Roman" w:cs="Times New Roman"/>
                      <w:color w:val="auto"/>
                      <w:kern w:val="0"/>
                      <w:szCs w:val="21"/>
                      <w:lang w:eastAsia="zh-CN"/>
                    </w:rPr>
                  </w:pPr>
                  <w:r>
                    <w:rPr>
                      <w:rFonts w:hint="default" w:ascii="Times New Roman" w:hAnsi="Times New Roman" w:cs="Times New Roman"/>
                      <w:color w:val="auto"/>
                      <w:kern w:val="0"/>
                      <w:szCs w:val="21"/>
                    </w:rPr>
                    <w:t>噪声治理</w:t>
                  </w:r>
                </w:p>
              </w:tc>
              <w:tc>
                <w:tcPr>
                  <w:tcW w:w="6968" w:type="dxa"/>
                  <w:gridSpan w:val="2"/>
                  <w:vAlign w:val="center"/>
                </w:tcPr>
                <w:p>
                  <w:pPr>
                    <w:widowControl/>
                    <w:jc w:val="center"/>
                    <w:rPr>
                      <w:rFonts w:hint="default" w:ascii="Times New Roman" w:hAnsi="Times New Roman" w:cs="Times New Roman"/>
                      <w:color w:val="auto"/>
                      <w:kern w:val="0"/>
                      <w:szCs w:val="21"/>
                      <w:highlight w:val="none"/>
                      <w:lang w:eastAsia="zh-CN"/>
                    </w:rPr>
                  </w:pPr>
                  <w:r>
                    <w:rPr>
                      <w:rFonts w:hint="default" w:ascii="Times New Roman" w:hAnsi="Times New Roman" w:cs="Times New Roman"/>
                      <w:color w:val="auto"/>
                      <w:kern w:val="0"/>
                      <w:szCs w:val="21"/>
                    </w:rPr>
                    <w:t>采用低噪声设备；设备隔声、减振、降噪，合理布局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continue"/>
                  <w:vAlign w:val="center"/>
                </w:tcPr>
                <w:p>
                  <w:pPr>
                    <w:pStyle w:val="2"/>
                    <w:ind w:firstLine="0" w:firstLineChars="0"/>
                    <w:jc w:val="center"/>
                    <w:rPr>
                      <w:rFonts w:hint="default" w:ascii="Times New Roman" w:hAnsi="Times New Roman" w:cs="Times New Roman"/>
                      <w:color w:val="auto"/>
                    </w:rPr>
                  </w:pPr>
                </w:p>
              </w:tc>
              <w:tc>
                <w:tcPr>
                  <w:tcW w:w="1139" w:type="dxa"/>
                  <w:vAlign w:val="center"/>
                </w:tcPr>
                <w:p>
                  <w:pPr>
                    <w:widowControl/>
                    <w:jc w:val="center"/>
                    <w:rPr>
                      <w:rFonts w:hint="default" w:ascii="Times New Roman" w:hAnsi="Times New Roman" w:eastAsia="宋体" w:cs="Times New Roman"/>
                      <w:color w:val="auto"/>
                      <w:kern w:val="0"/>
                      <w:szCs w:val="21"/>
                      <w:lang w:eastAsia="zh-CN"/>
                    </w:rPr>
                  </w:pPr>
                  <w:r>
                    <w:rPr>
                      <w:rFonts w:hint="default" w:ascii="Times New Roman" w:hAnsi="Times New Roman" w:cs="Times New Roman"/>
                      <w:color w:val="auto"/>
                      <w:kern w:val="0"/>
                      <w:szCs w:val="21"/>
                      <w:lang w:eastAsia="zh-CN"/>
                    </w:rPr>
                    <w:t>固废治理</w:t>
                  </w:r>
                </w:p>
              </w:tc>
              <w:tc>
                <w:tcPr>
                  <w:tcW w:w="6968" w:type="dxa"/>
                  <w:gridSpan w:val="2"/>
                  <w:vAlign w:val="center"/>
                </w:tcPr>
                <w:p>
                  <w:pPr>
                    <w:widowControl/>
                    <w:jc w:val="center"/>
                    <w:rPr>
                      <w:rFonts w:hint="default" w:ascii="Times New Roman" w:hAnsi="Times New Roman" w:eastAsia="宋体" w:cs="Times New Roman"/>
                      <w:color w:val="auto"/>
                      <w:kern w:val="0"/>
                      <w:szCs w:val="21"/>
                      <w:lang w:eastAsia="zh-CN"/>
                    </w:rPr>
                  </w:pPr>
                  <w:r>
                    <w:rPr>
                      <w:rFonts w:hint="default" w:ascii="Times New Roman" w:hAnsi="Times New Roman" w:cs="Times New Roman"/>
                      <w:color w:val="auto"/>
                      <w:kern w:val="0"/>
                      <w:szCs w:val="21"/>
                      <w:lang w:eastAsia="zh-CN"/>
                    </w:rPr>
                    <w:t>一般办公生活垃圾交由环卫部门清运，医疗废物、污泥交由有资质单位回收处理</w:t>
                  </w:r>
                </w:p>
              </w:tc>
            </w:tr>
          </w:tbl>
          <w:p>
            <w:pPr>
              <w:ind w:firstLine="482"/>
              <w:jc w:val="center"/>
              <w:rPr>
                <w:rFonts w:hint="default" w:ascii="Times New Roman" w:hAnsi="Times New Roman" w:cs="Times New Roman"/>
                <w:b/>
                <w:color w:val="auto"/>
                <w:sz w:val="24"/>
                <w:lang w:val="en-US" w:eastAsia="zh-CN"/>
              </w:rPr>
            </w:pPr>
            <w:r>
              <w:rPr>
                <w:rFonts w:hint="default" w:ascii="Times New Roman" w:hAnsi="Times New Roman" w:cs="Times New Roman"/>
                <w:b/>
                <w:color w:val="auto"/>
                <w:sz w:val="24"/>
                <w:lang w:eastAsia="zh-CN"/>
              </w:rPr>
              <w:t>表</w:t>
            </w:r>
            <w:r>
              <w:rPr>
                <w:rFonts w:hint="default" w:ascii="Times New Roman" w:hAnsi="Times New Roman" w:cs="Times New Roman"/>
                <w:b/>
                <w:color w:val="auto"/>
                <w:sz w:val="24"/>
                <w:lang w:val="en-US" w:eastAsia="zh-CN"/>
              </w:rPr>
              <w:t>1-2 项目主要经济技术指标</w:t>
            </w:r>
          </w:p>
          <w:tbl>
            <w:tblPr>
              <w:tblStyle w:val="32"/>
              <w:tblW w:w="926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2"/>
              <w:gridCol w:w="2393"/>
              <w:gridCol w:w="1455"/>
              <w:gridCol w:w="1545"/>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82" w:type="dxa"/>
                  <w:vAlign w:val="center"/>
                </w:tcPr>
                <w:p>
                  <w:pPr>
                    <w:pStyle w:val="2"/>
                    <w:ind w:left="0" w:leftChars="0" w:firstLine="0" w:firstLineChars="0"/>
                    <w:jc w:val="center"/>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序号</w:t>
                  </w:r>
                </w:p>
              </w:tc>
              <w:tc>
                <w:tcPr>
                  <w:tcW w:w="2393" w:type="dxa"/>
                  <w:vAlign w:val="center"/>
                </w:tcPr>
                <w:p>
                  <w:pPr>
                    <w:pStyle w:val="2"/>
                    <w:ind w:left="0" w:leftChars="0" w:firstLine="0" w:firstLineChars="0"/>
                    <w:jc w:val="center"/>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指标名称</w:t>
                  </w:r>
                </w:p>
              </w:tc>
              <w:tc>
                <w:tcPr>
                  <w:tcW w:w="1455" w:type="dxa"/>
                  <w:vAlign w:val="center"/>
                </w:tcPr>
                <w:p>
                  <w:pPr>
                    <w:pStyle w:val="2"/>
                    <w:ind w:left="0" w:leftChars="0" w:firstLine="0" w:firstLineChars="0"/>
                    <w:jc w:val="center"/>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单位</w:t>
                  </w:r>
                </w:p>
              </w:tc>
              <w:tc>
                <w:tcPr>
                  <w:tcW w:w="1545" w:type="dxa"/>
                  <w:vAlign w:val="center"/>
                </w:tcPr>
                <w:p>
                  <w:pPr>
                    <w:pStyle w:val="2"/>
                    <w:ind w:left="0" w:leftChars="0" w:firstLine="0" w:firstLineChars="0"/>
                    <w:jc w:val="center"/>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数量</w:t>
                  </w:r>
                </w:p>
              </w:tc>
              <w:tc>
                <w:tcPr>
                  <w:tcW w:w="2893" w:type="dxa"/>
                  <w:vAlign w:val="center"/>
                </w:tcPr>
                <w:p>
                  <w:pPr>
                    <w:pStyle w:val="2"/>
                    <w:ind w:left="0" w:leftChars="0" w:firstLine="0" w:firstLineChars="0"/>
                    <w:jc w:val="center"/>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2" w:type="dxa"/>
                  <w:vAlign w:val="center"/>
                </w:tcPr>
                <w:p>
                  <w:pPr>
                    <w:pStyle w:val="2"/>
                    <w:ind w:left="0" w:leftChars="0" w:firstLine="0" w:firstLineChars="0"/>
                    <w:jc w:val="center"/>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1</w:t>
                  </w:r>
                </w:p>
              </w:tc>
              <w:tc>
                <w:tcPr>
                  <w:tcW w:w="2393" w:type="dxa"/>
                  <w:vAlign w:val="center"/>
                </w:tcPr>
                <w:p>
                  <w:pPr>
                    <w:pStyle w:val="2"/>
                    <w:ind w:left="0" w:leftChars="0" w:firstLine="0" w:firstLineChars="0"/>
                    <w:jc w:val="center"/>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总占地面积</w:t>
                  </w:r>
                </w:p>
              </w:tc>
              <w:tc>
                <w:tcPr>
                  <w:tcW w:w="1455" w:type="dxa"/>
                  <w:vAlign w:val="center"/>
                </w:tcPr>
                <w:p>
                  <w:pPr>
                    <w:pStyle w:val="2"/>
                    <w:ind w:left="0" w:leftChars="0" w:firstLine="0" w:firstLineChars="0"/>
                    <w:jc w:val="center"/>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m</w:t>
                  </w:r>
                  <w:r>
                    <w:rPr>
                      <w:rFonts w:hint="default" w:ascii="Times New Roman" w:hAnsi="Times New Roman" w:cs="Times New Roman"/>
                      <w:color w:val="auto"/>
                      <w:sz w:val="21"/>
                      <w:szCs w:val="21"/>
                      <w:vertAlign w:val="superscript"/>
                      <w:lang w:val="en-US" w:eastAsia="zh-CN"/>
                    </w:rPr>
                    <w:t>2</w:t>
                  </w:r>
                </w:p>
              </w:tc>
              <w:tc>
                <w:tcPr>
                  <w:tcW w:w="1545" w:type="dxa"/>
                  <w:vAlign w:val="center"/>
                </w:tcPr>
                <w:p>
                  <w:pPr>
                    <w:pStyle w:val="2"/>
                    <w:ind w:left="0" w:leftChars="0" w:firstLine="0" w:firstLineChars="0"/>
                    <w:jc w:val="center"/>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4300</w:t>
                  </w:r>
                </w:p>
              </w:tc>
              <w:tc>
                <w:tcPr>
                  <w:tcW w:w="2893" w:type="dxa"/>
                  <w:vAlign w:val="center"/>
                </w:tcPr>
                <w:p>
                  <w:pPr>
                    <w:pStyle w:val="2"/>
                    <w:ind w:left="0" w:leftChars="0" w:firstLine="0" w:firstLineChars="0"/>
                    <w:jc w:val="center"/>
                    <w:rPr>
                      <w:rFonts w:hint="default" w:ascii="Times New Roman" w:hAnsi="Times New Roman"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982" w:type="dxa"/>
                  <w:vAlign w:val="center"/>
                </w:tcPr>
                <w:p>
                  <w:pPr>
                    <w:pStyle w:val="2"/>
                    <w:ind w:left="0" w:leftChars="0" w:firstLine="0" w:firstLineChars="0"/>
                    <w:jc w:val="center"/>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2</w:t>
                  </w:r>
                </w:p>
              </w:tc>
              <w:tc>
                <w:tcPr>
                  <w:tcW w:w="2393" w:type="dxa"/>
                  <w:vAlign w:val="center"/>
                </w:tcPr>
                <w:p>
                  <w:pPr>
                    <w:pStyle w:val="2"/>
                    <w:ind w:left="0" w:leftChars="0" w:firstLine="0" w:firstLineChars="0"/>
                    <w:jc w:val="center"/>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总建筑面积</w:t>
                  </w:r>
                </w:p>
              </w:tc>
              <w:tc>
                <w:tcPr>
                  <w:tcW w:w="1455" w:type="dxa"/>
                  <w:vAlign w:val="center"/>
                </w:tcPr>
                <w:p>
                  <w:pPr>
                    <w:pStyle w:val="2"/>
                    <w:ind w:left="0" w:leftChars="0" w:firstLine="0" w:firstLineChars="0"/>
                    <w:jc w:val="center"/>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m</w:t>
                  </w:r>
                  <w:r>
                    <w:rPr>
                      <w:rFonts w:hint="default" w:ascii="Times New Roman" w:hAnsi="Times New Roman" w:cs="Times New Roman"/>
                      <w:color w:val="auto"/>
                      <w:sz w:val="21"/>
                      <w:szCs w:val="21"/>
                      <w:vertAlign w:val="superscript"/>
                      <w:lang w:val="en-US" w:eastAsia="zh-CN"/>
                    </w:rPr>
                    <w:t>2</w:t>
                  </w:r>
                </w:p>
              </w:tc>
              <w:tc>
                <w:tcPr>
                  <w:tcW w:w="1545" w:type="dxa"/>
                  <w:vAlign w:val="center"/>
                </w:tcPr>
                <w:p>
                  <w:pPr>
                    <w:pStyle w:val="2"/>
                    <w:ind w:left="0" w:leftChars="0" w:firstLine="0" w:firstLineChars="0"/>
                    <w:jc w:val="center"/>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5000</w:t>
                  </w:r>
                </w:p>
              </w:tc>
              <w:tc>
                <w:tcPr>
                  <w:tcW w:w="2893" w:type="dxa"/>
                  <w:vAlign w:val="center"/>
                </w:tcPr>
                <w:p>
                  <w:pPr>
                    <w:pStyle w:val="2"/>
                    <w:ind w:left="0" w:leftChars="0" w:firstLine="0" w:firstLineChars="0"/>
                    <w:jc w:val="center"/>
                    <w:rPr>
                      <w:rFonts w:hint="default" w:ascii="Times New Roman" w:hAnsi="Times New Roman"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2" w:type="dxa"/>
                  <w:vAlign w:val="center"/>
                </w:tcPr>
                <w:p>
                  <w:pPr>
                    <w:pStyle w:val="2"/>
                    <w:ind w:left="0" w:leftChars="0" w:firstLine="0" w:firstLineChars="0"/>
                    <w:jc w:val="center"/>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3</w:t>
                  </w:r>
                </w:p>
              </w:tc>
              <w:tc>
                <w:tcPr>
                  <w:tcW w:w="2393" w:type="dxa"/>
                  <w:vAlign w:val="center"/>
                </w:tcPr>
                <w:p>
                  <w:pPr>
                    <w:pStyle w:val="2"/>
                    <w:ind w:left="0" w:leftChars="0" w:firstLine="0" w:firstLineChars="0"/>
                    <w:jc w:val="center"/>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病床位</w:t>
                  </w:r>
                </w:p>
              </w:tc>
              <w:tc>
                <w:tcPr>
                  <w:tcW w:w="1455" w:type="dxa"/>
                  <w:vAlign w:val="center"/>
                </w:tcPr>
                <w:p>
                  <w:pPr>
                    <w:pStyle w:val="2"/>
                    <w:ind w:left="0" w:leftChars="0" w:firstLine="0" w:firstLineChars="0"/>
                    <w:jc w:val="center"/>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张</w:t>
                  </w:r>
                </w:p>
              </w:tc>
              <w:tc>
                <w:tcPr>
                  <w:tcW w:w="1545" w:type="dxa"/>
                  <w:vAlign w:val="center"/>
                </w:tcPr>
                <w:p>
                  <w:pPr>
                    <w:pStyle w:val="2"/>
                    <w:ind w:left="0" w:leftChars="0" w:firstLine="0" w:firstLineChars="0"/>
                    <w:jc w:val="center"/>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highlight w:val="none"/>
                      <w:vertAlign w:val="baseline"/>
                      <w:lang w:val="en-US" w:eastAsia="zh-CN"/>
                    </w:rPr>
                    <w:t>90</w:t>
                  </w:r>
                </w:p>
              </w:tc>
              <w:tc>
                <w:tcPr>
                  <w:tcW w:w="2893" w:type="dxa"/>
                  <w:vAlign w:val="center"/>
                </w:tcPr>
                <w:p>
                  <w:pPr>
                    <w:pStyle w:val="2"/>
                    <w:ind w:left="0" w:leftChars="0" w:firstLine="0" w:firstLineChars="0"/>
                    <w:jc w:val="center"/>
                    <w:rPr>
                      <w:rFonts w:hint="default" w:ascii="Times New Roman" w:hAnsi="Times New Roman"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2" w:type="dxa"/>
                  <w:vAlign w:val="center"/>
                </w:tcPr>
                <w:p>
                  <w:pPr>
                    <w:pStyle w:val="2"/>
                    <w:ind w:left="0" w:leftChars="0" w:firstLine="0" w:firstLineChars="0"/>
                    <w:jc w:val="center"/>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4</w:t>
                  </w:r>
                </w:p>
              </w:tc>
              <w:tc>
                <w:tcPr>
                  <w:tcW w:w="2393"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医院职工人数</w:t>
                  </w:r>
                </w:p>
              </w:tc>
              <w:tc>
                <w:tcPr>
                  <w:tcW w:w="1455"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人</w:t>
                  </w:r>
                </w:p>
              </w:tc>
              <w:tc>
                <w:tcPr>
                  <w:tcW w:w="1545"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50</w:t>
                  </w:r>
                </w:p>
              </w:tc>
              <w:tc>
                <w:tcPr>
                  <w:tcW w:w="2893" w:type="dxa"/>
                  <w:vAlign w:val="center"/>
                </w:tcPr>
                <w:p>
                  <w:pPr>
                    <w:pStyle w:val="2"/>
                    <w:ind w:left="0" w:leftChars="0" w:firstLine="0" w:firstLineChars="0"/>
                    <w:jc w:val="center"/>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其中医生</w:t>
                  </w:r>
                  <w:r>
                    <w:rPr>
                      <w:rFonts w:hint="eastAsia" w:cs="Times New Roman"/>
                      <w:color w:val="auto"/>
                      <w:sz w:val="21"/>
                      <w:szCs w:val="21"/>
                      <w:vertAlign w:val="baseline"/>
                      <w:lang w:val="en-US" w:eastAsia="zh-CN"/>
                    </w:rPr>
                    <w:t>20</w:t>
                  </w:r>
                  <w:r>
                    <w:rPr>
                      <w:rFonts w:hint="default" w:ascii="Times New Roman" w:hAnsi="Times New Roman" w:cs="Times New Roman"/>
                      <w:color w:val="auto"/>
                      <w:sz w:val="21"/>
                      <w:szCs w:val="21"/>
                      <w:vertAlign w:val="baseline"/>
                      <w:lang w:val="en-US" w:eastAsia="zh-CN"/>
                    </w:rPr>
                    <w:t>人、护士</w:t>
                  </w:r>
                  <w:r>
                    <w:rPr>
                      <w:rFonts w:hint="eastAsia" w:cs="Times New Roman"/>
                      <w:color w:val="auto"/>
                      <w:sz w:val="21"/>
                      <w:szCs w:val="21"/>
                      <w:vertAlign w:val="baseline"/>
                      <w:lang w:val="en-US" w:eastAsia="zh-CN"/>
                    </w:rPr>
                    <w:t>30</w:t>
                  </w:r>
                  <w:r>
                    <w:rPr>
                      <w:rFonts w:hint="default" w:ascii="Times New Roman" w:hAnsi="Times New Roman" w:cs="Times New Roman"/>
                      <w:color w:val="auto"/>
                      <w:sz w:val="21"/>
                      <w:szCs w:val="21"/>
                      <w:vertAlign w:val="baseline"/>
                      <w:lang w:val="en-US" w:eastAsia="zh-CN"/>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2" w:type="dxa"/>
                  <w:vAlign w:val="center"/>
                </w:tcPr>
                <w:p>
                  <w:pPr>
                    <w:pStyle w:val="2"/>
                    <w:ind w:left="0" w:leftChars="0" w:firstLine="0" w:firstLineChars="0"/>
                    <w:jc w:val="center"/>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5</w:t>
                  </w:r>
                </w:p>
              </w:tc>
              <w:tc>
                <w:tcPr>
                  <w:tcW w:w="2393"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门诊人数</w:t>
                  </w:r>
                </w:p>
              </w:tc>
              <w:tc>
                <w:tcPr>
                  <w:tcW w:w="1455"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人/年</w:t>
                  </w:r>
                </w:p>
              </w:tc>
              <w:tc>
                <w:tcPr>
                  <w:tcW w:w="1545"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3000</w:t>
                  </w:r>
                </w:p>
              </w:tc>
              <w:tc>
                <w:tcPr>
                  <w:tcW w:w="2893" w:type="dxa"/>
                  <w:vAlign w:val="center"/>
                </w:tcPr>
                <w:p>
                  <w:pPr>
                    <w:pStyle w:val="2"/>
                    <w:ind w:left="0" w:leftChars="0" w:firstLine="0" w:firstLineChars="0"/>
                    <w:jc w:val="center"/>
                    <w:rPr>
                      <w:rFonts w:hint="default" w:ascii="Times New Roman" w:hAnsi="Times New Roman"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2" w:type="dxa"/>
                  <w:vAlign w:val="center"/>
                </w:tcPr>
                <w:p>
                  <w:pPr>
                    <w:pStyle w:val="2"/>
                    <w:ind w:left="0" w:leftChars="0" w:firstLine="0" w:firstLineChars="0"/>
                    <w:jc w:val="center"/>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6</w:t>
                  </w:r>
                </w:p>
              </w:tc>
              <w:tc>
                <w:tcPr>
                  <w:tcW w:w="2393"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停车位</w:t>
                  </w:r>
                </w:p>
              </w:tc>
              <w:tc>
                <w:tcPr>
                  <w:tcW w:w="1455"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个</w:t>
                  </w:r>
                </w:p>
              </w:tc>
              <w:tc>
                <w:tcPr>
                  <w:tcW w:w="1545"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50</w:t>
                  </w:r>
                </w:p>
              </w:tc>
              <w:tc>
                <w:tcPr>
                  <w:tcW w:w="2893"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均为地面停车位</w:t>
                  </w:r>
                </w:p>
              </w:tc>
            </w:tr>
          </w:tbl>
          <w:p>
            <w:pPr>
              <w:tabs>
                <w:tab w:val="left" w:pos="2790"/>
              </w:tabs>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2、主要医疗耗材</w:t>
            </w:r>
          </w:p>
          <w:p>
            <w:pPr>
              <w:tabs>
                <w:tab w:val="right" w:pos="9069"/>
              </w:tabs>
              <w:adjustRightInd w:val="0"/>
              <w:snapToGrid w:val="0"/>
              <w:spacing w:line="360" w:lineRule="auto"/>
              <w:jc w:val="both"/>
              <w:rPr>
                <w:rFonts w:hint="default" w:ascii="Times New Roman" w:hAnsi="Times New Roman" w:cs="Times New Roman"/>
                <w:b/>
                <w:color w:val="auto"/>
                <w:sz w:val="24"/>
                <w:szCs w:val="24"/>
                <w:highlight w:val="none"/>
              </w:rPr>
            </w:pPr>
            <w:r>
              <w:rPr>
                <w:rFonts w:hint="default" w:ascii="Times New Roman" w:hAnsi="Times New Roman" w:eastAsia="Times New Roman" w:cs="Times New Roman"/>
                <w:color w:val="auto"/>
                <w:sz w:val="24"/>
                <w:szCs w:val="24"/>
              </w:rPr>
              <w:t>项目主要医疗耗材情况见表</w:t>
            </w:r>
            <w:r>
              <w:rPr>
                <w:rFonts w:hint="default" w:ascii="Times New Roman" w:hAnsi="Times New Roman" w:eastAsia="Times New Roman" w:cs="Times New Roman"/>
                <w:color w:val="auto"/>
                <w:sz w:val="24"/>
                <w:szCs w:val="24"/>
                <w:highlight w:val="none"/>
              </w:rPr>
              <w:t>1-</w:t>
            </w:r>
            <w:r>
              <w:rPr>
                <w:rFonts w:hint="default" w:ascii="Times New Roman" w:hAnsi="Times New Roman" w:cs="Times New Roman"/>
                <w:color w:val="auto"/>
                <w:sz w:val="24"/>
                <w:szCs w:val="24"/>
                <w:highlight w:val="none"/>
                <w:lang w:val="en-US" w:eastAsia="zh-CN"/>
              </w:rPr>
              <w:t>3</w:t>
            </w:r>
            <w:r>
              <w:rPr>
                <w:rFonts w:hint="default" w:ascii="Times New Roman" w:hAnsi="Times New Roman" w:eastAsia="Times New Roman" w:cs="Times New Roman"/>
                <w:color w:val="auto"/>
                <w:sz w:val="24"/>
                <w:szCs w:val="24"/>
                <w:highlight w:val="none"/>
              </w:rPr>
              <w:t>。</w:t>
            </w:r>
          </w:p>
          <w:p>
            <w:pPr>
              <w:tabs>
                <w:tab w:val="right" w:pos="9069"/>
              </w:tabs>
              <w:adjustRightInd w:val="0"/>
              <w:snapToGrid w:val="0"/>
              <w:spacing w:line="360" w:lineRule="auto"/>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表1-</w:t>
            </w:r>
            <w:r>
              <w:rPr>
                <w:rFonts w:hint="default" w:ascii="Times New Roman" w:hAnsi="Times New Roman" w:cs="Times New Roman"/>
                <w:b/>
                <w:color w:val="auto"/>
                <w:szCs w:val="21"/>
                <w:highlight w:val="none"/>
                <w:lang w:val="en-US" w:eastAsia="zh-CN"/>
              </w:rPr>
              <w:t>3</w:t>
            </w:r>
            <w:r>
              <w:rPr>
                <w:rFonts w:hint="default" w:ascii="Times New Roman" w:hAnsi="Times New Roman" w:cs="Times New Roman"/>
                <w:b/>
                <w:color w:val="auto"/>
                <w:szCs w:val="21"/>
                <w:highlight w:val="none"/>
              </w:rPr>
              <w:t xml:space="preserve">  </w:t>
            </w:r>
            <w:r>
              <w:rPr>
                <w:rFonts w:hint="default" w:ascii="Times New Roman" w:hAnsi="Times New Roman" w:cs="Times New Roman"/>
                <w:b/>
                <w:color w:val="auto"/>
                <w:highlight w:val="none"/>
              </w:rPr>
              <w:t>主要医疗耗材用量一览表</w:t>
            </w:r>
          </w:p>
          <w:tbl>
            <w:tblPr>
              <w:tblStyle w:val="31"/>
              <w:tblW w:w="9413" w:type="dxa"/>
              <w:jc w:val="center"/>
              <w:tblInd w:w="-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70"/>
              <w:gridCol w:w="1372"/>
              <w:gridCol w:w="975"/>
              <w:gridCol w:w="630"/>
              <w:gridCol w:w="58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40" w:hRule="atLeast"/>
                <w:tblHeader/>
                <w:jc w:val="center"/>
              </w:trPr>
              <w:tc>
                <w:tcPr>
                  <w:tcW w:w="570" w:type="dxa"/>
                  <w:noWrap w:val="0"/>
                  <w:vAlign w:val="center"/>
                </w:tcPr>
                <w:p>
                  <w:pPr>
                    <w:jc w:val="center"/>
                    <w:rPr>
                      <w:rFonts w:hint="default" w:ascii="Times New Roman" w:hAnsi="Times New Roman" w:cs="Times New Roman"/>
                      <w:b/>
                      <w:color w:val="auto"/>
                    </w:rPr>
                  </w:pPr>
                  <w:r>
                    <w:rPr>
                      <w:rFonts w:hint="default" w:ascii="Times New Roman" w:hAnsi="Times New Roman" w:cs="Times New Roman"/>
                      <w:b/>
                      <w:color w:val="auto"/>
                    </w:rPr>
                    <w:t>序号</w:t>
                  </w:r>
                </w:p>
              </w:tc>
              <w:tc>
                <w:tcPr>
                  <w:tcW w:w="1372" w:type="dxa"/>
                  <w:noWrap w:val="0"/>
                  <w:vAlign w:val="center"/>
                </w:tcPr>
                <w:p>
                  <w:pPr>
                    <w:jc w:val="center"/>
                    <w:rPr>
                      <w:rFonts w:hint="default" w:ascii="Times New Roman" w:hAnsi="Times New Roman" w:cs="Times New Roman"/>
                      <w:b/>
                      <w:color w:val="auto"/>
                    </w:rPr>
                  </w:pPr>
                  <w:r>
                    <w:rPr>
                      <w:rFonts w:hint="default" w:ascii="Times New Roman" w:hAnsi="Times New Roman" w:cs="Times New Roman"/>
                      <w:b/>
                      <w:color w:val="auto"/>
                    </w:rPr>
                    <w:t>名称</w:t>
                  </w:r>
                </w:p>
              </w:tc>
              <w:tc>
                <w:tcPr>
                  <w:tcW w:w="975" w:type="dxa"/>
                  <w:noWrap w:val="0"/>
                  <w:vAlign w:val="center"/>
                </w:tcPr>
                <w:p>
                  <w:pPr>
                    <w:jc w:val="center"/>
                    <w:rPr>
                      <w:rFonts w:hint="default" w:ascii="Times New Roman" w:hAnsi="Times New Roman" w:cs="Times New Roman"/>
                      <w:b/>
                      <w:color w:val="auto"/>
                    </w:rPr>
                  </w:pPr>
                  <w:r>
                    <w:rPr>
                      <w:rFonts w:hint="default" w:ascii="Times New Roman" w:hAnsi="Times New Roman" w:cs="Times New Roman"/>
                      <w:b/>
                      <w:color w:val="auto"/>
                    </w:rPr>
                    <w:t>年使用量</w:t>
                  </w:r>
                </w:p>
              </w:tc>
              <w:tc>
                <w:tcPr>
                  <w:tcW w:w="630" w:type="dxa"/>
                  <w:noWrap w:val="0"/>
                  <w:vAlign w:val="center"/>
                </w:tcPr>
                <w:p>
                  <w:pPr>
                    <w:jc w:val="center"/>
                    <w:rPr>
                      <w:rFonts w:hint="default" w:ascii="Times New Roman" w:hAnsi="Times New Roman" w:cs="Times New Roman"/>
                      <w:b/>
                      <w:color w:val="auto"/>
                    </w:rPr>
                  </w:pPr>
                  <w:r>
                    <w:rPr>
                      <w:rFonts w:hint="default" w:ascii="Times New Roman" w:hAnsi="Times New Roman" w:cs="Times New Roman"/>
                      <w:b/>
                      <w:color w:val="auto"/>
                    </w:rPr>
                    <w:t>单位</w:t>
                  </w:r>
                </w:p>
              </w:tc>
              <w:tc>
                <w:tcPr>
                  <w:tcW w:w="5866" w:type="dxa"/>
                  <w:noWrap w:val="0"/>
                  <w:vAlign w:val="center"/>
                </w:tcPr>
                <w:p>
                  <w:pPr>
                    <w:jc w:val="center"/>
                    <w:rPr>
                      <w:rFonts w:hint="default" w:ascii="Times New Roman" w:hAnsi="Times New Roman" w:cs="Times New Roman"/>
                      <w:b/>
                      <w:color w:val="auto"/>
                    </w:rPr>
                  </w:pPr>
                  <w:r>
                    <w:rPr>
                      <w:rFonts w:hint="default" w:ascii="Times New Roman" w:hAnsi="Times New Roman" w:cs="Times New Roman"/>
                      <w:b/>
                      <w:color w:val="auto"/>
                    </w:rPr>
                    <w:t>理化特性</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40" w:hRule="atLeast"/>
                <w:jc w:val="center"/>
              </w:trPr>
              <w:tc>
                <w:tcPr>
                  <w:tcW w:w="570"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w:t>
                  </w:r>
                </w:p>
              </w:tc>
              <w:tc>
                <w:tcPr>
                  <w:tcW w:w="1372"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碘伏</w:t>
                  </w:r>
                </w:p>
              </w:tc>
              <w:tc>
                <w:tcPr>
                  <w:tcW w:w="975" w:type="dxa"/>
                  <w:noWrap w:val="0"/>
                  <w:vAlign w:val="center"/>
                </w:tcPr>
                <w:p>
                  <w:pPr>
                    <w:jc w:val="center"/>
                    <w:rPr>
                      <w:rFonts w:hint="default" w:ascii="Times New Roman" w:hAnsi="Times New Roman" w:cs="Times New Roman"/>
                      <w:color w:val="auto"/>
                      <w:lang w:val="en-US"/>
                    </w:rPr>
                  </w:pPr>
                  <w:r>
                    <w:rPr>
                      <w:rFonts w:hint="eastAsia" w:cs="Times New Roman"/>
                      <w:color w:val="auto"/>
                      <w:lang w:val="en-US" w:eastAsia="zh-CN"/>
                    </w:rPr>
                    <w:t>20000</w:t>
                  </w:r>
                </w:p>
              </w:tc>
              <w:tc>
                <w:tcPr>
                  <w:tcW w:w="630"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mL</w:t>
                  </w:r>
                </w:p>
              </w:tc>
              <w:tc>
                <w:tcPr>
                  <w:tcW w:w="5866"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碘伏是单质碘与聚乙烯吡咯烷酮（Povidone）的不定型结合物。医用碘伏通常浓度较低（1%或以下），呈现浅棕色，用于皮肤的消毒治疗可直接涂擦，稀释两倍可用于口腔炎漱口。碘伏是外用药，禁止口服。碘伏稀溶液毒性低，无腐蚀性。毒性：人经口 LD</w:t>
                  </w:r>
                  <w:r>
                    <w:rPr>
                      <w:rFonts w:hint="default" w:ascii="Times New Roman" w:hAnsi="Times New Roman" w:cs="Times New Roman"/>
                      <w:color w:val="auto"/>
                      <w:vertAlign w:val="subscript"/>
                    </w:rPr>
                    <w:t>Lo</w:t>
                  </w:r>
                  <w:r>
                    <w:rPr>
                      <w:rFonts w:hint="default" w:ascii="Times New Roman" w:hAnsi="Times New Roman" w:cs="Times New Roman"/>
                      <w:color w:val="auto"/>
                    </w:rPr>
                    <w:t>：28 mg/kg，大鼠经口 LD</w:t>
                  </w:r>
                  <w:r>
                    <w:rPr>
                      <w:rFonts w:hint="default" w:ascii="Times New Roman" w:hAnsi="Times New Roman" w:cs="Times New Roman"/>
                      <w:color w:val="auto"/>
                      <w:vertAlign w:val="subscript"/>
                    </w:rPr>
                    <w:t>50</w:t>
                  </w:r>
                  <w:r>
                    <w:rPr>
                      <w:rFonts w:hint="default" w:ascii="Times New Roman" w:hAnsi="Times New Roman" w:cs="Times New Roman"/>
                      <w:color w:val="auto"/>
                    </w:rPr>
                    <w:t>：14 g/kg、吸入 LC</w:t>
                  </w:r>
                  <w:r>
                    <w:rPr>
                      <w:rFonts w:hint="default" w:ascii="Times New Roman" w:hAnsi="Times New Roman" w:cs="Times New Roman"/>
                      <w:color w:val="auto"/>
                      <w:vertAlign w:val="subscript"/>
                    </w:rPr>
                    <w:t>Lo</w:t>
                  </w:r>
                  <w:r>
                    <w:rPr>
                      <w:rFonts w:hint="default" w:ascii="Times New Roman" w:hAnsi="Times New Roman" w:cs="Times New Roman"/>
                      <w:color w:val="auto"/>
                    </w:rPr>
                    <w:t>：137 ppm/1H，小鼠经口 LD</w:t>
                  </w:r>
                  <w:r>
                    <w:rPr>
                      <w:rFonts w:hint="default" w:ascii="Times New Roman" w:hAnsi="Times New Roman" w:cs="Times New Roman"/>
                      <w:color w:val="auto"/>
                      <w:vertAlign w:val="subscript"/>
                    </w:rPr>
                    <w:t>50</w:t>
                  </w:r>
                  <w:r>
                    <w:rPr>
                      <w:rFonts w:hint="default" w:ascii="Times New Roman" w:hAnsi="Times New Roman" w:cs="Times New Roman"/>
                      <w:color w:val="auto"/>
                    </w:rPr>
                    <w:t>：22 g/kg。保存要求应该为避光室温处。</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40" w:hRule="atLeast"/>
                <w:jc w:val="center"/>
              </w:trPr>
              <w:tc>
                <w:tcPr>
                  <w:tcW w:w="570"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w:t>
                  </w:r>
                </w:p>
              </w:tc>
              <w:tc>
                <w:tcPr>
                  <w:tcW w:w="1372"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双氧水</w:t>
                  </w:r>
                </w:p>
              </w:tc>
              <w:tc>
                <w:tcPr>
                  <w:tcW w:w="975" w:type="dxa"/>
                  <w:noWrap w:val="0"/>
                  <w:vAlign w:val="center"/>
                </w:tcPr>
                <w:p>
                  <w:pPr>
                    <w:jc w:val="center"/>
                    <w:rPr>
                      <w:rFonts w:hint="default" w:ascii="Times New Roman" w:hAnsi="Times New Roman" w:cs="Times New Roman"/>
                      <w:color w:val="auto"/>
                    </w:rPr>
                  </w:pPr>
                  <w:r>
                    <w:rPr>
                      <w:rFonts w:hint="eastAsia" w:cs="Times New Roman"/>
                      <w:color w:val="auto"/>
                      <w:lang w:val="en-US" w:eastAsia="zh-CN"/>
                    </w:rPr>
                    <w:t>1</w:t>
                  </w:r>
                  <w:r>
                    <w:rPr>
                      <w:rFonts w:hint="default" w:ascii="Times New Roman" w:hAnsi="Times New Roman" w:cs="Times New Roman"/>
                      <w:color w:val="auto"/>
                    </w:rPr>
                    <w:t>000</w:t>
                  </w:r>
                </w:p>
              </w:tc>
              <w:tc>
                <w:tcPr>
                  <w:tcW w:w="630"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mL</w:t>
                  </w:r>
                </w:p>
              </w:tc>
              <w:tc>
                <w:tcPr>
                  <w:tcW w:w="5866"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双氧水是 H</w:t>
                  </w:r>
                  <w:r>
                    <w:rPr>
                      <w:rFonts w:hint="default" w:ascii="Times New Roman" w:hAnsi="Times New Roman" w:cs="Times New Roman"/>
                      <w:color w:val="auto"/>
                      <w:vertAlign w:val="subscript"/>
                    </w:rPr>
                    <w:t>2</w:t>
                  </w:r>
                  <w:r>
                    <w:rPr>
                      <w:rFonts w:hint="default" w:ascii="Times New Roman" w:hAnsi="Times New Roman" w:cs="Times New Roman"/>
                      <w:color w:val="auto"/>
                    </w:rPr>
                    <w:t>O</w:t>
                  </w:r>
                  <w:r>
                    <w:rPr>
                      <w:rFonts w:hint="default" w:ascii="Times New Roman" w:hAnsi="Times New Roman" w:cs="Times New Roman"/>
                      <w:color w:val="auto"/>
                      <w:vertAlign w:val="subscript"/>
                    </w:rPr>
                    <w:t>2</w:t>
                  </w:r>
                  <w:r>
                    <w:rPr>
                      <w:rFonts w:hint="default" w:ascii="Times New Roman" w:hAnsi="Times New Roman" w:cs="Times New Roman"/>
                      <w:color w:val="auto"/>
                    </w:rPr>
                    <w:t xml:space="preserve"> 的水溶液，无色透明液体。适用于伤口消毒及环境、食品消毒，医用双氧水浓度等于或低于3%，擦拭到创伤面，会有灼烧感、表面被氧化成白色并冒气泡。急性毒性：LD</w:t>
                  </w:r>
                  <w:r>
                    <w:rPr>
                      <w:rFonts w:hint="default" w:ascii="Times New Roman" w:hAnsi="Times New Roman" w:cs="Times New Roman"/>
                      <w:color w:val="auto"/>
                      <w:vertAlign w:val="subscript"/>
                    </w:rPr>
                    <w:t>50</w:t>
                  </w:r>
                  <w:r>
                    <w:rPr>
                      <w:rFonts w:hint="default" w:ascii="Times New Roman" w:hAnsi="Times New Roman" w:cs="Times New Roman"/>
                      <w:color w:val="auto"/>
                    </w:rPr>
                    <w:t xml:space="preserve"> 4060mg/kg（大鼠经皮）；LC</w:t>
                  </w:r>
                  <w:r>
                    <w:rPr>
                      <w:rFonts w:hint="default" w:ascii="Times New Roman" w:hAnsi="Times New Roman" w:cs="Times New Roman"/>
                      <w:color w:val="auto"/>
                      <w:vertAlign w:val="subscript"/>
                    </w:rPr>
                    <w:t>50</w:t>
                  </w:r>
                  <w:r>
                    <w:rPr>
                      <w:rFonts w:hint="default" w:ascii="Times New Roman" w:hAnsi="Times New Roman" w:cs="Times New Roman"/>
                      <w:color w:val="auto"/>
                    </w:rPr>
                    <w:t>2000mg/m</w:t>
                  </w:r>
                  <w:r>
                    <w:rPr>
                      <w:rFonts w:hint="default" w:ascii="Times New Roman" w:hAnsi="Times New Roman" w:cs="Times New Roman"/>
                      <w:color w:val="auto"/>
                      <w:vertAlign w:val="superscript"/>
                    </w:rPr>
                    <w:t>3</w:t>
                  </w:r>
                  <w:r>
                    <w:rPr>
                      <w:rFonts w:hint="default" w:ascii="Times New Roman" w:hAnsi="Times New Roman" w:cs="Times New Roman"/>
                      <w:color w:val="auto"/>
                    </w:rPr>
                    <w:t>，4 小时（大鼠吸入）。保存要求应该为避光阴暗处。</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40" w:hRule="atLeast"/>
                <w:jc w:val="center"/>
              </w:trPr>
              <w:tc>
                <w:tcPr>
                  <w:tcW w:w="570"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3</w:t>
                  </w:r>
                </w:p>
              </w:tc>
              <w:tc>
                <w:tcPr>
                  <w:tcW w:w="1372"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75/%酒精</w:t>
                  </w:r>
                </w:p>
              </w:tc>
              <w:tc>
                <w:tcPr>
                  <w:tcW w:w="975" w:type="dxa"/>
                  <w:noWrap w:val="0"/>
                  <w:vAlign w:val="center"/>
                </w:tcPr>
                <w:p>
                  <w:pPr>
                    <w:jc w:val="center"/>
                    <w:rPr>
                      <w:rFonts w:hint="default" w:ascii="Times New Roman" w:hAnsi="Times New Roman" w:cs="Times New Roman"/>
                      <w:color w:val="auto"/>
                    </w:rPr>
                  </w:pPr>
                  <w:r>
                    <w:rPr>
                      <w:rFonts w:hint="eastAsia" w:cs="Times New Roman"/>
                      <w:color w:val="auto"/>
                      <w:lang w:val="en-US" w:eastAsia="zh-CN"/>
                    </w:rPr>
                    <w:t>1</w:t>
                  </w:r>
                  <w:r>
                    <w:rPr>
                      <w:rFonts w:hint="default" w:ascii="Times New Roman" w:hAnsi="Times New Roman" w:cs="Times New Roman"/>
                      <w:color w:val="auto"/>
                    </w:rPr>
                    <w:t>00000</w:t>
                  </w:r>
                </w:p>
              </w:tc>
              <w:tc>
                <w:tcPr>
                  <w:tcW w:w="630"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mL</w:t>
                  </w:r>
                </w:p>
              </w:tc>
              <w:tc>
                <w:tcPr>
                  <w:tcW w:w="5866"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酒精是一种无色透明、易挥发、易燃烧，不导电的有机化合物液体。本项目采用的浓度为 75%，用于皮肤、医疗器具等消毒。毒性：低毒。急性毒性：LD</w:t>
                  </w:r>
                  <w:r>
                    <w:rPr>
                      <w:rFonts w:hint="default" w:ascii="Times New Roman" w:hAnsi="Times New Roman" w:cs="Times New Roman"/>
                      <w:color w:val="auto"/>
                      <w:vertAlign w:val="subscript"/>
                    </w:rPr>
                    <w:t>50</w:t>
                  </w:r>
                  <w:r>
                    <w:rPr>
                      <w:rFonts w:hint="default" w:ascii="Times New Roman" w:hAnsi="Times New Roman" w:cs="Times New Roman"/>
                      <w:color w:val="auto"/>
                    </w:rPr>
                    <w:t>7060mg/kg(大鼠经口)；7340 mg/kg(兔经皮)；LC</w:t>
                  </w:r>
                  <w:r>
                    <w:rPr>
                      <w:rFonts w:hint="default" w:ascii="Times New Roman" w:hAnsi="Times New Roman" w:cs="Times New Roman"/>
                      <w:color w:val="auto"/>
                      <w:vertAlign w:val="subscript"/>
                    </w:rPr>
                    <w:t>50</w:t>
                  </w:r>
                  <w:r>
                    <w:rPr>
                      <w:rFonts w:hint="default" w:ascii="Times New Roman" w:hAnsi="Times New Roman" w:cs="Times New Roman"/>
                      <w:color w:val="auto"/>
                    </w:rPr>
                    <w:t xml:space="preserve"> 37620mg/m</w:t>
                  </w:r>
                  <w:r>
                    <w:rPr>
                      <w:rFonts w:hint="default" w:ascii="Times New Roman" w:hAnsi="Times New Roman" w:cs="Times New Roman"/>
                      <w:color w:val="auto"/>
                      <w:vertAlign w:val="superscript"/>
                    </w:rPr>
                    <w:t>3</w:t>
                  </w:r>
                  <w:r>
                    <w:rPr>
                      <w:rFonts w:hint="default" w:ascii="Times New Roman" w:hAnsi="Times New Roman" w:cs="Times New Roman"/>
                      <w:color w:val="auto"/>
                    </w:rPr>
                    <w:t>，10小时(大鼠吸入)。保存要求应该为避光阴暗处。</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40" w:hRule="atLeast"/>
                <w:jc w:val="center"/>
              </w:trPr>
              <w:tc>
                <w:tcPr>
                  <w:tcW w:w="570"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4</w:t>
                  </w:r>
                </w:p>
              </w:tc>
              <w:tc>
                <w:tcPr>
                  <w:tcW w:w="1372"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中成药</w:t>
                  </w:r>
                </w:p>
              </w:tc>
              <w:tc>
                <w:tcPr>
                  <w:tcW w:w="975" w:type="dxa"/>
                  <w:noWrap w:val="0"/>
                  <w:vAlign w:val="center"/>
                </w:tcPr>
                <w:p>
                  <w:pPr>
                    <w:jc w:val="center"/>
                    <w:rPr>
                      <w:rFonts w:hint="default" w:ascii="Times New Roman" w:hAnsi="Times New Roman" w:cs="Times New Roman"/>
                      <w:color w:val="auto"/>
                    </w:rPr>
                  </w:pPr>
                  <w:r>
                    <w:rPr>
                      <w:rFonts w:hint="eastAsia" w:cs="Times New Roman"/>
                      <w:color w:val="auto"/>
                      <w:lang w:val="en-US" w:eastAsia="zh-CN"/>
                    </w:rPr>
                    <w:t>2</w:t>
                  </w:r>
                  <w:r>
                    <w:rPr>
                      <w:rFonts w:hint="default" w:ascii="Times New Roman" w:hAnsi="Times New Roman" w:cs="Times New Roman"/>
                      <w:color w:val="auto"/>
                    </w:rPr>
                    <w:t>000</w:t>
                  </w:r>
                </w:p>
              </w:tc>
              <w:tc>
                <w:tcPr>
                  <w:tcW w:w="630"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盒</w:t>
                  </w:r>
                </w:p>
              </w:tc>
              <w:tc>
                <w:tcPr>
                  <w:tcW w:w="5866"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40" w:hRule="atLeast"/>
                <w:jc w:val="center"/>
              </w:trPr>
              <w:tc>
                <w:tcPr>
                  <w:tcW w:w="570"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w:t>
                  </w:r>
                </w:p>
              </w:tc>
              <w:tc>
                <w:tcPr>
                  <w:tcW w:w="1372"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西药</w:t>
                  </w:r>
                </w:p>
              </w:tc>
              <w:tc>
                <w:tcPr>
                  <w:tcW w:w="975" w:type="dxa"/>
                  <w:noWrap w:val="0"/>
                  <w:vAlign w:val="center"/>
                </w:tcPr>
                <w:p>
                  <w:pPr>
                    <w:jc w:val="center"/>
                    <w:rPr>
                      <w:rFonts w:hint="default" w:ascii="Times New Roman" w:hAnsi="Times New Roman" w:cs="Times New Roman"/>
                      <w:color w:val="auto"/>
                    </w:rPr>
                  </w:pPr>
                  <w:r>
                    <w:rPr>
                      <w:rFonts w:hint="eastAsia" w:cs="Times New Roman"/>
                      <w:color w:val="auto"/>
                      <w:lang w:val="en-US" w:eastAsia="zh-CN"/>
                    </w:rPr>
                    <w:t>1</w:t>
                  </w:r>
                  <w:r>
                    <w:rPr>
                      <w:rFonts w:hint="default" w:ascii="Times New Roman" w:hAnsi="Times New Roman" w:cs="Times New Roman"/>
                      <w:color w:val="auto"/>
                    </w:rPr>
                    <w:t>0000</w:t>
                  </w:r>
                </w:p>
              </w:tc>
              <w:tc>
                <w:tcPr>
                  <w:tcW w:w="630"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盒</w:t>
                  </w:r>
                </w:p>
              </w:tc>
              <w:tc>
                <w:tcPr>
                  <w:tcW w:w="5866"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40" w:hRule="atLeast"/>
                <w:jc w:val="center"/>
              </w:trPr>
              <w:tc>
                <w:tcPr>
                  <w:tcW w:w="570"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6</w:t>
                  </w:r>
                </w:p>
              </w:tc>
              <w:tc>
                <w:tcPr>
                  <w:tcW w:w="1372"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外用药</w:t>
                  </w:r>
                </w:p>
              </w:tc>
              <w:tc>
                <w:tcPr>
                  <w:tcW w:w="975" w:type="dxa"/>
                  <w:noWrap w:val="0"/>
                  <w:vAlign w:val="center"/>
                </w:tcPr>
                <w:p>
                  <w:pPr>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100</w:t>
                  </w:r>
                </w:p>
              </w:tc>
              <w:tc>
                <w:tcPr>
                  <w:tcW w:w="630"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盒</w:t>
                  </w:r>
                </w:p>
              </w:tc>
              <w:tc>
                <w:tcPr>
                  <w:tcW w:w="5866"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40" w:hRule="atLeast"/>
                <w:jc w:val="center"/>
              </w:trPr>
              <w:tc>
                <w:tcPr>
                  <w:tcW w:w="570"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7</w:t>
                  </w:r>
                </w:p>
              </w:tc>
              <w:tc>
                <w:tcPr>
                  <w:tcW w:w="1372"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一次性胶手套</w:t>
                  </w:r>
                </w:p>
              </w:tc>
              <w:tc>
                <w:tcPr>
                  <w:tcW w:w="975" w:type="dxa"/>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4</w:t>
                  </w:r>
                  <w:r>
                    <w:rPr>
                      <w:rFonts w:hint="default" w:ascii="Times New Roman" w:hAnsi="Times New Roman" w:cs="Times New Roman"/>
                      <w:color w:val="auto"/>
                      <w:lang w:val="en-US" w:eastAsia="zh-CN"/>
                    </w:rPr>
                    <w:t>00</w:t>
                  </w:r>
                </w:p>
              </w:tc>
              <w:tc>
                <w:tcPr>
                  <w:tcW w:w="630"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对</w:t>
                  </w:r>
                </w:p>
              </w:tc>
              <w:tc>
                <w:tcPr>
                  <w:tcW w:w="5866"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产品无毒、无害；具有拉力好，贴附性好，灵活使用，防止感染</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40" w:hRule="atLeast"/>
                <w:jc w:val="center"/>
              </w:trPr>
              <w:tc>
                <w:tcPr>
                  <w:tcW w:w="570"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8</w:t>
                  </w:r>
                </w:p>
              </w:tc>
              <w:tc>
                <w:tcPr>
                  <w:tcW w:w="1372"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灭菌棉枝</w:t>
                  </w:r>
                </w:p>
              </w:tc>
              <w:tc>
                <w:tcPr>
                  <w:tcW w:w="975" w:type="dxa"/>
                  <w:noWrap w:val="0"/>
                  <w:vAlign w:val="center"/>
                </w:tcPr>
                <w:p>
                  <w:pPr>
                    <w:jc w:val="center"/>
                    <w:rPr>
                      <w:rFonts w:hint="default" w:ascii="Times New Roman" w:hAnsi="Times New Roman" w:cs="Times New Roman"/>
                      <w:color w:val="auto"/>
                    </w:rPr>
                  </w:pPr>
                  <w:r>
                    <w:rPr>
                      <w:rFonts w:hint="eastAsia" w:cs="Times New Roman"/>
                      <w:color w:val="auto"/>
                      <w:lang w:val="en-US" w:eastAsia="zh-CN"/>
                    </w:rPr>
                    <w:t>1</w:t>
                  </w:r>
                  <w:r>
                    <w:rPr>
                      <w:rFonts w:hint="default" w:ascii="Times New Roman" w:hAnsi="Times New Roman" w:cs="Times New Roman"/>
                      <w:color w:val="auto"/>
                    </w:rPr>
                    <w:t>000</w:t>
                  </w:r>
                </w:p>
              </w:tc>
              <w:tc>
                <w:tcPr>
                  <w:tcW w:w="630"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包</w:t>
                  </w:r>
                </w:p>
              </w:tc>
              <w:tc>
                <w:tcPr>
                  <w:tcW w:w="5866"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具有无毒无菌特点，可用作蘸去酒精碘酒等进行消毒</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40" w:hRule="atLeast"/>
                <w:jc w:val="center"/>
              </w:trPr>
              <w:tc>
                <w:tcPr>
                  <w:tcW w:w="570"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9</w:t>
                  </w:r>
                </w:p>
              </w:tc>
              <w:tc>
                <w:tcPr>
                  <w:tcW w:w="1372"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医疗垃圾袋</w:t>
                  </w:r>
                </w:p>
              </w:tc>
              <w:tc>
                <w:tcPr>
                  <w:tcW w:w="975" w:type="dxa"/>
                  <w:noWrap w:val="0"/>
                  <w:vAlign w:val="center"/>
                </w:tcPr>
                <w:p>
                  <w:pPr>
                    <w:jc w:val="center"/>
                    <w:rPr>
                      <w:rFonts w:hint="default" w:ascii="Times New Roman" w:hAnsi="Times New Roman" w:cs="Times New Roman"/>
                      <w:color w:val="auto"/>
                    </w:rPr>
                  </w:pPr>
                  <w:r>
                    <w:rPr>
                      <w:rFonts w:hint="eastAsia" w:cs="Times New Roman"/>
                      <w:color w:val="auto"/>
                      <w:lang w:val="en-US" w:eastAsia="zh-CN"/>
                    </w:rPr>
                    <w:t>2</w:t>
                  </w:r>
                  <w:r>
                    <w:rPr>
                      <w:rFonts w:hint="default" w:ascii="Times New Roman" w:hAnsi="Times New Roman" w:cs="Times New Roman"/>
                      <w:color w:val="auto"/>
                    </w:rPr>
                    <w:t>000</w:t>
                  </w:r>
                </w:p>
              </w:tc>
              <w:tc>
                <w:tcPr>
                  <w:tcW w:w="630"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个</w:t>
                  </w:r>
                </w:p>
              </w:tc>
              <w:tc>
                <w:tcPr>
                  <w:tcW w:w="5866"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用于收集医疗垃圾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40" w:hRule="atLeast"/>
                <w:jc w:val="center"/>
              </w:trPr>
              <w:tc>
                <w:tcPr>
                  <w:tcW w:w="570"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1372"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一次性注射器</w:t>
                  </w:r>
                </w:p>
              </w:tc>
              <w:tc>
                <w:tcPr>
                  <w:tcW w:w="975" w:type="dxa"/>
                  <w:noWrap w:val="0"/>
                  <w:vAlign w:val="center"/>
                </w:tcPr>
                <w:p>
                  <w:pPr>
                    <w:jc w:val="center"/>
                    <w:rPr>
                      <w:rFonts w:hint="default" w:ascii="Times New Roman" w:hAnsi="Times New Roman" w:cs="Times New Roman"/>
                      <w:color w:val="auto"/>
                    </w:rPr>
                  </w:pPr>
                  <w:r>
                    <w:rPr>
                      <w:rFonts w:hint="eastAsia" w:cs="Times New Roman"/>
                      <w:color w:val="auto"/>
                      <w:lang w:val="en-US" w:eastAsia="zh-CN"/>
                    </w:rPr>
                    <w:t>4</w:t>
                  </w:r>
                  <w:r>
                    <w:rPr>
                      <w:rFonts w:hint="default" w:ascii="Times New Roman" w:hAnsi="Times New Roman" w:cs="Times New Roman"/>
                      <w:color w:val="auto"/>
                    </w:rPr>
                    <w:t>0000</w:t>
                  </w:r>
                </w:p>
              </w:tc>
              <w:tc>
                <w:tcPr>
                  <w:tcW w:w="630"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个</w:t>
                  </w:r>
                </w:p>
              </w:tc>
              <w:tc>
                <w:tcPr>
                  <w:tcW w:w="5866"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w:t>
                  </w:r>
                </w:p>
              </w:tc>
            </w:tr>
          </w:tbl>
          <w:p>
            <w:pPr>
              <w:ind w:firstLine="482" w:firstLineChars="200"/>
              <w:jc w:val="left"/>
              <w:rPr>
                <w:rFonts w:hint="default" w:ascii="Times New Roman" w:hAnsi="Times New Roman" w:cs="Times New Roman"/>
                <w:b/>
                <w:bCs/>
                <w:color w:val="auto"/>
                <w:sz w:val="24"/>
              </w:rPr>
            </w:pPr>
            <w:r>
              <w:rPr>
                <w:rFonts w:hint="default" w:ascii="Times New Roman" w:hAnsi="Times New Roman" w:cs="Times New Roman"/>
                <w:b/>
                <w:bCs/>
                <w:color w:val="auto"/>
                <w:sz w:val="24"/>
              </w:rPr>
              <w:t>3、主要设备</w:t>
            </w:r>
          </w:p>
          <w:p>
            <w:pPr>
              <w:pStyle w:val="2"/>
              <w:rPr>
                <w:rFonts w:hint="default" w:ascii="Times New Roman" w:hAnsi="Times New Roman" w:eastAsia="宋体" w:cs="Times New Roman"/>
                <w:b w:val="0"/>
                <w:bCs w:val="0"/>
                <w:color w:val="auto"/>
                <w:lang w:val="en-US" w:eastAsia="zh-CN"/>
              </w:rPr>
            </w:pPr>
            <w:r>
              <w:rPr>
                <w:rFonts w:hint="default" w:ascii="Times New Roman" w:hAnsi="Times New Roman" w:cs="Times New Roman"/>
                <w:b w:val="0"/>
                <w:bCs w:val="0"/>
                <w:color w:val="auto"/>
                <w:sz w:val="24"/>
                <w:lang w:eastAsia="zh-CN"/>
              </w:rPr>
              <w:t>本项目医疗机械设备详见</w:t>
            </w:r>
            <w:r>
              <w:rPr>
                <w:rFonts w:hint="default" w:ascii="Times New Roman" w:hAnsi="Times New Roman" w:cs="Times New Roman"/>
                <w:b w:val="0"/>
                <w:bCs w:val="0"/>
                <w:color w:val="auto"/>
                <w:sz w:val="24"/>
                <w:lang w:val="en-US" w:eastAsia="zh-CN"/>
              </w:rPr>
              <w:t>1-4。</w:t>
            </w:r>
          </w:p>
          <w:p>
            <w:pPr>
              <w:jc w:val="center"/>
              <w:rPr>
                <w:rFonts w:hint="default" w:ascii="Times New Roman" w:hAnsi="Times New Roman" w:cs="Times New Roman"/>
                <w:b/>
                <w:color w:val="auto"/>
                <w:sz w:val="24"/>
              </w:rPr>
            </w:pPr>
            <w:r>
              <w:rPr>
                <w:rFonts w:hint="default" w:ascii="Times New Roman" w:hAnsi="Times New Roman" w:cs="Times New Roman"/>
                <w:b/>
                <w:color w:val="auto"/>
                <w:sz w:val="24"/>
              </w:rPr>
              <w:t>表1-</w:t>
            </w:r>
            <w:r>
              <w:rPr>
                <w:rFonts w:hint="default" w:ascii="Times New Roman" w:hAnsi="Times New Roman" w:cs="Times New Roman"/>
                <w:b/>
                <w:color w:val="auto"/>
                <w:sz w:val="24"/>
                <w:lang w:val="en-US" w:eastAsia="zh-CN"/>
              </w:rPr>
              <w:t>4</w:t>
            </w:r>
            <w:r>
              <w:rPr>
                <w:rFonts w:hint="default" w:ascii="Times New Roman" w:hAnsi="Times New Roman" w:cs="Times New Roman"/>
                <w:b/>
                <w:color w:val="auto"/>
                <w:sz w:val="24"/>
              </w:rPr>
              <w:t xml:space="preserve">  主要</w:t>
            </w:r>
            <w:r>
              <w:rPr>
                <w:rFonts w:hint="default" w:ascii="Times New Roman" w:hAnsi="Times New Roman" w:cs="Times New Roman"/>
                <w:b/>
                <w:color w:val="auto"/>
                <w:sz w:val="24"/>
                <w:lang w:eastAsia="zh-CN"/>
              </w:rPr>
              <w:t>医疗机械</w:t>
            </w:r>
            <w:r>
              <w:rPr>
                <w:rFonts w:hint="default" w:ascii="Times New Roman" w:hAnsi="Times New Roman" w:cs="Times New Roman"/>
                <w:b/>
                <w:color w:val="auto"/>
                <w:sz w:val="24"/>
              </w:rPr>
              <w:t>设备一览表</w:t>
            </w:r>
          </w:p>
          <w:tbl>
            <w:tblPr>
              <w:tblStyle w:val="31"/>
              <w:tblW w:w="760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1"/>
              <w:gridCol w:w="4161"/>
              <w:gridCol w:w="2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65" w:hRule="atLeast"/>
                <w:tblHeader/>
                <w:jc w:val="center"/>
              </w:trPr>
              <w:tc>
                <w:tcPr>
                  <w:tcW w:w="1021" w:type="dxa"/>
                  <w:noWrap w:val="0"/>
                  <w:vAlign w:val="center"/>
                </w:tcPr>
                <w:p>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序号</w:t>
                  </w:r>
                </w:p>
              </w:tc>
              <w:tc>
                <w:tcPr>
                  <w:tcW w:w="4161" w:type="dxa"/>
                  <w:noWrap w:val="0"/>
                  <w:vAlign w:val="center"/>
                </w:tcPr>
                <w:p>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主要设备名称</w:t>
                  </w:r>
                </w:p>
              </w:tc>
              <w:tc>
                <w:tcPr>
                  <w:tcW w:w="2419" w:type="dxa"/>
                  <w:noWrap w:val="0"/>
                  <w:vAlign w:val="center"/>
                </w:tcPr>
                <w:p>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数量（台）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jc w:val="center"/>
              </w:trPr>
              <w:tc>
                <w:tcPr>
                  <w:tcW w:w="1021"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161"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心电图机</w:t>
                  </w:r>
                </w:p>
              </w:tc>
              <w:tc>
                <w:tcPr>
                  <w:tcW w:w="2419" w:type="dxa"/>
                  <w:noWrap w:val="0"/>
                  <w:vAlign w:val="center"/>
                </w:tcPr>
                <w:p>
                  <w:pPr>
                    <w:jc w:val="center"/>
                    <w:rPr>
                      <w:rFonts w:hint="eastAsia" w:ascii="Times New Roman" w:hAnsi="Times New Roman" w:eastAsia="宋体" w:cs="Times New Roman"/>
                      <w:color w:val="auto"/>
                      <w:szCs w:val="21"/>
                      <w:lang w:eastAsia="zh-CN"/>
                    </w:rPr>
                  </w:pPr>
                  <w:r>
                    <w:rPr>
                      <w:rFonts w:hint="eastAsia" w:cs="Times New Roman"/>
                      <w:color w:val="auto"/>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1021"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4161"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监护仪</w:t>
                  </w:r>
                </w:p>
              </w:tc>
              <w:tc>
                <w:tcPr>
                  <w:tcW w:w="2419" w:type="dxa"/>
                  <w:noWrap w:val="0"/>
                  <w:vAlign w:val="center"/>
                </w:tcPr>
                <w:p>
                  <w:pPr>
                    <w:jc w:val="center"/>
                    <w:rPr>
                      <w:rFonts w:hint="eastAsia" w:ascii="Times New Roman" w:hAnsi="Times New Roman" w:eastAsia="宋体" w:cs="Times New Roman"/>
                      <w:color w:val="auto"/>
                      <w:szCs w:val="21"/>
                      <w:lang w:eastAsia="zh-CN"/>
                    </w:rPr>
                  </w:pPr>
                  <w:r>
                    <w:rPr>
                      <w:rFonts w:hint="eastAsia" w:cs="Times New Roman"/>
                      <w:color w:val="auto"/>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1021"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4161"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手术灯</w:t>
                  </w:r>
                </w:p>
              </w:tc>
              <w:tc>
                <w:tcPr>
                  <w:tcW w:w="2419" w:type="dxa"/>
                  <w:noWrap w:val="0"/>
                  <w:vAlign w:val="center"/>
                </w:tcPr>
                <w:p>
                  <w:pPr>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1021"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161"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麻醉机</w:t>
                  </w:r>
                </w:p>
              </w:tc>
              <w:tc>
                <w:tcPr>
                  <w:tcW w:w="2419"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4" w:hRule="atLeast"/>
                <w:jc w:val="center"/>
              </w:trPr>
              <w:tc>
                <w:tcPr>
                  <w:tcW w:w="1021"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4161"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化验系统</w:t>
                  </w:r>
                </w:p>
              </w:tc>
              <w:tc>
                <w:tcPr>
                  <w:tcW w:w="2419"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1021"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6</w:t>
                  </w:r>
                </w:p>
              </w:tc>
              <w:tc>
                <w:tcPr>
                  <w:tcW w:w="4161"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多功能手术床</w:t>
                  </w:r>
                </w:p>
              </w:tc>
              <w:tc>
                <w:tcPr>
                  <w:tcW w:w="2419" w:type="dxa"/>
                  <w:noWrap w:val="0"/>
                  <w:vAlign w:val="center"/>
                </w:tcPr>
                <w:p>
                  <w:pPr>
                    <w:jc w:val="center"/>
                    <w:rPr>
                      <w:rFonts w:hint="eastAsia" w:ascii="Times New Roman" w:hAnsi="Times New Roman" w:eastAsia="宋体" w:cs="Times New Roman"/>
                      <w:color w:val="auto"/>
                      <w:szCs w:val="21"/>
                      <w:lang w:eastAsia="zh-CN"/>
                    </w:rPr>
                  </w:pPr>
                  <w:r>
                    <w:rPr>
                      <w:rFonts w:hint="eastAsia" w:cs="Times New Roman"/>
                      <w:color w:val="auto"/>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 w:hRule="atLeast"/>
                <w:jc w:val="center"/>
              </w:trPr>
              <w:tc>
                <w:tcPr>
                  <w:tcW w:w="1021" w:type="dxa"/>
                  <w:noWrap w:val="0"/>
                  <w:vAlign w:val="center"/>
                </w:tcPr>
                <w:p>
                  <w:pPr>
                    <w:jc w:val="center"/>
                    <w:rPr>
                      <w:rFonts w:hint="eastAsia" w:ascii="Times New Roman" w:hAnsi="Times New Roman" w:eastAsia="宋体" w:cs="Times New Roman"/>
                      <w:color w:val="auto"/>
                      <w:szCs w:val="21"/>
                      <w:lang w:eastAsia="zh-CN"/>
                    </w:rPr>
                  </w:pPr>
                  <w:r>
                    <w:rPr>
                      <w:rFonts w:hint="eastAsia" w:cs="Times New Roman"/>
                      <w:color w:val="auto"/>
                      <w:szCs w:val="21"/>
                      <w:lang w:val="en-US" w:eastAsia="zh-CN"/>
                    </w:rPr>
                    <w:t>7</w:t>
                  </w:r>
                </w:p>
              </w:tc>
              <w:tc>
                <w:tcPr>
                  <w:tcW w:w="4161"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全自动生化仪</w:t>
                  </w:r>
                </w:p>
              </w:tc>
              <w:tc>
                <w:tcPr>
                  <w:tcW w:w="2419"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 w:hRule="atLeast"/>
                <w:jc w:val="center"/>
              </w:trPr>
              <w:tc>
                <w:tcPr>
                  <w:tcW w:w="1021" w:type="dxa"/>
                  <w:noWrap w:val="0"/>
                  <w:vAlign w:val="center"/>
                </w:tcPr>
                <w:p>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8</w:t>
                  </w:r>
                </w:p>
              </w:tc>
              <w:tc>
                <w:tcPr>
                  <w:tcW w:w="4161"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尿和粪便常规检查设备</w:t>
                  </w:r>
                </w:p>
              </w:tc>
              <w:tc>
                <w:tcPr>
                  <w:tcW w:w="2419"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 w:hRule="atLeast"/>
                <w:jc w:val="center"/>
              </w:trPr>
              <w:tc>
                <w:tcPr>
                  <w:tcW w:w="1021" w:type="dxa"/>
                  <w:noWrap w:val="0"/>
                  <w:vAlign w:val="center"/>
                </w:tcPr>
                <w:p>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9</w:t>
                  </w:r>
                </w:p>
              </w:tc>
              <w:tc>
                <w:tcPr>
                  <w:tcW w:w="4161"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血常规检查设备</w:t>
                  </w:r>
                </w:p>
              </w:tc>
              <w:tc>
                <w:tcPr>
                  <w:tcW w:w="2419"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 w:hRule="atLeast"/>
                <w:jc w:val="center"/>
              </w:trPr>
              <w:tc>
                <w:tcPr>
                  <w:tcW w:w="1021" w:type="dxa"/>
                  <w:noWrap w:val="0"/>
                  <w:vAlign w:val="center"/>
                </w:tcPr>
                <w:p>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10</w:t>
                  </w:r>
                </w:p>
              </w:tc>
              <w:tc>
                <w:tcPr>
                  <w:tcW w:w="4161"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消毒灭菌设备</w:t>
                  </w:r>
                </w:p>
              </w:tc>
              <w:tc>
                <w:tcPr>
                  <w:tcW w:w="2419"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 w:hRule="atLeast"/>
                <w:jc w:val="center"/>
              </w:trPr>
              <w:tc>
                <w:tcPr>
                  <w:tcW w:w="1021" w:type="dxa"/>
                  <w:noWrap w:val="0"/>
                  <w:vAlign w:val="center"/>
                </w:tcPr>
                <w:p>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11</w:t>
                  </w:r>
                </w:p>
              </w:tc>
              <w:tc>
                <w:tcPr>
                  <w:tcW w:w="4161" w:type="dxa"/>
                  <w:noWrap w:val="0"/>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预防接种门诊专用冰箱</w:t>
                  </w:r>
                </w:p>
              </w:tc>
              <w:tc>
                <w:tcPr>
                  <w:tcW w:w="2419" w:type="dxa"/>
                  <w:noWrap w:val="0"/>
                  <w:vAlign w:val="center"/>
                </w:tcPr>
                <w:p>
                  <w:pPr>
                    <w:jc w:val="center"/>
                    <w:rPr>
                      <w:rFonts w:hint="default" w:ascii="Times New Roman" w:hAnsi="Times New Roman" w:eastAsia="宋体" w:cs="Times New Roman"/>
                      <w:color w:val="auto"/>
                      <w:szCs w:val="21"/>
                      <w:lang w:eastAsia="zh-CN"/>
                    </w:rPr>
                  </w:pPr>
                  <w:r>
                    <w:rPr>
                      <w:rFonts w:hint="eastAsia" w:cs="Times New Roman"/>
                      <w:color w:val="auto"/>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9" w:hRule="atLeast"/>
                <w:jc w:val="center"/>
              </w:trPr>
              <w:tc>
                <w:tcPr>
                  <w:tcW w:w="1021" w:type="dxa"/>
                  <w:noWrap w:val="0"/>
                  <w:vAlign w:val="center"/>
                </w:tcPr>
                <w:p>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12</w:t>
                  </w:r>
                </w:p>
              </w:tc>
              <w:tc>
                <w:tcPr>
                  <w:tcW w:w="4161"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冷背包</w:t>
                  </w:r>
                </w:p>
              </w:tc>
              <w:tc>
                <w:tcPr>
                  <w:tcW w:w="2419"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 w:hRule="atLeast"/>
                <w:jc w:val="center"/>
              </w:trPr>
              <w:tc>
                <w:tcPr>
                  <w:tcW w:w="1021" w:type="dxa"/>
                  <w:noWrap w:val="0"/>
                  <w:vAlign w:val="center"/>
                </w:tcPr>
                <w:p>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13</w:t>
                  </w:r>
                </w:p>
              </w:tc>
              <w:tc>
                <w:tcPr>
                  <w:tcW w:w="4161"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低臭氧管紫外线杀菌灯</w:t>
                  </w:r>
                </w:p>
              </w:tc>
              <w:tc>
                <w:tcPr>
                  <w:tcW w:w="2419" w:type="dxa"/>
                  <w:noWrap w:val="0"/>
                  <w:vAlign w:val="center"/>
                </w:tcPr>
                <w:p>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 w:hRule="atLeast"/>
                <w:jc w:val="center"/>
              </w:trPr>
              <w:tc>
                <w:tcPr>
                  <w:tcW w:w="1021" w:type="dxa"/>
                  <w:noWrap w:val="0"/>
                  <w:vAlign w:val="center"/>
                </w:tcPr>
                <w:p>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14</w:t>
                  </w:r>
                </w:p>
              </w:tc>
              <w:tc>
                <w:tcPr>
                  <w:tcW w:w="4161"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氧气瓶</w:t>
                  </w:r>
                </w:p>
              </w:tc>
              <w:tc>
                <w:tcPr>
                  <w:tcW w:w="2419" w:type="dxa"/>
                  <w:noWrap w:val="0"/>
                  <w:vAlign w:val="center"/>
                </w:tcPr>
                <w:p>
                  <w:pPr>
                    <w:jc w:val="center"/>
                    <w:rPr>
                      <w:rFonts w:hint="default" w:ascii="Times New Roman" w:hAnsi="Times New Roman" w:eastAsia="宋体" w:cs="Times New Roman"/>
                      <w:color w:val="auto"/>
                      <w:szCs w:val="21"/>
                      <w:lang w:eastAsia="zh-CN"/>
                    </w:rPr>
                  </w:pPr>
                  <w:r>
                    <w:rPr>
                      <w:rFonts w:hint="eastAsia" w:cs="Times New Roman"/>
                      <w:color w:val="auto"/>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 w:hRule="atLeast"/>
                <w:jc w:val="center"/>
              </w:trPr>
              <w:tc>
                <w:tcPr>
                  <w:tcW w:w="1021" w:type="dxa"/>
                  <w:noWrap w:val="0"/>
                  <w:vAlign w:val="center"/>
                </w:tcPr>
                <w:p>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15</w:t>
                  </w:r>
                </w:p>
              </w:tc>
              <w:tc>
                <w:tcPr>
                  <w:tcW w:w="4161"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妇科检查床</w:t>
                  </w:r>
                </w:p>
              </w:tc>
              <w:tc>
                <w:tcPr>
                  <w:tcW w:w="2419"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 w:hRule="atLeast"/>
                <w:jc w:val="center"/>
              </w:trPr>
              <w:tc>
                <w:tcPr>
                  <w:tcW w:w="1021" w:type="dxa"/>
                  <w:noWrap w:val="0"/>
                  <w:vAlign w:val="center"/>
                </w:tcPr>
                <w:p>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16</w:t>
                  </w:r>
                </w:p>
              </w:tc>
              <w:tc>
                <w:tcPr>
                  <w:tcW w:w="4161"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妇科检查器械</w:t>
                  </w:r>
                </w:p>
              </w:tc>
              <w:tc>
                <w:tcPr>
                  <w:tcW w:w="2419" w:type="dxa"/>
                  <w:noWrap w:val="0"/>
                  <w:vAlign w:val="center"/>
                </w:tcPr>
                <w:p>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w:t>
                  </w:r>
                </w:p>
              </w:tc>
            </w:tr>
          </w:tbl>
          <w:p>
            <w:pPr>
              <w:pStyle w:val="116"/>
              <w:ind w:firstLine="482"/>
              <w:rPr>
                <w:rFonts w:hint="default" w:ascii="Times New Roman" w:hAnsi="Times New Roman" w:cs="Times New Roman"/>
                <w:b/>
                <w:bCs/>
                <w:color w:val="auto"/>
                <w:sz w:val="21"/>
                <w:szCs w:val="21"/>
                <w:u w:val="single"/>
              </w:rPr>
            </w:pPr>
            <w:r>
              <w:rPr>
                <w:rFonts w:hint="default" w:ascii="Times New Roman" w:hAnsi="Times New Roman" w:cs="Times New Roman"/>
                <w:b/>
                <w:bCs/>
                <w:color w:val="auto"/>
                <w:sz w:val="21"/>
                <w:szCs w:val="21"/>
                <w:u w:val="single"/>
              </w:rPr>
              <w:t>注：本次的环境影响评价范围不包含本项目内相关放射性的设备。</w:t>
            </w:r>
          </w:p>
          <w:p>
            <w:pPr>
              <w:spacing w:line="348" w:lineRule="auto"/>
              <w:ind w:firstLine="514" w:firstLineChars="200"/>
              <w:rPr>
                <w:rFonts w:hint="default" w:ascii="Times New Roman" w:hAnsi="Times New Roman" w:cs="Times New Roman"/>
                <w:b/>
                <w:color w:val="auto"/>
                <w:spacing w:val="8"/>
                <w:sz w:val="24"/>
              </w:rPr>
            </w:pPr>
            <w:r>
              <w:rPr>
                <w:rFonts w:hint="default" w:ascii="Times New Roman" w:hAnsi="Times New Roman" w:cs="Times New Roman"/>
                <w:b/>
                <w:color w:val="auto"/>
                <w:spacing w:val="8"/>
                <w:sz w:val="24"/>
                <w:lang w:val="en-US" w:eastAsia="zh-CN"/>
              </w:rPr>
              <w:t>4</w:t>
            </w:r>
            <w:r>
              <w:rPr>
                <w:rFonts w:hint="default" w:ascii="Times New Roman" w:hAnsi="Times New Roman" w:cs="Times New Roman"/>
                <w:b/>
                <w:color w:val="auto"/>
                <w:spacing w:val="8"/>
                <w:sz w:val="24"/>
              </w:rPr>
              <w:t>、工作制度及劳动定员</w:t>
            </w:r>
          </w:p>
          <w:p>
            <w:pPr>
              <w:spacing w:line="348" w:lineRule="auto"/>
              <w:ind w:firstLine="512" w:firstLineChars="200"/>
              <w:rPr>
                <w:rFonts w:hint="default" w:ascii="Times New Roman" w:hAnsi="Times New Roman" w:cs="Times New Roman"/>
                <w:color w:val="auto"/>
                <w:spacing w:val="8"/>
                <w:sz w:val="24"/>
              </w:rPr>
            </w:pPr>
            <w:r>
              <w:rPr>
                <w:rFonts w:hint="default" w:ascii="Times New Roman" w:hAnsi="Times New Roman" w:cs="Times New Roman"/>
                <w:color w:val="auto"/>
                <w:spacing w:val="8"/>
                <w:sz w:val="24"/>
              </w:rPr>
              <w:t>项目</w:t>
            </w:r>
            <w:r>
              <w:rPr>
                <w:rFonts w:hint="default" w:ascii="Times New Roman" w:hAnsi="Times New Roman" w:cs="Times New Roman"/>
                <w:color w:val="auto"/>
                <w:spacing w:val="8"/>
                <w:sz w:val="24"/>
                <w:lang w:eastAsia="zh-CN"/>
              </w:rPr>
              <w:t>劳动定员共</w:t>
            </w:r>
            <w:r>
              <w:rPr>
                <w:rFonts w:hint="eastAsia" w:cs="Times New Roman"/>
                <w:color w:val="auto"/>
                <w:spacing w:val="8"/>
                <w:sz w:val="24"/>
                <w:lang w:val="en-US" w:eastAsia="zh-CN"/>
              </w:rPr>
              <w:t>50</w:t>
            </w:r>
            <w:r>
              <w:rPr>
                <w:rFonts w:hint="default" w:ascii="Times New Roman" w:hAnsi="Times New Roman" w:cs="Times New Roman"/>
                <w:color w:val="auto"/>
                <w:spacing w:val="8"/>
                <w:sz w:val="24"/>
                <w:lang w:eastAsia="zh-CN"/>
              </w:rPr>
              <w:t>人，其中医生</w:t>
            </w:r>
            <w:r>
              <w:rPr>
                <w:rFonts w:hint="eastAsia" w:cs="Times New Roman"/>
                <w:color w:val="auto"/>
                <w:spacing w:val="8"/>
                <w:sz w:val="24"/>
                <w:lang w:val="en-US" w:eastAsia="zh-CN"/>
              </w:rPr>
              <w:t>2</w:t>
            </w:r>
            <w:r>
              <w:rPr>
                <w:rFonts w:hint="default" w:ascii="Times New Roman" w:hAnsi="Times New Roman" w:cs="Times New Roman"/>
                <w:color w:val="auto"/>
                <w:spacing w:val="8"/>
                <w:sz w:val="24"/>
                <w:lang w:val="en-US" w:eastAsia="zh-CN"/>
              </w:rPr>
              <w:t>0</w:t>
            </w:r>
            <w:r>
              <w:rPr>
                <w:rFonts w:hint="default" w:ascii="Times New Roman" w:hAnsi="Times New Roman" w:cs="Times New Roman"/>
                <w:color w:val="auto"/>
                <w:spacing w:val="8"/>
                <w:sz w:val="24"/>
                <w:lang w:eastAsia="zh-CN"/>
              </w:rPr>
              <w:t>人、护士</w:t>
            </w:r>
            <w:r>
              <w:rPr>
                <w:rFonts w:hint="eastAsia" w:cs="Times New Roman"/>
                <w:color w:val="auto"/>
                <w:spacing w:val="8"/>
                <w:sz w:val="24"/>
                <w:lang w:val="en-US" w:eastAsia="zh-CN"/>
              </w:rPr>
              <w:t>30</w:t>
            </w:r>
            <w:r>
              <w:rPr>
                <w:rFonts w:hint="default" w:ascii="Times New Roman" w:hAnsi="Times New Roman" w:cs="Times New Roman"/>
                <w:color w:val="auto"/>
                <w:spacing w:val="8"/>
                <w:sz w:val="24"/>
                <w:lang w:eastAsia="zh-CN"/>
              </w:rPr>
              <w:t>人，年运营</w:t>
            </w:r>
            <w:r>
              <w:rPr>
                <w:rFonts w:hint="default" w:ascii="Times New Roman" w:hAnsi="Times New Roman" w:cs="Times New Roman"/>
                <w:color w:val="auto"/>
                <w:spacing w:val="8"/>
                <w:sz w:val="24"/>
                <w:lang w:val="en-US" w:eastAsia="zh-CN"/>
              </w:rPr>
              <w:t>365</w:t>
            </w:r>
            <w:r>
              <w:rPr>
                <w:rFonts w:hint="default" w:ascii="Times New Roman" w:hAnsi="Times New Roman" w:cs="Times New Roman"/>
                <w:color w:val="auto"/>
                <w:spacing w:val="8"/>
                <w:sz w:val="24"/>
              </w:rPr>
              <w:t>天，每人工作</w:t>
            </w:r>
            <w:r>
              <w:rPr>
                <w:rFonts w:hint="default" w:ascii="Times New Roman" w:hAnsi="Times New Roman" w:cs="Times New Roman"/>
                <w:color w:val="auto"/>
                <w:spacing w:val="8"/>
                <w:sz w:val="24"/>
                <w:lang w:val="en-US" w:eastAsia="zh-CN"/>
              </w:rPr>
              <w:t>8</w:t>
            </w:r>
            <w:r>
              <w:rPr>
                <w:rFonts w:hint="default" w:ascii="Times New Roman" w:hAnsi="Times New Roman" w:cs="Times New Roman"/>
                <w:color w:val="auto"/>
                <w:spacing w:val="8"/>
                <w:sz w:val="24"/>
              </w:rPr>
              <w:t>小时，</w:t>
            </w:r>
            <w:r>
              <w:rPr>
                <w:rFonts w:hint="default" w:ascii="Times New Roman" w:hAnsi="Times New Roman" w:cs="Times New Roman"/>
                <w:color w:val="auto"/>
                <w:spacing w:val="8"/>
                <w:sz w:val="24"/>
                <w:lang w:val="en-US" w:eastAsia="zh-CN"/>
              </w:rPr>
              <w:t>三</w:t>
            </w:r>
            <w:r>
              <w:rPr>
                <w:rFonts w:hint="default" w:ascii="Times New Roman" w:hAnsi="Times New Roman" w:cs="Times New Roman"/>
                <w:color w:val="auto"/>
                <w:spacing w:val="8"/>
                <w:sz w:val="24"/>
              </w:rPr>
              <w:t>班制。</w:t>
            </w:r>
          </w:p>
          <w:p>
            <w:pPr>
              <w:spacing w:line="348" w:lineRule="auto"/>
              <w:ind w:firstLine="514" w:firstLineChars="200"/>
              <w:rPr>
                <w:rFonts w:hint="default" w:ascii="Times New Roman" w:hAnsi="Times New Roman" w:eastAsia="宋体" w:cs="Times New Roman"/>
                <w:b/>
                <w:color w:val="auto"/>
                <w:spacing w:val="8"/>
                <w:sz w:val="24"/>
                <w:lang w:eastAsia="zh-CN"/>
              </w:rPr>
            </w:pPr>
            <w:r>
              <w:rPr>
                <w:rFonts w:hint="default" w:ascii="Times New Roman" w:hAnsi="Times New Roman" w:cs="Times New Roman"/>
                <w:b/>
                <w:color w:val="auto"/>
                <w:spacing w:val="8"/>
                <w:sz w:val="24"/>
              </w:rPr>
              <w:t>5、</w:t>
            </w:r>
            <w:r>
              <w:rPr>
                <w:rFonts w:hint="default" w:ascii="Times New Roman" w:hAnsi="Times New Roman" w:cs="Times New Roman"/>
                <w:b/>
                <w:color w:val="auto"/>
                <w:spacing w:val="8"/>
                <w:sz w:val="24"/>
                <w:lang w:eastAsia="zh-CN"/>
              </w:rPr>
              <w:t>公用工程</w:t>
            </w:r>
          </w:p>
          <w:p>
            <w:pPr>
              <w:spacing w:line="348" w:lineRule="auto"/>
              <w:ind w:firstLine="512" w:firstLineChars="200"/>
              <w:rPr>
                <w:rFonts w:hint="default" w:ascii="Times New Roman" w:hAnsi="Times New Roman" w:cs="Times New Roman"/>
                <w:color w:val="auto"/>
                <w:spacing w:val="8"/>
                <w:sz w:val="24"/>
                <w:lang w:eastAsia="zh-CN"/>
              </w:rPr>
            </w:pPr>
            <w:r>
              <w:rPr>
                <w:rFonts w:hint="default" w:ascii="Times New Roman" w:hAnsi="Times New Roman" w:cs="Times New Roman"/>
                <w:color w:val="auto"/>
                <w:spacing w:val="8"/>
                <w:sz w:val="24"/>
              </w:rPr>
              <w:t>（1）给水</w:t>
            </w:r>
            <w:r>
              <w:rPr>
                <w:rFonts w:hint="default" w:ascii="Times New Roman" w:hAnsi="Times New Roman" w:cs="Times New Roman"/>
                <w:color w:val="auto"/>
                <w:spacing w:val="8"/>
                <w:sz w:val="24"/>
                <w:lang w:eastAsia="zh-CN"/>
              </w:rPr>
              <w:t>工程</w:t>
            </w:r>
          </w:p>
          <w:p>
            <w:pPr>
              <w:pStyle w:val="84"/>
              <w:spacing w:line="360" w:lineRule="auto"/>
              <w:ind w:firstLine="480"/>
              <w:rPr>
                <w:rFonts w:hint="default" w:ascii="Times New Roman" w:hAnsi="Times New Roman" w:cs="Times New Roman"/>
                <w:color w:val="auto"/>
              </w:rPr>
            </w:pPr>
            <w:r>
              <w:rPr>
                <w:rFonts w:hint="default" w:ascii="Times New Roman" w:hAnsi="Times New Roman" w:cs="Times New Roman"/>
                <w:color w:val="auto"/>
                <w:spacing w:val="8"/>
                <w:sz w:val="24"/>
              </w:rPr>
              <w:t>项目用水由市政管网供水</w:t>
            </w:r>
            <w:r>
              <w:rPr>
                <w:rFonts w:hint="default" w:ascii="Times New Roman" w:hAnsi="Times New Roman" w:cs="Times New Roman"/>
                <w:color w:val="auto"/>
                <w:spacing w:val="8"/>
                <w:sz w:val="24"/>
                <w:lang w:eastAsia="zh-CN"/>
              </w:rPr>
              <w:t>，用水主要为</w:t>
            </w:r>
            <w:r>
              <w:rPr>
                <w:rFonts w:hint="default" w:ascii="Times New Roman" w:hAnsi="Times New Roman" w:cs="Times New Roman"/>
                <w:color w:val="auto"/>
              </w:rPr>
              <w:t>用水主要为门诊病人用水、住院病人生活用水及医务人员用水、食堂用水</w:t>
            </w:r>
            <w:r>
              <w:rPr>
                <w:rFonts w:hint="default" w:ascii="Times New Roman" w:hAnsi="Times New Roman" w:cs="Times New Roman"/>
                <w:color w:val="auto"/>
                <w:lang w:eastAsia="zh-CN"/>
              </w:rPr>
              <w:t>和洗衣房用水</w:t>
            </w:r>
            <w:r>
              <w:rPr>
                <w:rFonts w:hint="default" w:ascii="Times New Roman" w:hAnsi="Times New Roman" w:cs="Times New Roman"/>
                <w:color w:val="auto"/>
              </w:rPr>
              <w:t>，用水量</w:t>
            </w:r>
            <w:r>
              <w:rPr>
                <w:rFonts w:hint="default" w:ascii="Times New Roman" w:hAnsi="Times New Roman" w:cs="Times New Roman"/>
                <w:color w:val="auto"/>
                <w:highlight w:val="none"/>
              </w:rPr>
              <w:t>为</w:t>
            </w:r>
            <w:r>
              <w:rPr>
                <w:rFonts w:hint="eastAsia" w:cs="Times New Roman"/>
                <w:color w:val="auto"/>
                <w:highlight w:val="none"/>
                <w:lang w:val="en-US" w:eastAsia="zh-CN"/>
              </w:rPr>
              <w:t>43.88</w:t>
            </w:r>
            <w:r>
              <w:rPr>
                <w:rFonts w:hint="default" w:ascii="Times New Roman" w:hAnsi="Times New Roman" w:cs="Times New Roman"/>
                <w:color w:val="auto"/>
                <w:highlight w:val="none"/>
              </w:rPr>
              <w:t>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/d（</w:t>
            </w:r>
            <w:r>
              <w:rPr>
                <w:rFonts w:hint="eastAsia" w:cs="Times New Roman"/>
                <w:color w:val="auto"/>
                <w:highlight w:val="none"/>
                <w:lang w:val="en-US" w:eastAsia="zh-CN"/>
              </w:rPr>
              <w:t>16017</w:t>
            </w:r>
            <w:r>
              <w:rPr>
                <w:rFonts w:hint="default" w:ascii="Times New Roman" w:hAnsi="Times New Roman" w:cs="Times New Roman"/>
                <w:color w:val="auto"/>
                <w:highlight w:val="none"/>
              </w:rPr>
              <w:t>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/a）</w:t>
            </w:r>
            <w:r>
              <w:rPr>
                <w:rFonts w:hint="default" w:ascii="Times New Roman" w:hAnsi="Times New Roman" w:cs="Times New Roman"/>
                <w:color w:val="auto"/>
              </w:rPr>
              <w:t>。</w:t>
            </w:r>
          </w:p>
          <w:p>
            <w:pPr>
              <w:pStyle w:val="84"/>
              <w:spacing w:line="360" w:lineRule="auto"/>
              <w:ind w:firstLine="480"/>
              <w:rPr>
                <w:rFonts w:hint="default" w:ascii="Times New Roman" w:hAnsi="Times New Roman" w:eastAsia="宋体" w:cs="Times New Roman"/>
                <w:color w:val="auto"/>
                <w:lang w:val="en-US" w:eastAsia="zh-CN"/>
              </w:rPr>
            </w:pPr>
            <w:r>
              <w:rPr>
                <w:rFonts w:hint="default" w:ascii="Times New Roman" w:hAnsi="Times New Roman" w:cs="Times New Roman"/>
                <w:color w:val="auto"/>
              </w:rPr>
              <w:t>根据建设单位提供的资料并参照《综合医院建筑设计规范》（GB 51039-2014）表6.2.2医院用水定额、建筑给水排水设计规范（GB 50015-2003）中表3.1.10核算该项目用水量。因本项目是</w:t>
            </w:r>
            <w:r>
              <w:rPr>
                <w:rFonts w:hint="default" w:ascii="Times New Roman" w:hAnsi="Times New Roman" w:cs="Times New Roman"/>
                <w:bCs w:val="0"/>
                <w:color w:val="auto"/>
                <w:lang w:eastAsia="zh-CN"/>
              </w:rPr>
              <w:t>社区卫生服务中心</w:t>
            </w:r>
            <w:r>
              <w:rPr>
                <w:rFonts w:hint="default" w:ascii="Times New Roman" w:hAnsi="Times New Roman" w:cs="Times New Roman"/>
                <w:color w:val="auto"/>
              </w:rPr>
              <w:t>用水量较少，所以本项目的用水定额取下限值，本项目建成后每</w:t>
            </w:r>
            <w:r>
              <w:rPr>
                <w:rFonts w:hint="default" w:ascii="Times New Roman" w:hAnsi="Times New Roman" w:cs="Times New Roman"/>
                <w:color w:val="auto"/>
                <w:lang w:eastAsia="zh-CN"/>
              </w:rPr>
              <w:t>年</w:t>
            </w:r>
            <w:r>
              <w:rPr>
                <w:rFonts w:hint="default" w:ascii="Times New Roman" w:hAnsi="Times New Roman" w:cs="Times New Roman"/>
                <w:color w:val="auto"/>
              </w:rPr>
              <w:t>接待患者约</w:t>
            </w:r>
            <w:r>
              <w:rPr>
                <w:rFonts w:hint="eastAsia" w:cs="Times New Roman"/>
                <w:color w:val="auto"/>
                <w:lang w:val="en-US" w:eastAsia="zh-CN"/>
              </w:rPr>
              <w:t>3000</w:t>
            </w:r>
            <w:r>
              <w:rPr>
                <w:rFonts w:hint="default" w:ascii="Times New Roman" w:hAnsi="Times New Roman" w:cs="Times New Roman"/>
                <w:color w:val="auto"/>
              </w:rPr>
              <w:t>人次，按10L/人·次计，则门诊病人用水约</w:t>
            </w:r>
            <w:r>
              <w:rPr>
                <w:rFonts w:hint="eastAsia" w:cs="Times New Roman"/>
                <w:color w:val="auto"/>
                <w:lang w:val="en-US" w:eastAsia="zh-CN"/>
              </w:rPr>
              <w:t>30</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/a；本项目设病床</w:t>
            </w:r>
            <w:r>
              <w:rPr>
                <w:rFonts w:hint="eastAsia" w:cs="Times New Roman"/>
                <w:color w:val="auto"/>
                <w:lang w:val="en-US" w:eastAsia="zh-CN"/>
              </w:rPr>
              <w:t>90</w:t>
            </w:r>
            <w:r>
              <w:rPr>
                <w:rFonts w:hint="default" w:ascii="Times New Roman" w:hAnsi="Times New Roman" w:cs="Times New Roman"/>
                <w:color w:val="auto"/>
              </w:rPr>
              <w:t>张，设施标准为病房设独立卫生间，用水按250L/床·天计，则住院病人生活用水约</w:t>
            </w:r>
            <w:r>
              <w:rPr>
                <w:rFonts w:hint="eastAsia" w:cs="Times New Roman"/>
                <w:color w:val="auto"/>
                <w:lang w:val="en-US" w:eastAsia="zh-CN"/>
              </w:rPr>
              <w:t>22.5</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/d（</w:t>
            </w:r>
            <w:r>
              <w:rPr>
                <w:rFonts w:hint="eastAsia" w:cs="Times New Roman"/>
                <w:color w:val="auto"/>
                <w:lang w:val="en-US" w:eastAsia="zh-CN"/>
              </w:rPr>
              <w:t>8212.5</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/a）；本项目拟聘职工</w:t>
            </w:r>
            <w:r>
              <w:rPr>
                <w:rFonts w:hint="eastAsia" w:cs="Times New Roman"/>
                <w:color w:val="auto"/>
                <w:lang w:val="en-US" w:eastAsia="zh-CN"/>
              </w:rPr>
              <w:t>50</w:t>
            </w:r>
            <w:r>
              <w:rPr>
                <w:rFonts w:hint="default" w:ascii="Times New Roman" w:hAnsi="Times New Roman" w:cs="Times New Roman"/>
                <w:color w:val="auto"/>
              </w:rPr>
              <w:t>人（每人平均每天值班1班），用水按150L/人·班计，则医务人员用水约</w:t>
            </w:r>
            <w:r>
              <w:rPr>
                <w:rFonts w:hint="eastAsia" w:cs="Times New Roman"/>
                <w:color w:val="auto"/>
                <w:lang w:val="en-US" w:eastAsia="zh-CN"/>
              </w:rPr>
              <w:t>7.5</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/d（</w:t>
            </w:r>
            <w:r>
              <w:rPr>
                <w:rFonts w:hint="eastAsia" w:cs="Times New Roman"/>
                <w:color w:val="auto"/>
                <w:lang w:val="en-US" w:eastAsia="zh-CN"/>
              </w:rPr>
              <w:t>2737.5</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/a）；食堂</w:t>
            </w:r>
            <w:r>
              <w:rPr>
                <w:rFonts w:hint="default" w:ascii="Times New Roman" w:hAnsi="Times New Roman" w:cs="Times New Roman"/>
                <w:color w:val="auto"/>
                <w:lang w:eastAsia="zh-CN"/>
              </w:rPr>
              <w:t>就餐人数按</w:t>
            </w:r>
            <w:r>
              <w:rPr>
                <w:rFonts w:hint="eastAsia" w:cs="Times New Roman"/>
                <w:color w:val="auto"/>
                <w:lang w:val="en-US" w:eastAsia="zh-CN"/>
              </w:rPr>
              <w:t>50</w:t>
            </w:r>
            <w:r>
              <w:rPr>
                <w:rFonts w:hint="default" w:ascii="Times New Roman" w:hAnsi="Times New Roman" w:cs="Times New Roman"/>
                <w:color w:val="auto"/>
              </w:rPr>
              <w:t>人次计，用水按20L/人·次计，</w:t>
            </w:r>
            <w:r>
              <w:rPr>
                <w:rFonts w:hint="eastAsia" w:cs="Times New Roman"/>
                <w:color w:val="auto"/>
                <w:lang w:eastAsia="zh-CN"/>
              </w:rPr>
              <w:t>按三餐计，</w:t>
            </w:r>
            <w:r>
              <w:rPr>
                <w:rFonts w:hint="default" w:ascii="Times New Roman" w:hAnsi="Times New Roman" w:cs="Times New Roman"/>
                <w:color w:val="auto"/>
              </w:rPr>
              <w:t>则食堂用水约</w:t>
            </w:r>
            <w:r>
              <w:rPr>
                <w:rFonts w:hint="eastAsia" w:cs="Times New Roman"/>
                <w:color w:val="auto"/>
                <w:lang w:val="en-US" w:eastAsia="zh-CN"/>
              </w:rPr>
              <w:t>3</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/d（</w:t>
            </w:r>
            <w:r>
              <w:rPr>
                <w:rFonts w:hint="eastAsia" w:cs="Times New Roman"/>
                <w:color w:val="auto"/>
                <w:lang w:val="en-US" w:eastAsia="zh-CN"/>
              </w:rPr>
              <w:t>1095</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/a）</w:t>
            </w:r>
            <w:r>
              <w:rPr>
                <w:rFonts w:hint="default" w:ascii="Times New Roman" w:hAnsi="Times New Roman" w:cs="Times New Roman"/>
                <w:color w:val="auto"/>
                <w:lang w:eastAsia="zh-CN"/>
              </w:rPr>
              <w:t>；洗衣房用水按</w:t>
            </w:r>
            <w:r>
              <w:rPr>
                <w:rFonts w:hint="default" w:ascii="Times New Roman" w:hAnsi="Times New Roman" w:cs="Times New Roman"/>
                <w:color w:val="auto"/>
                <w:lang w:val="en-US" w:eastAsia="zh-CN"/>
              </w:rPr>
              <w:t>60L/kg计，医院洗衣量一般为2kg/床</w:t>
            </w:r>
            <w:r>
              <w:rPr>
                <w:rFonts w:hint="default" w:ascii="Times New Roman" w:hAnsi="Times New Roman" w:cs="Times New Roman"/>
                <w:color w:val="auto"/>
              </w:rPr>
              <w:t>·</w:t>
            </w:r>
            <w:r>
              <w:rPr>
                <w:rFonts w:hint="default" w:ascii="Times New Roman" w:hAnsi="Times New Roman" w:cs="Times New Roman"/>
                <w:color w:val="auto"/>
                <w:lang w:val="en-US" w:eastAsia="zh-CN"/>
              </w:rPr>
              <w:t>天，则洗衣房用水约</w:t>
            </w:r>
            <w:r>
              <w:rPr>
                <w:rFonts w:hint="eastAsia" w:cs="Times New Roman"/>
                <w:color w:val="auto"/>
                <w:lang w:val="en-US" w:eastAsia="zh-CN"/>
              </w:rPr>
              <w:t>10.8</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/d（</w:t>
            </w:r>
            <w:r>
              <w:rPr>
                <w:rFonts w:hint="eastAsia" w:cs="Times New Roman"/>
                <w:color w:val="auto"/>
                <w:lang w:val="en-US" w:eastAsia="zh-CN"/>
              </w:rPr>
              <w:t>3942</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/a）</w:t>
            </w:r>
            <w:r>
              <w:rPr>
                <w:rFonts w:hint="default" w:ascii="Times New Roman" w:hAnsi="Times New Roman" w:cs="Times New Roman"/>
                <w:color w:val="auto"/>
                <w:lang w:eastAsia="zh-CN"/>
              </w:rPr>
              <w:t>。</w:t>
            </w:r>
          </w:p>
          <w:p>
            <w:pPr>
              <w:spacing w:line="348" w:lineRule="auto"/>
              <w:ind w:firstLine="512" w:firstLineChars="200"/>
              <w:rPr>
                <w:rFonts w:hint="default" w:ascii="Times New Roman" w:hAnsi="Times New Roman" w:eastAsia="宋体" w:cs="Times New Roman"/>
                <w:color w:val="auto"/>
                <w:spacing w:val="8"/>
                <w:sz w:val="24"/>
                <w:lang w:eastAsia="zh-CN"/>
              </w:rPr>
            </w:pPr>
            <w:r>
              <w:rPr>
                <w:rFonts w:hint="default" w:ascii="Times New Roman" w:hAnsi="Times New Roman" w:cs="Times New Roman"/>
                <w:color w:val="auto"/>
                <w:spacing w:val="8"/>
                <w:sz w:val="24"/>
              </w:rPr>
              <w:t>（2）排水</w:t>
            </w:r>
            <w:r>
              <w:rPr>
                <w:rFonts w:hint="default" w:ascii="Times New Roman" w:hAnsi="Times New Roman" w:cs="Times New Roman"/>
                <w:color w:val="auto"/>
                <w:spacing w:val="8"/>
                <w:sz w:val="24"/>
                <w:lang w:eastAsia="zh-CN"/>
              </w:rPr>
              <w:t>工程</w:t>
            </w:r>
          </w:p>
          <w:p>
            <w:pPr>
              <w:spacing w:line="348" w:lineRule="auto"/>
              <w:ind w:firstLine="512" w:firstLineChars="200"/>
              <w:rPr>
                <w:rFonts w:hint="default" w:ascii="Times New Roman" w:hAnsi="Times New Roman" w:cs="Times New Roman"/>
                <w:color w:val="auto"/>
                <w:spacing w:val="8"/>
                <w:sz w:val="24"/>
                <w:lang w:val="en-US" w:eastAsia="zh-CN"/>
              </w:rPr>
            </w:pPr>
            <w:r>
              <w:rPr>
                <w:rFonts w:hint="default" w:ascii="Times New Roman" w:hAnsi="Times New Roman" w:cs="Times New Roman"/>
                <w:color w:val="auto"/>
                <w:spacing w:val="8"/>
                <w:sz w:val="24"/>
                <w:lang w:eastAsia="zh-CN"/>
              </w:rPr>
              <w:t>医疗废水、</w:t>
            </w:r>
            <w:r>
              <w:rPr>
                <w:rFonts w:hint="default" w:ascii="Times New Roman" w:hAnsi="Times New Roman" w:cs="Times New Roman"/>
                <w:color w:val="auto"/>
                <w:spacing w:val="8"/>
                <w:sz w:val="24"/>
              </w:rPr>
              <w:t>生活污水</w:t>
            </w:r>
            <w:r>
              <w:rPr>
                <w:rFonts w:hint="eastAsia" w:cs="Times New Roman"/>
                <w:color w:val="auto"/>
                <w:spacing w:val="8"/>
                <w:sz w:val="24"/>
                <w:lang w:eastAsia="zh-CN"/>
              </w:rPr>
              <w:t>、洗衣房废水</w:t>
            </w:r>
            <w:r>
              <w:rPr>
                <w:rFonts w:hint="default" w:ascii="Times New Roman" w:hAnsi="Times New Roman" w:cs="Times New Roman"/>
                <w:color w:val="auto"/>
                <w:spacing w:val="8"/>
                <w:sz w:val="24"/>
              </w:rPr>
              <w:t>经污水处理设施处理达</w:t>
            </w:r>
            <w:r>
              <w:rPr>
                <w:rFonts w:hint="default" w:ascii="Times New Roman" w:hAnsi="Times New Roman" w:cs="Times New Roman"/>
                <w:color w:val="auto"/>
                <w:spacing w:val="8"/>
                <w:sz w:val="24"/>
                <w:highlight w:val="none"/>
                <w:lang w:eastAsia="zh-CN"/>
              </w:rPr>
              <w:t>《城市污水再生利用</w:t>
            </w:r>
            <w:r>
              <w:rPr>
                <w:rFonts w:hint="default" w:ascii="Times New Roman" w:hAnsi="Times New Roman" w:cs="Times New Roman"/>
                <w:color w:val="auto"/>
                <w:spacing w:val="8"/>
                <w:sz w:val="24"/>
                <w:highlight w:val="none"/>
                <w:lang w:val="en-US" w:eastAsia="zh-CN"/>
              </w:rPr>
              <w:t xml:space="preserve"> 城市杂用水水质》（GB/T18920-2002）</w:t>
            </w:r>
            <w:r>
              <w:rPr>
                <w:rFonts w:hint="default" w:ascii="Times New Roman" w:hAnsi="Times New Roman" w:cs="Times New Roman"/>
                <w:color w:val="auto"/>
                <w:spacing w:val="8"/>
                <w:sz w:val="24"/>
                <w:lang w:val="en-US" w:eastAsia="zh-CN"/>
              </w:rPr>
              <w:t>中“城市绿化”标准后回用项目周边绿化用水；远期经污水处理设施处理达</w:t>
            </w:r>
            <w:r>
              <w:rPr>
                <w:rFonts w:hint="default" w:ascii="Times New Roman" w:hAnsi="Times New Roman" w:cs="Times New Roman"/>
                <w:color w:val="auto"/>
                <w:spacing w:val="8"/>
                <w:sz w:val="24"/>
              </w:rPr>
              <w:t>《医疗机构水污染物排放标准》（GB18466-2005）综合医疗机构水污染物排放限值（日均值）预处理标准后</w:t>
            </w:r>
            <w:r>
              <w:rPr>
                <w:rFonts w:hint="default" w:ascii="Times New Roman" w:hAnsi="Times New Roman" w:cs="Times New Roman"/>
                <w:color w:val="auto"/>
                <w:spacing w:val="8"/>
                <w:sz w:val="24"/>
                <w:lang w:eastAsia="zh-CN"/>
              </w:rPr>
              <w:t>排入揭东区污水处理厂处理</w:t>
            </w:r>
            <w:r>
              <w:rPr>
                <w:rFonts w:hint="default" w:ascii="Times New Roman" w:hAnsi="Times New Roman" w:cs="Times New Roman"/>
                <w:color w:val="auto"/>
                <w:spacing w:val="8"/>
                <w:sz w:val="24"/>
              </w:rPr>
              <w:t>。本项目用水、排水情况</w:t>
            </w:r>
            <w:r>
              <w:rPr>
                <w:rFonts w:hint="default" w:ascii="Times New Roman" w:hAnsi="Times New Roman" w:cs="Times New Roman"/>
                <w:color w:val="auto"/>
                <w:spacing w:val="8"/>
                <w:sz w:val="24"/>
                <w:lang w:eastAsia="zh-CN"/>
              </w:rPr>
              <w:t>见</w:t>
            </w:r>
            <w:r>
              <w:rPr>
                <w:rFonts w:hint="default" w:ascii="Times New Roman" w:hAnsi="Times New Roman" w:cs="Times New Roman"/>
                <w:color w:val="auto"/>
                <w:spacing w:val="8"/>
                <w:sz w:val="24"/>
              </w:rPr>
              <w:t>表</w:t>
            </w:r>
            <w:r>
              <w:rPr>
                <w:rFonts w:hint="default" w:ascii="Times New Roman" w:hAnsi="Times New Roman" w:cs="Times New Roman"/>
                <w:color w:val="auto"/>
                <w:spacing w:val="8"/>
                <w:sz w:val="24"/>
                <w:lang w:val="en-US" w:eastAsia="zh-CN"/>
              </w:rPr>
              <w:t>1-5。</w:t>
            </w:r>
          </w:p>
          <w:p>
            <w:pPr>
              <w:pStyle w:val="117"/>
              <w:rPr>
                <w:rFonts w:hint="default" w:ascii="Times New Roman" w:hAnsi="Times New Roman" w:cs="Times New Roman"/>
                <w:color w:val="auto"/>
              </w:rPr>
            </w:pPr>
            <w:r>
              <w:rPr>
                <w:rFonts w:hint="default" w:ascii="Times New Roman" w:hAnsi="Times New Roman" w:cs="Times New Roman"/>
                <w:color w:val="auto"/>
              </w:rPr>
              <w:t>表1-</w:t>
            </w:r>
            <w:r>
              <w:rPr>
                <w:rFonts w:hint="default" w:ascii="Times New Roman" w:hAnsi="Times New Roman" w:cs="Times New Roman"/>
                <w:color w:val="auto"/>
                <w:lang w:val="en-US" w:eastAsia="zh-CN"/>
              </w:rPr>
              <w:t>5</w:t>
            </w:r>
            <w:r>
              <w:rPr>
                <w:rFonts w:hint="default" w:ascii="Times New Roman" w:hAnsi="Times New Roman" w:cs="Times New Roman"/>
                <w:color w:val="auto"/>
              </w:rPr>
              <w:t xml:space="preserve">  本项目用水、排水情况一览表</w:t>
            </w:r>
          </w:p>
          <w:tbl>
            <w:tblPr>
              <w:tblStyle w:val="31"/>
              <w:tblW w:w="8892" w:type="dxa"/>
              <w:jc w:val="center"/>
              <w:tblInd w:w="-2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11"/>
              <w:gridCol w:w="2025"/>
              <w:gridCol w:w="1350"/>
              <w:gridCol w:w="1127"/>
              <w:gridCol w:w="813"/>
              <w:gridCol w:w="1045"/>
              <w:gridCol w:w="795"/>
              <w:gridCol w:w="10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711" w:type="dxa"/>
                  <w:vMerge w:val="restart"/>
                  <w:vAlign w:val="center"/>
                </w:tcPr>
                <w:p>
                  <w:pPr>
                    <w:pStyle w:val="118"/>
                    <w:rPr>
                      <w:rFonts w:hint="default" w:ascii="Times New Roman" w:hAnsi="Times New Roman" w:cs="Times New Roman"/>
                      <w:b/>
                      <w:bCs/>
                      <w:color w:val="auto"/>
                    </w:rPr>
                  </w:pPr>
                  <w:r>
                    <w:rPr>
                      <w:rFonts w:hint="default" w:ascii="Times New Roman" w:hAnsi="Times New Roman" w:cs="Times New Roman"/>
                      <w:b/>
                      <w:bCs/>
                      <w:color w:val="auto"/>
                    </w:rPr>
                    <w:t>序号</w:t>
                  </w:r>
                </w:p>
              </w:tc>
              <w:tc>
                <w:tcPr>
                  <w:tcW w:w="2025" w:type="dxa"/>
                  <w:vMerge w:val="restart"/>
                  <w:vAlign w:val="center"/>
                </w:tcPr>
                <w:p>
                  <w:pPr>
                    <w:pStyle w:val="118"/>
                    <w:rPr>
                      <w:rFonts w:hint="default" w:ascii="Times New Roman" w:hAnsi="Times New Roman" w:cs="Times New Roman"/>
                      <w:b/>
                      <w:bCs/>
                      <w:color w:val="auto"/>
                    </w:rPr>
                  </w:pPr>
                  <w:r>
                    <w:rPr>
                      <w:rFonts w:hint="default" w:ascii="Times New Roman" w:hAnsi="Times New Roman" w:cs="Times New Roman"/>
                      <w:b/>
                      <w:bCs/>
                      <w:color w:val="auto"/>
                    </w:rPr>
                    <w:t>用水类别</w:t>
                  </w:r>
                </w:p>
              </w:tc>
              <w:tc>
                <w:tcPr>
                  <w:tcW w:w="1350" w:type="dxa"/>
                  <w:vMerge w:val="restart"/>
                  <w:vAlign w:val="center"/>
                </w:tcPr>
                <w:p>
                  <w:pPr>
                    <w:pStyle w:val="118"/>
                    <w:rPr>
                      <w:rFonts w:hint="default" w:ascii="Times New Roman" w:hAnsi="Times New Roman" w:cs="Times New Roman"/>
                      <w:b/>
                      <w:bCs/>
                      <w:color w:val="auto"/>
                    </w:rPr>
                  </w:pPr>
                  <w:r>
                    <w:rPr>
                      <w:rFonts w:hint="default" w:ascii="Times New Roman" w:hAnsi="Times New Roman" w:cs="Times New Roman"/>
                      <w:b/>
                      <w:bCs/>
                      <w:color w:val="auto"/>
                    </w:rPr>
                    <w:t>用水系数</w:t>
                  </w:r>
                </w:p>
              </w:tc>
              <w:tc>
                <w:tcPr>
                  <w:tcW w:w="1127" w:type="dxa"/>
                  <w:vMerge w:val="restart"/>
                  <w:vAlign w:val="center"/>
                </w:tcPr>
                <w:p>
                  <w:pPr>
                    <w:pStyle w:val="118"/>
                    <w:rPr>
                      <w:rFonts w:hint="default" w:ascii="Times New Roman" w:hAnsi="Times New Roman" w:cs="Times New Roman"/>
                      <w:b/>
                      <w:bCs/>
                      <w:color w:val="auto"/>
                    </w:rPr>
                  </w:pPr>
                  <w:r>
                    <w:rPr>
                      <w:rFonts w:hint="default" w:ascii="Times New Roman" w:hAnsi="Times New Roman" w:cs="Times New Roman"/>
                      <w:b/>
                      <w:bCs/>
                      <w:color w:val="auto"/>
                    </w:rPr>
                    <w:t>用水单位数</w:t>
                  </w:r>
                </w:p>
              </w:tc>
              <w:tc>
                <w:tcPr>
                  <w:tcW w:w="1858" w:type="dxa"/>
                  <w:gridSpan w:val="2"/>
                  <w:tcBorders>
                    <w:bottom w:val="single" w:color="auto" w:sz="4" w:space="0"/>
                  </w:tcBorders>
                  <w:vAlign w:val="center"/>
                </w:tcPr>
                <w:p>
                  <w:pPr>
                    <w:pStyle w:val="118"/>
                    <w:rPr>
                      <w:rFonts w:hint="default" w:ascii="Times New Roman" w:hAnsi="Times New Roman" w:cs="Times New Roman"/>
                      <w:b/>
                      <w:bCs/>
                      <w:color w:val="auto"/>
                    </w:rPr>
                  </w:pPr>
                  <w:r>
                    <w:rPr>
                      <w:rFonts w:hint="default" w:ascii="Times New Roman" w:hAnsi="Times New Roman" w:cs="Times New Roman"/>
                      <w:b/>
                      <w:bCs/>
                      <w:color w:val="auto"/>
                    </w:rPr>
                    <w:t>用水量</w:t>
                  </w:r>
                </w:p>
              </w:tc>
              <w:tc>
                <w:tcPr>
                  <w:tcW w:w="1821" w:type="dxa"/>
                  <w:gridSpan w:val="2"/>
                  <w:tcBorders>
                    <w:bottom w:val="single" w:color="auto" w:sz="4" w:space="0"/>
                  </w:tcBorders>
                  <w:vAlign w:val="center"/>
                </w:tcPr>
                <w:p>
                  <w:pPr>
                    <w:pStyle w:val="118"/>
                    <w:rPr>
                      <w:rFonts w:hint="default" w:ascii="Times New Roman" w:hAnsi="Times New Roman" w:cs="Times New Roman"/>
                      <w:b/>
                      <w:bCs/>
                      <w:color w:val="auto"/>
                    </w:rPr>
                  </w:pPr>
                  <w:r>
                    <w:rPr>
                      <w:rFonts w:hint="default" w:ascii="Times New Roman" w:hAnsi="Times New Roman" w:cs="Times New Roman"/>
                      <w:b/>
                      <w:bCs/>
                      <w:color w:val="auto"/>
                    </w:rPr>
                    <w:t>排水量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711" w:type="dxa"/>
                  <w:vMerge w:val="continue"/>
                  <w:vAlign w:val="center"/>
                </w:tcPr>
                <w:p>
                  <w:pPr>
                    <w:pStyle w:val="118"/>
                    <w:rPr>
                      <w:rFonts w:hint="default" w:ascii="Times New Roman" w:hAnsi="Times New Roman" w:cs="Times New Roman"/>
                      <w:b/>
                      <w:bCs/>
                      <w:color w:val="auto"/>
                    </w:rPr>
                  </w:pPr>
                </w:p>
              </w:tc>
              <w:tc>
                <w:tcPr>
                  <w:tcW w:w="2025" w:type="dxa"/>
                  <w:vMerge w:val="continue"/>
                  <w:vAlign w:val="center"/>
                </w:tcPr>
                <w:p>
                  <w:pPr>
                    <w:pStyle w:val="118"/>
                    <w:rPr>
                      <w:rFonts w:hint="default" w:ascii="Times New Roman" w:hAnsi="Times New Roman" w:cs="Times New Roman"/>
                      <w:b/>
                      <w:bCs/>
                      <w:color w:val="auto"/>
                    </w:rPr>
                  </w:pPr>
                </w:p>
              </w:tc>
              <w:tc>
                <w:tcPr>
                  <w:tcW w:w="1350" w:type="dxa"/>
                  <w:vMerge w:val="continue"/>
                  <w:vAlign w:val="center"/>
                </w:tcPr>
                <w:p>
                  <w:pPr>
                    <w:pStyle w:val="118"/>
                    <w:rPr>
                      <w:rFonts w:hint="default" w:ascii="Times New Roman" w:hAnsi="Times New Roman" w:cs="Times New Roman"/>
                      <w:b/>
                      <w:bCs/>
                      <w:color w:val="auto"/>
                    </w:rPr>
                  </w:pPr>
                </w:p>
              </w:tc>
              <w:tc>
                <w:tcPr>
                  <w:tcW w:w="1127" w:type="dxa"/>
                  <w:vMerge w:val="continue"/>
                  <w:vAlign w:val="center"/>
                </w:tcPr>
                <w:p>
                  <w:pPr>
                    <w:pStyle w:val="118"/>
                    <w:rPr>
                      <w:rFonts w:hint="default" w:ascii="Times New Roman" w:hAnsi="Times New Roman" w:cs="Times New Roman"/>
                      <w:b/>
                      <w:bCs/>
                      <w:color w:val="auto"/>
                    </w:rPr>
                  </w:pPr>
                </w:p>
              </w:tc>
              <w:tc>
                <w:tcPr>
                  <w:tcW w:w="813" w:type="dxa"/>
                  <w:tcBorders>
                    <w:top w:val="single" w:color="auto" w:sz="4" w:space="0"/>
                    <w:right w:val="single" w:color="auto" w:sz="4" w:space="0"/>
                  </w:tcBorders>
                  <w:vAlign w:val="center"/>
                </w:tcPr>
                <w:p>
                  <w:pPr>
                    <w:pStyle w:val="118"/>
                    <w:rPr>
                      <w:rFonts w:hint="default" w:ascii="Times New Roman" w:hAnsi="Times New Roman" w:cs="Times New Roman"/>
                      <w:b/>
                      <w:bCs/>
                      <w:color w:val="auto"/>
                    </w:rPr>
                  </w:pPr>
                  <w:r>
                    <w:rPr>
                      <w:rFonts w:hint="default" w:ascii="Times New Roman" w:hAnsi="Times New Roman" w:cs="Times New Roman"/>
                      <w:b/>
                      <w:bCs/>
                      <w:color w:val="auto"/>
                    </w:rPr>
                    <w:t>m</w:t>
                  </w:r>
                  <w:r>
                    <w:rPr>
                      <w:rFonts w:hint="default" w:ascii="Times New Roman" w:hAnsi="Times New Roman" w:cs="Times New Roman"/>
                      <w:b/>
                      <w:bCs/>
                      <w:color w:val="auto"/>
                      <w:vertAlign w:val="superscript"/>
                    </w:rPr>
                    <w:t>3</w:t>
                  </w:r>
                  <w:r>
                    <w:rPr>
                      <w:rFonts w:hint="default" w:ascii="Times New Roman" w:hAnsi="Times New Roman" w:cs="Times New Roman"/>
                      <w:b/>
                      <w:bCs/>
                      <w:color w:val="auto"/>
                    </w:rPr>
                    <w:t>/d</w:t>
                  </w:r>
                </w:p>
              </w:tc>
              <w:tc>
                <w:tcPr>
                  <w:tcW w:w="1045" w:type="dxa"/>
                  <w:tcBorders>
                    <w:top w:val="single" w:color="auto" w:sz="4" w:space="0"/>
                    <w:left w:val="single" w:color="auto" w:sz="4" w:space="0"/>
                  </w:tcBorders>
                  <w:vAlign w:val="center"/>
                </w:tcPr>
                <w:p>
                  <w:pPr>
                    <w:pStyle w:val="118"/>
                    <w:rPr>
                      <w:rFonts w:hint="default" w:ascii="Times New Roman" w:hAnsi="Times New Roman" w:cs="Times New Roman"/>
                      <w:b/>
                      <w:bCs/>
                      <w:color w:val="auto"/>
                    </w:rPr>
                  </w:pPr>
                  <w:r>
                    <w:rPr>
                      <w:rFonts w:hint="default" w:ascii="Times New Roman" w:hAnsi="Times New Roman" w:cs="Times New Roman"/>
                      <w:b/>
                      <w:bCs/>
                      <w:color w:val="auto"/>
                    </w:rPr>
                    <w:t>m</w:t>
                  </w:r>
                  <w:r>
                    <w:rPr>
                      <w:rFonts w:hint="default" w:ascii="Times New Roman" w:hAnsi="Times New Roman" w:cs="Times New Roman"/>
                      <w:b/>
                      <w:bCs/>
                      <w:color w:val="auto"/>
                      <w:vertAlign w:val="superscript"/>
                    </w:rPr>
                    <w:t>3</w:t>
                  </w:r>
                  <w:r>
                    <w:rPr>
                      <w:rFonts w:hint="default" w:ascii="Times New Roman" w:hAnsi="Times New Roman" w:cs="Times New Roman"/>
                      <w:b/>
                      <w:bCs/>
                      <w:color w:val="auto"/>
                    </w:rPr>
                    <w:t>/a</w:t>
                  </w:r>
                </w:p>
              </w:tc>
              <w:tc>
                <w:tcPr>
                  <w:tcW w:w="795" w:type="dxa"/>
                  <w:tcBorders>
                    <w:top w:val="single" w:color="auto" w:sz="4" w:space="0"/>
                    <w:right w:val="single" w:color="auto" w:sz="4" w:space="0"/>
                  </w:tcBorders>
                  <w:vAlign w:val="center"/>
                </w:tcPr>
                <w:p>
                  <w:pPr>
                    <w:pStyle w:val="118"/>
                    <w:rPr>
                      <w:rFonts w:hint="default" w:ascii="Times New Roman" w:hAnsi="Times New Roman" w:cs="Times New Roman"/>
                      <w:b/>
                      <w:bCs/>
                      <w:color w:val="auto"/>
                    </w:rPr>
                  </w:pPr>
                  <w:r>
                    <w:rPr>
                      <w:rFonts w:hint="default" w:ascii="Times New Roman" w:hAnsi="Times New Roman" w:cs="Times New Roman"/>
                      <w:b/>
                      <w:bCs/>
                      <w:color w:val="auto"/>
                    </w:rPr>
                    <w:t>m</w:t>
                  </w:r>
                  <w:r>
                    <w:rPr>
                      <w:rFonts w:hint="default" w:ascii="Times New Roman" w:hAnsi="Times New Roman" w:cs="Times New Roman"/>
                      <w:b/>
                      <w:bCs/>
                      <w:color w:val="auto"/>
                      <w:vertAlign w:val="superscript"/>
                    </w:rPr>
                    <w:t>3</w:t>
                  </w:r>
                  <w:r>
                    <w:rPr>
                      <w:rFonts w:hint="default" w:ascii="Times New Roman" w:hAnsi="Times New Roman" w:cs="Times New Roman"/>
                      <w:b/>
                      <w:bCs/>
                      <w:color w:val="auto"/>
                    </w:rPr>
                    <w:t>/d</w:t>
                  </w:r>
                </w:p>
              </w:tc>
              <w:tc>
                <w:tcPr>
                  <w:tcW w:w="1026" w:type="dxa"/>
                  <w:tcBorders>
                    <w:top w:val="single" w:color="auto" w:sz="4" w:space="0"/>
                    <w:left w:val="single" w:color="auto" w:sz="4" w:space="0"/>
                  </w:tcBorders>
                  <w:vAlign w:val="center"/>
                </w:tcPr>
                <w:p>
                  <w:pPr>
                    <w:pStyle w:val="118"/>
                    <w:rPr>
                      <w:rFonts w:hint="default" w:ascii="Times New Roman" w:hAnsi="Times New Roman" w:cs="Times New Roman"/>
                      <w:b/>
                      <w:bCs/>
                      <w:color w:val="auto"/>
                    </w:rPr>
                  </w:pPr>
                  <w:r>
                    <w:rPr>
                      <w:rFonts w:hint="default" w:ascii="Times New Roman" w:hAnsi="Times New Roman" w:cs="Times New Roman"/>
                      <w:b/>
                      <w:bCs/>
                      <w:color w:val="auto"/>
                    </w:rPr>
                    <w:t>m</w:t>
                  </w:r>
                  <w:r>
                    <w:rPr>
                      <w:rFonts w:hint="default" w:ascii="Times New Roman" w:hAnsi="Times New Roman" w:cs="Times New Roman"/>
                      <w:b/>
                      <w:bCs/>
                      <w:color w:val="auto"/>
                      <w:vertAlign w:val="superscript"/>
                    </w:rPr>
                    <w:t>3</w:t>
                  </w:r>
                  <w:r>
                    <w:rPr>
                      <w:rFonts w:hint="default" w:ascii="Times New Roman" w:hAnsi="Times New Roman" w:cs="Times New Roman"/>
                      <w:b/>
                      <w:bCs/>
                      <w:color w:val="auto"/>
                    </w:rPr>
                    <w: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9" w:hRule="atLeast"/>
                <w:jc w:val="center"/>
              </w:trPr>
              <w:tc>
                <w:tcPr>
                  <w:tcW w:w="711" w:type="dxa"/>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1</w:t>
                  </w:r>
                </w:p>
              </w:tc>
              <w:tc>
                <w:tcPr>
                  <w:tcW w:w="2025" w:type="dxa"/>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门诊病人用水</w:t>
                  </w:r>
                </w:p>
              </w:tc>
              <w:tc>
                <w:tcPr>
                  <w:tcW w:w="1350" w:type="dxa"/>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10L/人·次</w:t>
                  </w:r>
                </w:p>
              </w:tc>
              <w:tc>
                <w:tcPr>
                  <w:tcW w:w="1127" w:type="dxa"/>
                  <w:vAlign w:val="center"/>
                </w:tcPr>
                <w:p>
                  <w:pPr>
                    <w:pStyle w:val="118"/>
                    <w:rPr>
                      <w:rFonts w:hint="default" w:ascii="Times New Roman" w:hAnsi="Times New Roman" w:eastAsia="宋体" w:cs="Times New Roman"/>
                      <w:color w:val="auto"/>
                      <w:lang w:val="en-US" w:eastAsia="zh-CN"/>
                    </w:rPr>
                  </w:pPr>
                  <w:r>
                    <w:rPr>
                      <w:rFonts w:hint="eastAsia" w:cs="Times New Roman"/>
                      <w:color w:val="auto"/>
                      <w:lang w:val="en-US" w:eastAsia="zh-CN"/>
                    </w:rPr>
                    <w:t>3000</w:t>
                  </w:r>
                  <w:r>
                    <w:rPr>
                      <w:rFonts w:hint="default" w:ascii="Times New Roman" w:hAnsi="Times New Roman" w:cs="Times New Roman"/>
                      <w:color w:val="auto"/>
                      <w:lang w:val="en-US" w:eastAsia="zh-CN"/>
                    </w:rPr>
                    <w:t>人/a</w:t>
                  </w:r>
                </w:p>
              </w:tc>
              <w:tc>
                <w:tcPr>
                  <w:tcW w:w="813" w:type="dxa"/>
                  <w:tcBorders>
                    <w:right w:val="single" w:color="auto" w:sz="4" w:space="0"/>
                  </w:tcBorders>
                  <w:vAlign w:val="center"/>
                </w:tcPr>
                <w:p>
                  <w:pPr>
                    <w:pStyle w:val="118"/>
                    <w:rPr>
                      <w:rFonts w:hint="default" w:ascii="Times New Roman" w:hAnsi="Times New Roman" w:eastAsia="宋体" w:cs="Times New Roman"/>
                      <w:color w:val="auto"/>
                      <w:lang w:val="en-US" w:eastAsia="zh-CN"/>
                    </w:rPr>
                  </w:pPr>
                  <w:r>
                    <w:rPr>
                      <w:rFonts w:hint="eastAsia" w:cs="Times New Roman"/>
                      <w:color w:val="auto"/>
                      <w:lang w:val="en-US" w:eastAsia="zh-CN"/>
                    </w:rPr>
                    <w:t>0.08</w:t>
                  </w:r>
                </w:p>
              </w:tc>
              <w:tc>
                <w:tcPr>
                  <w:tcW w:w="1045" w:type="dxa"/>
                  <w:tcBorders>
                    <w:left w:val="single" w:color="auto" w:sz="4" w:space="0"/>
                  </w:tcBorders>
                  <w:vAlign w:val="center"/>
                </w:tcPr>
                <w:p>
                  <w:pPr>
                    <w:pStyle w:val="118"/>
                    <w:rPr>
                      <w:rFonts w:hint="default" w:ascii="Times New Roman" w:hAnsi="Times New Roman" w:eastAsia="宋体" w:cs="Times New Roman"/>
                      <w:color w:val="auto"/>
                      <w:lang w:val="en-US" w:eastAsia="zh-CN"/>
                    </w:rPr>
                  </w:pPr>
                  <w:r>
                    <w:rPr>
                      <w:rFonts w:hint="eastAsia" w:cs="Times New Roman"/>
                      <w:color w:val="auto"/>
                      <w:lang w:val="en-US" w:eastAsia="zh-CN"/>
                    </w:rPr>
                    <w:t>30</w:t>
                  </w:r>
                </w:p>
              </w:tc>
              <w:tc>
                <w:tcPr>
                  <w:tcW w:w="795" w:type="dxa"/>
                  <w:tcBorders>
                    <w:right w:val="single" w:color="auto" w:sz="4" w:space="0"/>
                  </w:tcBorders>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0.072</w:t>
                  </w:r>
                </w:p>
              </w:tc>
              <w:tc>
                <w:tcPr>
                  <w:tcW w:w="1026" w:type="dxa"/>
                  <w:tcBorders>
                    <w:left w:val="single" w:color="auto" w:sz="4" w:space="0"/>
                  </w:tcBorders>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711" w:type="dxa"/>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2</w:t>
                  </w:r>
                </w:p>
              </w:tc>
              <w:tc>
                <w:tcPr>
                  <w:tcW w:w="2025" w:type="dxa"/>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住院病人生活用水</w:t>
                  </w:r>
                </w:p>
              </w:tc>
              <w:tc>
                <w:tcPr>
                  <w:tcW w:w="1350" w:type="dxa"/>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250L/床·d</w:t>
                  </w:r>
                </w:p>
              </w:tc>
              <w:tc>
                <w:tcPr>
                  <w:tcW w:w="1127" w:type="dxa"/>
                  <w:vAlign w:val="center"/>
                </w:tcPr>
                <w:p>
                  <w:pPr>
                    <w:pStyle w:val="118"/>
                    <w:rPr>
                      <w:rFonts w:hint="default" w:ascii="Times New Roman" w:hAnsi="Times New Roman" w:cs="Times New Roman"/>
                      <w:color w:val="auto"/>
                    </w:rPr>
                  </w:pPr>
                  <w:r>
                    <w:rPr>
                      <w:rFonts w:hint="eastAsia" w:cs="Times New Roman"/>
                      <w:color w:val="auto"/>
                      <w:lang w:val="en-US" w:eastAsia="zh-CN"/>
                    </w:rPr>
                    <w:t>90</w:t>
                  </w:r>
                  <w:r>
                    <w:rPr>
                      <w:rFonts w:hint="default" w:ascii="Times New Roman" w:hAnsi="Times New Roman" w:cs="Times New Roman"/>
                      <w:color w:val="auto"/>
                    </w:rPr>
                    <w:t>床</w:t>
                  </w:r>
                </w:p>
              </w:tc>
              <w:tc>
                <w:tcPr>
                  <w:tcW w:w="813" w:type="dxa"/>
                  <w:vAlign w:val="center"/>
                </w:tcPr>
                <w:p>
                  <w:pPr>
                    <w:pStyle w:val="118"/>
                    <w:rPr>
                      <w:rFonts w:hint="default" w:ascii="Times New Roman" w:hAnsi="Times New Roman" w:eastAsia="宋体" w:cs="Times New Roman"/>
                      <w:color w:val="auto"/>
                      <w:lang w:val="en-US" w:eastAsia="zh-CN"/>
                    </w:rPr>
                  </w:pPr>
                  <w:r>
                    <w:rPr>
                      <w:rFonts w:hint="eastAsia" w:cs="Times New Roman"/>
                      <w:color w:val="auto"/>
                      <w:lang w:val="en-US" w:eastAsia="zh-CN"/>
                    </w:rPr>
                    <w:t>22.5</w:t>
                  </w:r>
                </w:p>
              </w:tc>
              <w:tc>
                <w:tcPr>
                  <w:tcW w:w="1045" w:type="dxa"/>
                  <w:vAlign w:val="center"/>
                </w:tcPr>
                <w:p>
                  <w:pPr>
                    <w:pStyle w:val="118"/>
                    <w:rPr>
                      <w:rFonts w:hint="default" w:ascii="Times New Roman" w:hAnsi="Times New Roman" w:eastAsia="宋体" w:cs="Times New Roman"/>
                      <w:color w:val="auto"/>
                      <w:lang w:val="en-US" w:eastAsia="zh-CN"/>
                    </w:rPr>
                  </w:pPr>
                  <w:r>
                    <w:rPr>
                      <w:rFonts w:hint="eastAsia" w:cs="Times New Roman"/>
                      <w:color w:val="auto"/>
                      <w:lang w:val="en-US" w:eastAsia="zh-CN"/>
                    </w:rPr>
                    <w:t>8212.5</w:t>
                  </w:r>
                </w:p>
              </w:tc>
              <w:tc>
                <w:tcPr>
                  <w:tcW w:w="795" w:type="dxa"/>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20.25</w:t>
                  </w:r>
                </w:p>
              </w:tc>
              <w:tc>
                <w:tcPr>
                  <w:tcW w:w="1026" w:type="dxa"/>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7391.25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711" w:type="dxa"/>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3</w:t>
                  </w:r>
                </w:p>
              </w:tc>
              <w:tc>
                <w:tcPr>
                  <w:tcW w:w="2025" w:type="dxa"/>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医护人员办公用水</w:t>
                  </w:r>
                </w:p>
              </w:tc>
              <w:tc>
                <w:tcPr>
                  <w:tcW w:w="1350" w:type="dxa"/>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150L/人·班</w:t>
                  </w:r>
                </w:p>
              </w:tc>
              <w:tc>
                <w:tcPr>
                  <w:tcW w:w="1127" w:type="dxa"/>
                  <w:vAlign w:val="center"/>
                </w:tcPr>
                <w:p>
                  <w:pPr>
                    <w:pStyle w:val="118"/>
                    <w:rPr>
                      <w:rFonts w:hint="default" w:ascii="Times New Roman" w:hAnsi="Times New Roman" w:cs="Times New Roman"/>
                      <w:color w:val="auto"/>
                    </w:rPr>
                  </w:pPr>
                  <w:r>
                    <w:rPr>
                      <w:rFonts w:hint="eastAsia" w:cs="Times New Roman"/>
                      <w:color w:val="auto"/>
                      <w:lang w:val="en-US" w:eastAsia="zh-CN"/>
                    </w:rPr>
                    <w:t>50</w:t>
                  </w:r>
                  <w:r>
                    <w:rPr>
                      <w:rFonts w:hint="default" w:ascii="Times New Roman" w:hAnsi="Times New Roman" w:cs="Times New Roman"/>
                      <w:color w:val="auto"/>
                    </w:rPr>
                    <w:t>人</w:t>
                  </w:r>
                </w:p>
              </w:tc>
              <w:tc>
                <w:tcPr>
                  <w:tcW w:w="813" w:type="dxa"/>
                  <w:vAlign w:val="center"/>
                </w:tcPr>
                <w:p>
                  <w:pPr>
                    <w:pStyle w:val="118"/>
                    <w:rPr>
                      <w:rFonts w:hint="default" w:ascii="Times New Roman" w:hAnsi="Times New Roman" w:eastAsia="宋体" w:cs="Times New Roman"/>
                      <w:color w:val="auto"/>
                      <w:lang w:val="en-US" w:eastAsia="zh-CN"/>
                    </w:rPr>
                  </w:pPr>
                  <w:r>
                    <w:rPr>
                      <w:rFonts w:hint="eastAsia" w:cs="Times New Roman"/>
                      <w:color w:val="auto"/>
                      <w:lang w:val="en-US" w:eastAsia="zh-CN"/>
                    </w:rPr>
                    <w:t>7.5</w:t>
                  </w:r>
                </w:p>
              </w:tc>
              <w:tc>
                <w:tcPr>
                  <w:tcW w:w="1045" w:type="dxa"/>
                  <w:vAlign w:val="center"/>
                </w:tcPr>
                <w:p>
                  <w:pPr>
                    <w:pStyle w:val="118"/>
                    <w:rPr>
                      <w:rFonts w:hint="default" w:ascii="Times New Roman" w:hAnsi="Times New Roman" w:eastAsia="宋体" w:cs="Times New Roman"/>
                      <w:color w:val="auto"/>
                      <w:lang w:val="en-US" w:eastAsia="zh-CN"/>
                    </w:rPr>
                  </w:pPr>
                  <w:r>
                    <w:rPr>
                      <w:rFonts w:hint="eastAsia" w:cs="Times New Roman"/>
                      <w:color w:val="auto"/>
                      <w:lang w:val="en-US" w:eastAsia="zh-CN"/>
                    </w:rPr>
                    <w:t>2737.5</w:t>
                  </w:r>
                </w:p>
              </w:tc>
              <w:tc>
                <w:tcPr>
                  <w:tcW w:w="795" w:type="dxa"/>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6.75</w:t>
                  </w:r>
                </w:p>
              </w:tc>
              <w:tc>
                <w:tcPr>
                  <w:tcW w:w="1026" w:type="dxa"/>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2463.75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711" w:type="dxa"/>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4</w:t>
                  </w:r>
                </w:p>
              </w:tc>
              <w:tc>
                <w:tcPr>
                  <w:tcW w:w="2025" w:type="dxa"/>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食堂用水</w:t>
                  </w:r>
                </w:p>
              </w:tc>
              <w:tc>
                <w:tcPr>
                  <w:tcW w:w="1350" w:type="dxa"/>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20L/人·次计</w:t>
                  </w:r>
                </w:p>
              </w:tc>
              <w:tc>
                <w:tcPr>
                  <w:tcW w:w="1127" w:type="dxa"/>
                  <w:vAlign w:val="center"/>
                </w:tcPr>
                <w:p>
                  <w:pPr>
                    <w:pStyle w:val="118"/>
                    <w:rPr>
                      <w:rFonts w:hint="default" w:ascii="Times New Roman" w:hAnsi="Times New Roman" w:cs="Times New Roman"/>
                      <w:color w:val="auto"/>
                    </w:rPr>
                  </w:pPr>
                  <w:r>
                    <w:rPr>
                      <w:rFonts w:hint="eastAsia" w:cs="Times New Roman"/>
                      <w:color w:val="auto"/>
                      <w:lang w:val="en-US" w:eastAsia="zh-CN"/>
                    </w:rPr>
                    <w:t>50</w:t>
                  </w:r>
                  <w:r>
                    <w:rPr>
                      <w:rFonts w:hint="default" w:ascii="Times New Roman" w:hAnsi="Times New Roman" w:cs="Times New Roman"/>
                      <w:color w:val="auto"/>
                    </w:rPr>
                    <w:t>人·次</w:t>
                  </w:r>
                </w:p>
              </w:tc>
              <w:tc>
                <w:tcPr>
                  <w:tcW w:w="813" w:type="dxa"/>
                  <w:vAlign w:val="center"/>
                </w:tcPr>
                <w:p>
                  <w:pPr>
                    <w:pStyle w:val="118"/>
                    <w:rPr>
                      <w:rFonts w:hint="default" w:ascii="Times New Roman" w:hAnsi="Times New Roman" w:eastAsia="宋体" w:cs="Times New Roman"/>
                      <w:color w:val="auto"/>
                      <w:lang w:val="en-US" w:eastAsia="zh-CN"/>
                    </w:rPr>
                  </w:pPr>
                  <w:r>
                    <w:rPr>
                      <w:rFonts w:hint="eastAsia" w:cs="Times New Roman"/>
                      <w:color w:val="auto"/>
                      <w:lang w:val="en-US" w:eastAsia="zh-CN"/>
                    </w:rPr>
                    <w:t>3</w:t>
                  </w:r>
                </w:p>
              </w:tc>
              <w:tc>
                <w:tcPr>
                  <w:tcW w:w="1045" w:type="dxa"/>
                  <w:vAlign w:val="center"/>
                </w:tcPr>
                <w:p>
                  <w:pPr>
                    <w:pStyle w:val="118"/>
                    <w:rPr>
                      <w:rFonts w:hint="default" w:ascii="Times New Roman" w:hAnsi="Times New Roman" w:eastAsia="宋体" w:cs="Times New Roman"/>
                      <w:color w:val="auto"/>
                      <w:lang w:val="en-US" w:eastAsia="zh-CN"/>
                    </w:rPr>
                  </w:pPr>
                  <w:r>
                    <w:rPr>
                      <w:rFonts w:hint="eastAsia" w:cs="Times New Roman"/>
                      <w:color w:val="auto"/>
                      <w:lang w:val="en-US" w:eastAsia="zh-CN"/>
                    </w:rPr>
                    <w:t>1095</w:t>
                  </w:r>
                </w:p>
              </w:tc>
              <w:tc>
                <w:tcPr>
                  <w:tcW w:w="795" w:type="dxa"/>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2.7</w:t>
                  </w:r>
                </w:p>
              </w:tc>
              <w:tc>
                <w:tcPr>
                  <w:tcW w:w="1026" w:type="dxa"/>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985.5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711" w:type="dxa"/>
                  <w:vAlign w:val="center"/>
                </w:tcPr>
                <w:p>
                  <w:pPr>
                    <w:pStyle w:val="118"/>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5</w:t>
                  </w:r>
                </w:p>
              </w:tc>
              <w:tc>
                <w:tcPr>
                  <w:tcW w:w="2025" w:type="dxa"/>
                  <w:vAlign w:val="center"/>
                </w:tcPr>
                <w:p>
                  <w:pPr>
                    <w:pStyle w:val="118"/>
                    <w:rPr>
                      <w:rFonts w:hint="default" w:ascii="Times New Roman" w:hAnsi="Times New Roman" w:eastAsia="宋体" w:cs="Times New Roman"/>
                      <w:color w:val="auto"/>
                      <w:lang w:eastAsia="zh-CN"/>
                    </w:rPr>
                  </w:pPr>
                  <w:r>
                    <w:rPr>
                      <w:rFonts w:hint="default" w:ascii="Times New Roman" w:hAnsi="Times New Roman" w:cs="Times New Roman"/>
                      <w:color w:val="auto"/>
                      <w:lang w:eastAsia="zh-CN"/>
                    </w:rPr>
                    <w:t>洗衣房用水</w:t>
                  </w:r>
                </w:p>
              </w:tc>
              <w:tc>
                <w:tcPr>
                  <w:tcW w:w="1350" w:type="dxa"/>
                  <w:vAlign w:val="center"/>
                </w:tcPr>
                <w:p>
                  <w:pPr>
                    <w:pStyle w:val="118"/>
                    <w:rPr>
                      <w:rFonts w:hint="default" w:ascii="Times New Roman" w:hAnsi="Times New Roman" w:cs="Times New Roman"/>
                      <w:color w:val="auto"/>
                    </w:rPr>
                  </w:pPr>
                  <w:r>
                    <w:rPr>
                      <w:rFonts w:hint="default" w:ascii="Times New Roman" w:hAnsi="Times New Roman" w:cs="Times New Roman"/>
                      <w:color w:val="auto"/>
                      <w:lang w:val="en-US" w:eastAsia="zh-CN"/>
                    </w:rPr>
                    <w:t>60L/kg</w:t>
                  </w:r>
                </w:p>
              </w:tc>
              <w:tc>
                <w:tcPr>
                  <w:tcW w:w="1127" w:type="dxa"/>
                  <w:vAlign w:val="center"/>
                </w:tcPr>
                <w:p>
                  <w:pPr>
                    <w:pStyle w:val="118"/>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2kg/床</w:t>
                  </w:r>
                  <w:r>
                    <w:rPr>
                      <w:rFonts w:hint="default" w:ascii="Times New Roman" w:hAnsi="Times New Roman" w:cs="Times New Roman"/>
                      <w:color w:val="auto"/>
                    </w:rPr>
                    <w:t>·</w:t>
                  </w:r>
                  <w:r>
                    <w:rPr>
                      <w:rFonts w:hint="default" w:ascii="Times New Roman" w:hAnsi="Times New Roman" w:cs="Times New Roman"/>
                      <w:color w:val="auto"/>
                      <w:lang w:val="en-US" w:eastAsia="zh-CN"/>
                    </w:rPr>
                    <w:t>天</w:t>
                  </w:r>
                </w:p>
              </w:tc>
              <w:tc>
                <w:tcPr>
                  <w:tcW w:w="813" w:type="dxa"/>
                  <w:vAlign w:val="center"/>
                </w:tcPr>
                <w:p>
                  <w:pPr>
                    <w:pStyle w:val="118"/>
                    <w:rPr>
                      <w:rFonts w:hint="default" w:ascii="Times New Roman" w:hAnsi="Times New Roman" w:cs="Times New Roman"/>
                      <w:color w:val="auto"/>
                      <w:lang w:val="en-US" w:eastAsia="zh-CN"/>
                    </w:rPr>
                  </w:pPr>
                  <w:r>
                    <w:rPr>
                      <w:rFonts w:hint="eastAsia" w:cs="Times New Roman"/>
                      <w:color w:val="auto"/>
                      <w:lang w:val="en-US" w:eastAsia="zh-CN"/>
                    </w:rPr>
                    <w:t>10.8</w:t>
                  </w:r>
                </w:p>
              </w:tc>
              <w:tc>
                <w:tcPr>
                  <w:tcW w:w="1045" w:type="dxa"/>
                  <w:vAlign w:val="center"/>
                </w:tcPr>
                <w:p>
                  <w:pPr>
                    <w:pStyle w:val="118"/>
                    <w:rPr>
                      <w:rFonts w:hint="default" w:ascii="Times New Roman" w:hAnsi="Times New Roman" w:cs="Times New Roman"/>
                      <w:color w:val="auto"/>
                      <w:lang w:val="en-US" w:eastAsia="zh-CN"/>
                    </w:rPr>
                  </w:pPr>
                  <w:r>
                    <w:rPr>
                      <w:rFonts w:hint="eastAsia" w:cs="Times New Roman"/>
                      <w:color w:val="auto"/>
                      <w:lang w:val="en-US" w:eastAsia="zh-CN"/>
                    </w:rPr>
                    <w:t>3942</w:t>
                  </w:r>
                </w:p>
              </w:tc>
              <w:tc>
                <w:tcPr>
                  <w:tcW w:w="795" w:type="dxa"/>
                  <w:vAlign w:val="center"/>
                </w:tcPr>
                <w:p>
                  <w:pPr>
                    <w:pStyle w:val="118"/>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9.72</w:t>
                  </w:r>
                </w:p>
              </w:tc>
              <w:tc>
                <w:tcPr>
                  <w:tcW w:w="1026" w:type="dxa"/>
                  <w:vAlign w:val="center"/>
                </w:tcPr>
                <w:p>
                  <w:pPr>
                    <w:pStyle w:val="118"/>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3547.8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736" w:type="dxa"/>
                  <w:gridSpan w:val="2"/>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合计</w:t>
                  </w:r>
                </w:p>
              </w:tc>
              <w:tc>
                <w:tcPr>
                  <w:tcW w:w="1350" w:type="dxa"/>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w:t>
                  </w:r>
                </w:p>
              </w:tc>
              <w:tc>
                <w:tcPr>
                  <w:tcW w:w="1127" w:type="dxa"/>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w:t>
                  </w:r>
                </w:p>
              </w:tc>
              <w:tc>
                <w:tcPr>
                  <w:tcW w:w="813" w:type="dxa"/>
                  <w:vAlign w:val="center"/>
                </w:tcPr>
                <w:p>
                  <w:pPr>
                    <w:pStyle w:val="118"/>
                    <w:rPr>
                      <w:rFonts w:hint="default" w:ascii="Times New Roman" w:hAnsi="Times New Roman" w:eastAsia="宋体" w:cs="Times New Roman"/>
                      <w:color w:val="auto"/>
                      <w:lang w:val="en-US" w:eastAsia="zh-CN"/>
                    </w:rPr>
                  </w:pPr>
                  <w:r>
                    <w:rPr>
                      <w:rFonts w:hint="eastAsia" w:cs="Times New Roman"/>
                      <w:color w:val="auto"/>
                      <w:lang w:val="en-US" w:eastAsia="zh-CN"/>
                    </w:rPr>
                    <w:t>43.88</w:t>
                  </w:r>
                </w:p>
              </w:tc>
              <w:tc>
                <w:tcPr>
                  <w:tcW w:w="1045" w:type="dxa"/>
                  <w:vAlign w:val="center"/>
                </w:tcPr>
                <w:p>
                  <w:pPr>
                    <w:pStyle w:val="118"/>
                    <w:rPr>
                      <w:rFonts w:hint="default" w:ascii="Times New Roman" w:hAnsi="Times New Roman" w:eastAsia="宋体" w:cs="Times New Roman"/>
                      <w:color w:val="auto"/>
                      <w:lang w:val="en-US" w:eastAsia="zh-CN"/>
                    </w:rPr>
                  </w:pPr>
                  <w:r>
                    <w:rPr>
                      <w:rFonts w:hint="eastAsia" w:cs="Times New Roman"/>
                      <w:color w:val="auto"/>
                      <w:lang w:val="en-US" w:eastAsia="zh-CN"/>
                    </w:rPr>
                    <w:t>16017</w:t>
                  </w:r>
                </w:p>
              </w:tc>
              <w:tc>
                <w:tcPr>
                  <w:tcW w:w="795" w:type="dxa"/>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39.49</w:t>
                  </w:r>
                </w:p>
              </w:tc>
              <w:tc>
                <w:tcPr>
                  <w:tcW w:w="1026" w:type="dxa"/>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14414.58</w:t>
                  </w:r>
                </w:p>
              </w:tc>
            </w:tr>
          </w:tbl>
          <w:p>
            <w:pPr>
              <w:pStyle w:val="16"/>
              <w:rPr>
                <w:rFonts w:hint="default" w:ascii="Times New Roman" w:hAnsi="Times New Roman" w:cs="Times New Roman"/>
                <w:color w:val="auto"/>
                <w:highlight w:val="none"/>
              </w:rPr>
            </w:pPr>
            <w:r>
              <w:rPr>
                <w:rFonts w:hint="default" w:ascii="Times New Roman" w:hAnsi="Times New Roman" w:cs="Times New Roman"/>
                <w:color w:val="auto"/>
                <w:highlight w:val="none"/>
              </w:rPr>
              <w:t>备注：①本项目不会产生相应的含汞废水、放射性废水、含重金属废水、含氰废水及传染病废水等特殊性质污水，影像科采用干式打印技术，无相关显影废水产生；污水产生量按用水量的90%计算。②医护人员的用水量包括手术室、中心供应等医院常规医疗用水。</w:t>
            </w:r>
          </w:p>
          <w:p>
            <w:pPr>
              <w:spacing w:line="348" w:lineRule="auto"/>
              <w:ind w:firstLine="512" w:firstLineChars="200"/>
              <w:rPr>
                <w:rFonts w:hint="default" w:ascii="Times New Roman" w:hAnsi="Times New Roman" w:cs="Times New Roman"/>
                <w:color w:val="auto"/>
                <w:spacing w:val="8"/>
                <w:sz w:val="24"/>
                <w:lang w:val="en-US" w:eastAsia="zh-CN"/>
              </w:rPr>
            </w:pPr>
            <w:r>
              <w:rPr>
                <w:rFonts w:hint="default" w:ascii="Times New Roman" w:hAnsi="Times New Roman" w:cs="Times New Roman"/>
                <w:color w:val="auto"/>
                <w:spacing w:val="8"/>
                <w:sz w:val="24"/>
                <w:lang w:eastAsia="zh-CN"/>
              </w:rPr>
              <w:t>（</w:t>
            </w:r>
            <w:r>
              <w:rPr>
                <w:rFonts w:hint="default" w:ascii="Times New Roman" w:hAnsi="Times New Roman" w:cs="Times New Roman"/>
                <w:color w:val="auto"/>
                <w:spacing w:val="8"/>
                <w:sz w:val="24"/>
                <w:lang w:val="en-US" w:eastAsia="zh-CN"/>
              </w:rPr>
              <w:t>3）供电系统</w:t>
            </w:r>
          </w:p>
          <w:p>
            <w:pPr>
              <w:pStyle w:val="84"/>
              <w:spacing w:line="360" w:lineRule="auto"/>
              <w:ind w:firstLine="480"/>
              <w:rPr>
                <w:rFonts w:hint="default" w:ascii="Times New Roman" w:hAnsi="Times New Roman" w:cs="Times New Roman"/>
                <w:color w:val="auto"/>
              </w:rPr>
            </w:pPr>
            <w:r>
              <w:rPr>
                <w:rFonts w:hint="default" w:ascii="Times New Roman" w:hAnsi="Times New Roman" w:cs="Times New Roman"/>
                <w:color w:val="auto"/>
              </w:rPr>
              <w:t>本项目的电力由市政供电管网提供。根据建设单位提供的资料，本项目拟在发电机房配备1台备用柴油发电机</w:t>
            </w:r>
            <w:r>
              <w:rPr>
                <w:rFonts w:hint="default" w:ascii="Times New Roman" w:hAnsi="Times New Roman" w:cs="Times New Roman"/>
                <w:color w:val="auto"/>
                <w:lang w:eastAsia="zh-CN"/>
              </w:rPr>
              <w:t>，年</w:t>
            </w:r>
            <w:r>
              <w:rPr>
                <w:rFonts w:hint="default" w:ascii="Times New Roman" w:hAnsi="Times New Roman" w:cs="Times New Roman"/>
                <w:color w:val="auto"/>
                <w:highlight w:val="none"/>
                <w:lang w:eastAsia="zh-CN"/>
              </w:rPr>
              <w:t>使用时间约为</w:t>
            </w:r>
            <w:r>
              <w:rPr>
                <w:rFonts w:hint="default" w:ascii="Times New Roman" w:hAnsi="Times New Roman" w:cs="Times New Roman"/>
                <w:color w:val="auto"/>
                <w:highlight w:val="none"/>
                <w:lang w:val="en-US" w:eastAsia="zh-CN"/>
              </w:rPr>
              <w:t>50</w:t>
            </w:r>
            <w:r>
              <w:rPr>
                <w:rFonts w:hint="default" w:ascii="Times New Roman" w:hAnsi="Times New Roman" w:cs="Times New Roman"/>
                <w:color w:val="auto"/>
                <w:highlight w:val="none"/>
                <w:lang w:eastAsia="zh-CN"/>
              </w:rPr>
              <w:t>小时，</w:t>
            </w:r>
            <w:r>
              <w:rPr>
                <w:rFonts w:hint="default" w:ascii="Times New Roman" w:hAnsi="Times New Roman" w:cs="Times New Roman"/>
                <w:color w:val="auto"/>
                <w:lang w:eastAsia="zh-CN"/>
              </w:rPr>
              <w:t>年消耗柴油</w:t>
            </w:r>
            <w:r>
              <w:rPr>
                <w:rFonts w:hint="eastAsia" w:cs="Times New Roman"/>
                <w:color w:val="auto"/>
                <w:lang w:val="en-US" w:eastAsia="zh-CN"/>
              </w:rPr>
              <w:t>0.2</w:t>
            </w:r>
            <w:r>
              <w:rPr>
                <w:rFonts w:hint="default" w:ascii="Times New Roman" w:hAnsi="Times New Roman" w:cs="Times New Roman"/>
                <w:color w:val="auto"/>
                <w:lang w:val="en-US" w:eastAsia="zh-CN"/>
              </w:rPr>
              <w:t>t</w:t>
            </w:r>
            <w:r>
              <w:rPr>
                <w:rFonts w:hint="eastAsia" w:cs="Times New Roman"/>
                <w:color w:val="auto"/>
                <w:lang w:val="en-US" w:eastAsia="zh-CN"/>
              </w:rPr>
              <w:t>，发电机燃油采用含硫量小于0.005%的优质0#柴油</w:t>
            </w:r>
            <w:r>
              <w:rPr>
                <w:rFonts w:hint="default" w:ascii="Times New Roman" w:hAnsi="Times New Roman" w:cs="Times New Roman"/>
                <w:color w:val="auto"/>
              </w:rPr>
              <w:t>。</w:t>
            </w:r>
          </w:p>
          <w:p>
            <w:pPr>
              <w:pStyle w:val="84"/>
              <w:spacing w:line="360" w:lineRule="auto"/>
              <w:ind w:firstLine="480"/>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4）燃料消耗</w:t>
            </w:r>
          </w:p>
          <w:p>
            <w:pPr>
              <w:pStyle w:val="84"/>
              <w:spacing w:line="360" w:lineRule="auto"/>
              <w:ind w:firstLine="48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医院配套设置的食堂，采用</w:t>
            </w:r>
            <w:r>
              <w:rPr>
                <w:rFonts w:hint="eastAsia" w:cs="Times New Roman"/>
                <w:color w:val="auto"/>
                <w:lang w:val="en-US" w:eastAsia="zh-CN"/>
              </w:rPr>
              <w:t>液化石油气</w:t>
            </w:r>
            <w:r>
              <w:rPr>
                <w:rFonts w:hint="default" w:ascii="Times New Roman" w:hAnsi="Times New Roman" w:cs="Times New Roman"/>
                <w:color w:val="auto"/>
                <w:lang w:val="en-US" w:eastAsia="zh-CN"/>
              </w:rPr>
              <w:t>作为燃料，本项目食堂厨房设有炉头1台，每天平均约</w:t>
            </w:r>
            <w:r>
              <w:rPr>
                <w:rFonts w:hint="eastAsia" w:cs="Times New Roman"/>
                <w:color w:val="auto"/>
                <w:lang w:val="en-US" w:eastAsia="zh-CN"/>
              </w:rPr>
              <w:t>50</w:t>
            </w:r>
            <w:r>
              <w:rPr>
                <w:rFonts w:hint="default" w:ascii="Times New Roman" w:hAnsi="Times New Roman" w:cs="Times New Roman"/>
                <w:color w:val="auto"/>
                <w:lang w:val="en-US" w:eastAsia="zh-CN"/>
              </w:rPr>
              <w:t>人就餐。</w:t>
            </w:r>
          </w:p>
          <w:p>
            <w:pPr>
              <w:pStyle w:val="84"/>
              <w:spacing w:line="360" w:lineRule="auto"/>
              <w:ind w:firstLine="480"/>
              <w:rPr>
                <w:rFonts w:hint="default" w:ascii="Times New Roman" w:hAnsi="Times New Roman" w:cs="Times New Roman"/>
                <w:color w:val="auto"/>
                <w:lang w:eastAsia="zh-CN"/>
              </w:rPr>
            </w:pPr>
            <w:r>
              <w:rPr>
                <w:rFonts w:hint="default" w:ascii="Times New Roman" w:hAnsi="Times New Roman" w:cs="Times New Roman"/>
                <w:color w:val="auto"/>
                <w:lang w:eastAsia="zh-CN"/>
              </w:rPr>
              <w:t>（5）垃圾收集系统</w:t>
            </w:r>
          </w:p>
          <w:p>
            <w:pPr>
              <w:pStyle w:val="84"/>
              <w:spacing w:line="360" w:lineRule="auto"/>
              <w:ind w:firstLine="480"/>
              <w:rPr>
                <w:rFonts w:hint="default" w:ascii="Times New Roman" w:hAnsi="Times New Roman" w:cs="Times New Roman"/>
                <w:color w:val="auto"/>
                <w:lang w:eastAsia="zh-CN"/>
              </w:rPr>
            </w:pPr>
            <w:r>
              <w:rPr>
                <w:rFonts w:hint="default" w:ascii="Times New Roman" w:hAnsi="Times New Roman" w:cs="Times New Roman"/>
                <w:color w:val="auto"/>
                <w:lang w:eastAsia="zh-CN"/>
              </w:rPr>
              <w:t>本项目的生活垃圾是没有危害的普通固体废物，不需要特别处理。但是一些没有危害性的垃圾同其他具有危害性的或传染性的医疗废物混合在一起，其混合垃圾就要像有害的垃圾一样对待，需要特别的搬运和处置。因此，对医疗废物和生活垃圾进行分开收集是对医疗废物进行有效处理的前提。</w:t>
            </w:r>
          </w:p>
          <w:p>
            <w:pPr>
              <w:pStyle w:val="84"/>
              <w:spacing w:line="360" w:lineRule="auto"/>
              <w:ind w:firstLine="480"/>
              <w:rPr>
                <w:rFonts w:hint="default" w:ascii="Times New Roman" w:hAnsi="Times New Roman" w:cs="Times New Roman"/>
                <w:color w:val="auto"/>
                <w:lang w:eastAsia="zh-CN"/>
              </w:rPr>
            </w:pPr>
            <w:r>
              <w:rPr>
                <w:rFonts w:hint="default" w:ascii="Times New Roman" w:hAnsi="Times New Roman" w:cs="Times New Roman"/>
                <w:color w:val="auto"/>
                <w:lang w:eastAsia="zh-CN"/>
              </w:rPr>
              <w:t>本项目各科室内分别设有带盖的小型医疗废物、生活垃圾收集桶。生活垃圾收集后，每日由物业清洁人员定时清理出场并交环卫部门处理，不在项目范围内存放；医疗废物收集后，由医护人员将其放入医疗废物暂存间的带盖垃圾桶，然后定期委托有资质单位统一运走处理。医疗废物暂存时间不得超过2天，生活垃圾不与医疗废物混合存放。</w:t>
            </w:r>
          </w:p>
          <w:p>
            <w:pPr>
              <w:pStyle w:val="84"/>
              <w:spacing w:line="360" w:lineRule="auto"/>
              <w:ind w:firstLine="480"/>
              <w:rPr>
                <w:rFonts w:hint="default" w:ascii="Times New Roman" w:hAnsi="Times New Roman" w:cs="Times New Roman"/>
                <w:color w:val="auto"/>
                <w:lang w:eastAsia="zh-CN"/>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6）</w:t>
            </w:r>
            <w:r>
              <w:rPr>
                <w:rFonts w:hint="default" w:ascii="Times New Roman" w:hAnsi="Times New Roman" w:cs="Times New Roman"/>
                <w:color w:val="auto"/>
                <w:lang w:eastAsia="zh-CN"/>
              </w:rPr>
              <w:t>供氧</w:t>
            </w:r>
          </w:p>
          <w:p>
            <w:pPr>
              <w:pStyle w:val="84"/>
              <w:spacing w:line="360" w:lineRule="auto"/>
              <w:ind w:firstLine="480"/>
              <w:rPr>
                <w:rFonts w:hint="default" w:ascii="Times New Roman" w:hAnsi="Times New Roman" w:cs="Times New Roman"/>
                <w:color w:val="auto"/>
                <w:lang w:eastAsia="zh-CN"/>
              </w:rPr>
            </w:pPr>
            <w:r>
              <w:rPr>
                <w:rFonts w:hint="default" w:ascii="Times New Roman" w:hAnsi="Times New Roman" w:cs="Times New Roman"/>
                <w:color w:val="auto"/>
                <w:lang w:eastAsia="zh-CN"/>
              </w:rPr>
              <w:t xml:space="preserve">医院设置氧气房，采用医用制氧机进行制氧，通过管道供应到各外病房，同时配备 </w:t>
            </w:r>
            <w:r>
              <w:rPr>
                <w:rFonts w:hint="default" w:ascii="Times New Roman" w:hAnsi="Times New Roman" w:cs="Times New Roman"/>
                <w:color w:val="auto"/>
                <w:lang w:val="en-US" w:eastAsia="zh-CN"/>
              </w:rPr>
              <w:t>4</w:t>
            </w:r>
            <w:r>
              <w:rPr>
                <w:rFonts w:hint="default" w:ascii="Times New Roman" w:hAnsi="Times New Roman" w:cs="Times New Roman"/>
                <w:color w:val="auto"/>
                <w:lang w:eastAsia="zh-CN"/>
              </w:rPr>
              <w:t>个氧气瓶作为备用。</w:t>
            </w:r>
          </w:p>
          <w:p>
            <w:pPr>
              <w:pStyle w:val="84"/>
              <w:spacing w:line="360" w:lineRule="auto"/>
              <w:ind w:firstLine="480"/>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7）空调</w:t>
            </w:r>
          </w:p>
          <w:p>
            <w:pPr>
              <w:pStyle w:val="84"/>
              <w:spacing w:line="360" w:lineRule="auto"/>
              <w:ind w:firstLine="48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医院各科室和病房均采用分体式空调。</w:t>
            </w:r>
          </w:p>
          <w:p>
            <w:pPr>
              <w:pStyle w:val="84"/>
              <w:spacing w:line="360" w:lineRule="auto"/>
              <w:ind w:firstLine="48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（8）供热</w:t>
            </w:r>
          </w:p>
          <w:p>
            <w:pPr>
              <w:pStyle w:val="84"/>
              <w:spacing w:line="360" w:lineRule="auto"/>
              <w:ind w:firstLine="48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医院热水采用电热水器提供。</w:t>
            </w:r>
          </w:p>
          <w:p>
            <w:pPr>
              <w:pStyle w:val="84"/>
              <w:spacing w:line="360" w:lineRule="auto"/>
              <w:ind w:firstLine="480"/>
              <w:rPr>
                <w:rFonts w:hint="default" w:ascii="Times New Roman" w:hAnsi="Times New Roman" w:cs="Times New Roman"/>
                <w:color w:val="auto"/>
                <w:lang w:val="en-US" w:eastAsia="zh-CN"/>
              </w:rPr>
            </w:pPr>
            <w:bookmarkStart w:id="1" w:name="_Toc293478711"/>
            <w:r>
              <w:rPr>
                <w:rFonts w:hint="default" w:ascii="Times New Roman" w:hAnsi="Times New Roman" w:cs="Times New Roman"/>
                <w:color w:val="auto"/>
                <w:lang w:val="en-US" w:eastAsia="zh-CN"/>
              </w:rPr>
              <w:t>（9）洗衣房</w:t>
            </w:r>
            <w:bookmarkEnd w:id="1"/>
          </w:p>
          <w:p>
            <w:pPr>
              <w:pStyle w:val="84"/>
              <w:spacing w:line="360" w:lineRule="auto"/>
              <w:ind w:firstLine="48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医院设置洗衣房，清洗病人的被褥、衣服等物品，采用高压蒸汽消毒。</w:t>
            </w:r>
          </w:p>
          <w:p>
            <w:pPr>
              <w:tabs>
                <w:tab w:val="left" w:pos="6442"/>
              </w:tabs>
              <w:spacing w:line="348" w:lineRule="auto"/>
              <w:ind w:firstLine="514" w:firstLineChars="200"/>
              <w:rPr>
                <w:rFonts w:hint="default" w:ascii="Times New Roman" w:hAnsi="Times New Roman" w:cs="Times New Roman"/>
                <w:b/>
                <w:color w:val="auto"/>
                <w:spacing w:val="8"/>
                <w:sz w:val="24"/>
              </w:rPr>
            </w:pPr>
            <w:r>
              <w:rPr>
                <w:rFonts w:hint="default" w:ascii="Times New Roman" w:hAnsi="Times New Roman" w:cs="Times New Roman"/>
                <w:b/>
                <w:color w:val="auto"/>
                <w:spacing w:val="8"/>
                <w:sz w:val="24"/>
                <w:lang w:val="en-US" w:eastAsia="zh-CN"/>
              </w:rPr>
              <w:t>6</w:t>
            </w:r>
            <w:r>
              <w:rPr>
                <w:rFonts w:hint="default" w:ascii="Times New Roman" w:hAnsi="Times New Roman" w:cs="Times New Roman"/>
                <w:b/>
                <w:color w:val="auto"/>
                <w:spacing w:val="8"/>
                <w:sz w:val="24"/>
              </w:rPr>
              <w:t>、项目选址及四周情况</w:t>
            </w:r>
            <w:r>
              <w:rPr>
                <w:rFonts w:hint="default" w:ascii="Times New Roman" w:hAnsi="Times New Roman" w:cs="Times New Roman"/>
                <w:b/>
                <w:color w:val="auto"/>
                <w:spacing w:val="8"/>
                <w:sz w:val="24"/>
              </w:rPr>
              <w:tab/>
            </w:r>
          </w:p>
          <w:p>
            <w:pPr>
              <w:spacing w:line="348" w:lineRule="auto"/>
              <w:ind w:firstLine="512" w:firstLineChars="200"/>
              <w:rPr>
                <w:rFonts w:hint="default" w:ascii="Times New Roman" w:hAnsi="Times New Roman" w:cs="Times New Roman"/>
                <w:color w:val="auto"/>
                <w:spacing w:val="8"/>
                <w:sz w:val="24"/>
                <w:highlight w:val="yellow"/>
              </w:rPr>
            </w:pPr>
            <w:r>
              <w:rPr>
                <w:rFonts w:hint="default" w:ascii="Times New Roman" w:hAnsi="Times New Roman" w:cs="Times New Roman"/>
                <w:bCs/>
                <w:color w:val="auto"/>
                <w:spacing w:val="8"/>
                <w:sz w:val="24"/>
              </w:rPr>
              <w:t>项目位</w:t>
            </w:r>
            <w:r>
              <w:rPr>
                <w:rFonts w:hint="eastAsia" w:cs="Times New Roman"/>
                <w:bCs/>
                <w:color w:val="auto"/>
                <w:spacing w:val="8"/>
                <w:sz w:val="24"/>
                <w:lang w:eastAsia="zh-CN"/>
              </w:rPr>
              <w:t>于</w:t>
            </w:r>
            <w:r>
              <w:rPr>
                <w:rFonts w:hint="default" w:ascii="Times New Roman" w:hAnsi="Times New Roman" w:cs="Times New Roman"/>
                <w:bCs/>
                <w:color w:val="auto"/>
                <w:spacing w:val="8"/>
                <w:sz w:val="24"/>
                <w:lang w:eastAsia="zh-CN"/>
              </w:rPr>
              <w:t>揭东区锡场镇华清村山沟西片</w:t>
            </w:r>
            <w:r>
              <w:rPr>
                <w:rFonts w:hint="default" w:ascii="Times New Roman" w:hAnsi="Times New Roman" w:cs="Times New Roman"/>
                <w:color w:val="auto"/>
                <w:spacing w:val="8"/>
                <w:sz w:val="24"/>
              </w:rPr>
              <w:t>，</w:t>
            </w:r>
            <w:r>
              <w:rPr>
                <w:rFonts w:hint="default" w:ascii="Times New Roman" w:hAnsi="Times New Roman" w:cs="Times New Roman"/>
                <w:color w:val="auto"/>
                <w:spacing w:val="8"/>
                <w:sz w:val="24"/>
                <w:highlight w:val="none"/>
              </w:rPr>
              <w:t>地理中心坐标为北纬23°</w:t>
            </w:r>
            <w:r>
              <w:rPr>
                <w:rFonts w:hint="default" w:ascii="Times New Roman" w:hAnsi="Times New Roman" w:cs="Times New Roman"/>
                <w:color w:val="auto"/>
                <w:spacing w:val="8"/>
                <w:sz w:val="24"/>
                <w:highlight w:val="none"/>
                <w:lang w:val="en-US" w:eastAsia="zh-CN"/>
              </w:rPr>
              <w:t>36</w:t>
            </w:r>
            <w:r>
              <w:rPr>
                <w:rFonts w:hint="default" w:ascii="Times New Roman" w:hAnsi="Times New Roman" w:cs="Times New Roman"/>
                <w:color w:val="auto"/>
                <w:spacing w:val="8"/>
                <w:sz w:val="24"/>
                <w:highlight w:val="none"/>
              </w:rPr>
              <w:t>'</w:t>
            </w:r>
            <w:r>
              <w:rPr>
                <w:rFonts w:hint="default" w:ascii="Times New Roman" w:hAnsi="Times New Roman" w:cs="Times New Roman"/>
                <w:color w:val="auto"/>
                <w:spacing w:val="8"/>
                <w:sz w:val="24"/>
                <w:highlight w:val="none"/>
                <w:lang w:val="en-US" w:eastAsia="zh-CN"/>
              </w:rPr>
              <w:t>37.08</w:t>
            </w:r>
            <w:r>
              <w:rPr>
                <w:rFonts w:hint="default" w:ascii="Times New Roman" w:hAnsi="Times New Roman" w:cs="Times New Roman"/>
                <w:color w:val="auto"/>
                <w:spacing w:val="8"/>
                <w:sz w:val="24"/>
                <w:highlight w:val="none"/>
              </w:rPr>
              <w:t>"，东经11</w:t>
            </w:r>
            <w:r>
              <w:rPr>
                <w:rFonts w:hint="default" w:ascii="Times New Roman" w:hAnsi="Times New Roman" w:cs="Times New Roman"/>
                <w:color w:val="auto"/>
                <w:spacing w:val="8"/>
                <w:sz w:val="24"/>
                <w:highlight w:val="none"/>
                <w:lang w:val="en-US" w:eastAsia="zh-CN"/>
              </w:rPr>
              <w:t>6</w:t>
            </w:r>
            <w:r>
              <w:rPr>
                <w:rFonts w:hint="default" w:ascii="Times New Roman" w:hAnsi="Times New Roman" w:cs="Times New Roman"/>
                <w:color w:val="auto"/>
                <w:spacing w:val="8"/>
                <w:sz w:val="24"/>
                <w:highlight w:val="none"/>
              </w:rPr>
              <w:t xml:space="preserve">° </w:t>
            </w:r>
            <w:r>
              <w:rPr>
                <w:rFonts w:hint="default" w:ascii="Times New Roman" w:hAnsi="Times New Roman" w:cs="Times New Roman"/>
                <w:color w:val="auto"/>
                <w:spacing w:val="8"/>
                <w:sz w:val="24"/>
                <w:highlight w:val="none"/>
                <w:lang w:val="en-US" w:eastAsia="zh-CN"/>
              </w:rPr>
              <w:t>18</w:t>
            </w:r>
            <w:r>
              <w:rPr>
                <w:rFonts w:hint="default" w:ascii="Times New Roman" w:hAnsi="Times New Roman" w:cs="Times New Roman"/>
                <w:color w:val="auto"/>
                <w:spacing w:val="8"/>
                <w:sz w:val="24"/>
                <w:highlight w:val="none"/>
              </w:rPr>
              <w:t>'</w:t>
            </w:r>
            <w:r>
              <w:rPr>
                <w:rFonts w:hint="default" w:ascii="Times New Roman" w:hAnsi="Times New Roman" w:cs="Times New Roman"/>
                <w:color w:val="auto"/>
                <w:spacing w:val="8"/>
                <w:sz w:val="24"/>
                <w:highlight w:val="none"/>
                <w:lang w:val="en-US" w:eastAsia="zh-CN"/>
              </w:rPr>
              <w:t>28.94</w:t>
            </w:r>
            <w:r>
              <w:rPr>
                <w:rFonts w:hint="default" w:ascii="Times New Roman" w:hAnsi="Times New Roman" w:cs="Times New Roman"/>
                <w:color w:val="auto"/>
                <w:spacing w:val="8"/>
                <w:sz w:val="24"/>
                <w:highlight w:val="none"/>
              </w:rPr>
              <w:t>"。项目</w:t>
            </w:r>
            <w:r>
              <w:rPr>
                <w:rFonts w:hint="eastAsia" w:cs="Times New Roman"/>
                <w:color w:val="auto"/>
                <w:spacing w:val="8"/>
                <w:sz w:val="24"/>
                <w:highlight w:val="none"/>
                <w:lang w:eastAsia="zh-CN"/>
              </w:rPr>
              <w:t>四周均为居民区</w:t>
            </w:r>
            <w:r>
              <w:rPr>
                <w:rFonts w:hint="default" w:ascii="Times New Roman" w:hAnsi="Times New Roman" w:cs="Times New Roman"/>
                <w:color w:val="auto"/>
                <w:spacing w:val="8"/>
                <w:sz w:val="24"/>
                <w:highlight w:val="none"/>
                <w:lang w:eastAsia="zh-CN"/>
              </w:rPr>
              <w:t>。</w:t>
            </w:r>
          </w:p>
          <w:p>
            <w:pPr>
              <w:pStyle w:val="47"/>
              <w:adjustRightInd w:val="0"/>
              <w:ind w:firstLine="512" w:firstLineChars="200"/>
              <w:rPr>
                <w:rFonts w:hint="default" w:ascii="Times New Roman" w:hAnsi="Times New Roman" w:cs="Times New Roman"/>
                <w:color w:val="auto"/>
                <w:spacing w:val="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287" w:hRule="atLeast"/>
        </w:trPr>
        <w:tc>
          <w:tcPr>
            <w:tcW w:w="9484" w:type="dxa"/>
            <w:gridSpan w:val="10"/>
            <w:tcBorders>
              <w:bottom w:val="single" w:color="auto" w:sz="4" w:space="0"/>
            </w:tcBorders>
          </w:tcPr>
          <w:p>
            <w:pPr>
              <w:spacing w:line="360" w:lineRule="auto"/>
              <w:rPr>
                <w:rFonts w:hint="default" w:ascii="Times New Roman" w:hAnsi="Times New Roman" w:cs="Times New Roman"/>
                <w:b/>
                <w:color w:val="auto"/>
                <w:sz w:val="28"/>
              </w:rPr>
            </w:pPr>
            <w:r>
              <w:rPr>
                <w:rFonts w:hint="default" w:ascii="Times New Roman" w:hAnsi="Times New Roman" w:cs="Times New Roman"/>
                <w:b/>
                <w:color w:val="auto"/>
                <w:sz w:val="28"/>
              </w:rPr>
              <w:t>与本项目有关的污染情况及主要环境问题：</w:t>
            </w:r>
          </w:p>
          <w:p>
            <w:pPr>
              <w:spacing w:line="360" w:lineRule="auto"/>
              <w:ind w:firstLine="480" w:firstLineChars="200"/>
              <w:rPr>
                <w:rFonts w:hint="default" w:ascii="Times New Roman" w:hAnsi="Times New Roman" w:eastAsia="黑体" w:cs="Times New Roman"/>
                <w:color w:val="auto"/>
                <w:sz w:val="24"/>
                <w:lang w:val="en-US" w:eastAsia="zh-CN"/>
              </w:rPr>
            </w:pPr>
            <w:r>
              <w:rPr>
                <w:rFonts w:hint="default" w:ascii="Times New Roman" w:hAnsi="Times New Roman" w:cs="Times New Roman"/>
                <w:color w:val="auto"/>
                <w:sz w:val="24"/>
                <w:highlight w:val="none"/>
                <w:lang w:eastAsia="zh-CN"/>
              </w:rPr>
              <w:t>揭东岭东医院</w:t>
            </w:r>
            <w:r>
              <w:rPr>
                <w:rFonts w:hint="default" w:ascii="Times New Roman" w:hAnsi="Times New Roman" w:cs="Times New Roman"/>
                <w:color w:val="auto"/>
                <w:sz w:val="24"/>
                <w:highlight w:val="none"/>
              </w:rPr>
              <w:t>位于</w:t>
            </w:r>
            <w:r>
              <w:rPr>
                <w:rFonts w:hint="default" w:ascii="Times New Roman" w:hAnsi="Times New Roman" w:cs="Times New Roman"/>
                <w:color w:val="auto"/>
                <w:sz w:val="24"/>
                <w:highlight w:val="none"/>
                <w:lang w:eastAsia="zh-CN"/>
              </w:rPr>
              <w:t>揭东区锡场镇华清村山沟西片</w:t>
            </w:r>
            <w:r>
              <w:rPr>
                <w:rFonts w:hint="default" w:ascii="Times New Roman" w:hAnsi="Times New Roman" w:cs="Times New Roman"/>
                <w:color w:val="auto"/>
                <w:sz w:val="24"/>
                <w:highlight w:val="none"/>
              </w:rPr>
              <w:t>，</w:t>
            </w:r>
            <w:r>
              <w:rPr>
                <w:rFonts w:hint="eastAsia" w:cs="Times New Roman"/>
                <w:color w:val="auto"/>
                <w:sz w:val="24"/>
                <w:highlight w:val="none"/>
                <w:lang w:eastAsia="zh-CN"/>
              </w:rPr>
              <w:t>项目四周均为居民区，主要为居民生活污水和道路交通尾气等</w:t>
            </w:r>
            <w:r>
              <w:rPr>
                <w:rFonts w:hint="default" w:ascii="Times New Roman" w:hAnsi="Times New Roman" w:cs="Times New Roman"/>
                <w:color w:val="0070C0"/>
                <w:sz w:val="24"/>
                <w:highlight w:val="none"/>
                <w:lang w:val="en-US" w:eastAsia="zh-CN"/>
              </w:rPr>
              <w:t>。</w:t>
            </w:r>
          </w:p>
        </w:tc>
      </w:tr>
    </w:tbl>
    <w:p>
      <w:pPr>
        <w:rPr>
          <w:rFonts w:hint="default" w:ascii="Times New Roman" w:hAnsi="Times New Roman" w:cs="Times New Roman"/>
          <w:color w:val="auto"/>
        </w:rPr>
        <w:sectPr>
          <w:footerReference r:id="rId5" w:type="default"/>
          <w:pgSz w:w="11907" w:h="16840"/>
          <w:pgMar w:top="1304" w:right="1134" w:bottom="1134" w:left="1304" w:header="964" w:footer="964" w:gutter="0"/>
          <w:pgBorders>
            <w:top w:val="none" w:sz="0" w:space="0"/>
            <w:left w:val="none" w:sz="0" w:space="0"/>
            <w:bottom w:val="none" w:sz="0" w:space="0"/>
            <w:right w:val="none" w:sz="0" w:space="0"/>
          </w:pgBorders>
          <w:pgNumType w:start="1"/>
          <w:cols w:space="720" w:num="1"/>
          <w:docGrid w:type="lines" w:linePitch="334" w:charSpace="6716"/>
        </w:sectPr>
      </w:pPr>
    </w:p>
    <w:p>
      <w:pPr>
        <w:pStyle w:val="3"/>
        <w:jc w:val="left"/>
        <w:rPr>
          <w:rFonts w:hint="default" w:ascii="Times New Roman" w:hAnsi="Times New Roman" w:cs="Times New Roman"/>
          <w:b/>
          <w:bCs/>
          <w:color w:val="auto"/>
        </w:rPr>
      </w:pPr>
      <w:r>
        <w:rPr>
          <w:rFonts w:hint="default" w:ascii="Times New Roman" w:hAnsi="Times New Roman" w:cs="Times New Roman"/>
          <w:b/>
          <w:bCs/>
          <w:color w:val="auto"/>
        </w:rPr>
        <w:t>建设项目所在地自然环境社会环境简况</w:t>
      </w:r>
    </w:p>
    <w:tbl>
      <w:tblPr>
        <w:tblStyle w:val="31"/>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47" w:type="dxa"/>
          </w:tcPr>
          <w:p>
            <w:pPr>
              <w:spacing w:line="360" w:lineRule="auto"/>
              <w:rPr>
                <w:rFonts w:hint="default" w:ascii="Times New Roman" w:hAnsi="Times New Roman" w:cs="Times New Roman"/>
                <w:b/>
                <w:color w:val="auto"/>
                <w:sz w:val="28"/>
              </w:rPr>
            </w:pPr>
            <w:r>
              <w:rPr>
                <w:rFonts w:hint="default" w:ascii="Times New Roman" w:hAnsi="Times New Roman" w:cs="Times New Roman"/>
                <w:b/>
                <w:color w:val="auto"/>
                <w:sz w:val="28"/>
              </w:rPr>
              <w:t>自然环境简况(地理位置、地形地貌、气象、水文、植被、生物多样性等)：</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textAlignment w:val="auto"/>
              <w:outlineLvl w:val="9"/>
              <w:rPr>
                <w:rFonts w:hint="eastAsia"/>
                <w:color w:val="auto"/>
                <w:spacing w:val="-6"/>
                <w:sz w:val="24"/>
                <w:szCs w:val="24"/>
              </w:rPr>
            </w:pPr>
            <w:r>
              <w:rPr>
                <w:rFonts w:hint="eastAsia"/>
                <w:color w:val="auto"/>
                <w:spacing w:val="-6"/>
                <w:sz w:val="24"/>
                <w:szCs w:val="24"/>
                <w:lang w:eastAsia="zh-CN"/>
              </w:rPr>
              <w:t>一、</w:t>
            </w:r>
            <w:r>
              <w:rPr>
                <w:rFonts w:hint="eastAsia"/>
                <w:color w:val="auto"/>
                <w:spacing w:val="-6"/>
                <w:sz w:val="24"/>
                <w:szCs w:val="24"/>
              </w:rPr>
              <w:t>地理位置</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12"/>
              <w:textAlignment w:val="auto"/>
              <w:outlineLvl w:val="9"/>
              <w:rPr>
                <w:rFonts w:hint="eastAsia"/>
                <w:color w:val="auto"/>
                <w:spacing w:val="-6"/>
                <w:sz w:val="24"/>
              </w:rPr>
            </w:pPr>
            <w:r>
              <w:rPr>
                <w:rFonts w:hint="eastAsia"/>
                <w:color w:val="auto"/>
                <w:spacing w:val="-6"/>
                <w:sz w:val="24"/>
              </w:rPr>
              <w:t>揭东区位于广东省东部，潮汕平原东北部，东接汕头市区和潮州市，西邻揭西县，南隔榕江与潮阳市、普宁市相望，南部中间为揭阳市区，北与丰顺县接壤。</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12"/>
              <w:textAlignment w:val="auto"/>
              <w:outlineLvl w:val="9"/>
              <w:rPr>
                <w:rFonts w:hint="eastAsia"/>
                <w:color w:val="auto"/>
                <w:spacing w:val="-6"/>
                <w:sz w:val="24"/>
              </w:rPr>
            </w:pPr>
            <w:r>
              <w:rPr>
                <w:rFonts w:hint="eastAsia"/>
                <w:color w:val="auto"/>
                <w:spacing w:val="-6"/>
                <w:sz w:val="24"/>
              </w:rPr>
              <w:t>云路镇位于广东揭阳市揭东区东部，地处揭阳、潮州、汕头三市交界处。东距潮州市区15公里，西毗邻揭东主城区与开发区接壤，距揭阳榕城区10公里，南沿206国道达汕头市区约35公里。</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textAlignment w:val="auto"/>
              <w:outlineLvl w:val="9"/>
              <w:rPr>
                <w:rFonts w:hint="eastAsia"/>
                <w:color w:val="auto"/>
                <w:spacing w:val="-6"/>
                <w:sz w:val="24"/>
                <w:szCs w:val="24"/>
              </w:rPr>
            </w:pPr>
            <w:r>
              <w:rPr>
                <w:rFonts w:hint="eastAsia"/>
                <w:color w:val="auto"/>
                <w:spacing w:val="-6"/>
                <w:sz w:val="24"/>
                <w:szCs w:val="24"/>
                <w:lang w:eastAsia="zh-CN"/>
              </w:rPr>
              <w:t>二、</w:t>
            </w:r>
            <w:r>
              <w:rPr>
                <w:rFonts w:hint="eastAsia"/>
                <w:color w:val="auto"/>
                <w:spacing w:val="-6"/>
                <w:sz w:val="24"/>
                <w:szCs w:val="24"/>
              </w:rPr>
              <w:t>地形地貌及地质构造</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32"/>
              <w:textAlignment w:val="auto"/>
              <w:outlineLvl w:val="9"/>
              <w:rPr>
                <w:rFonts w:hint="eastAsia"/>
                <w:color w:val="auto"/>
                <w:spacing w:val="-6"/>
                <w:sz w:val="24"/>
              </w:rPr>
            </w:pPr>
            <w:r>
              <w:rPr>
                <w:rFonts w:hint="eastAsia"/>
                <w:color w:val="auto"/>
                <w:spacing w:val="-6"/>
                <w:sz w:val="24"/>
              </w:rPr>
              <w:t>揭阳市主要为华夏陆台多轮回造区，地质构造运动和岩浆活动频繁。侏罗纪燕山期造山运动基本奠定了本地区现代地貌的轮廓。在地球史上距今最近的是“喜马拉雅山运动”，使本地区变现为断裂隆起和平共处塌陷，产生了侵蚀剥削和堆积，北部上升，南部下降。以后的新构造运动继续抬高，使花岗岩逐步暴露地表，形成广阔的花岗岩山地、丘陵及台地。揭阳市地质年代最早是三叠系上统，继而侏罗系第四系。岩石主要有花岗石、砂页岩及第四系列化冲积砂砾层等组成。</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32"/>
              <w:textAlignment w:val="auto"/>
              <w:outlineLvl w:val="9"/>
              <w:rPr>
                <w:rFonts w:hint="eastAsia"/>
                <w:color w:val="auto"/>
                <w:spacing w:val="-6"/>
                <w:sz w:val="24"/>
              </w:rPr>
            </w:pPr>
            <w:r>
              <w:rPr>
                <w:rFonts w:hint="eastAsia"/>
                <w:color w:val="auto"/>
                <w:spacing w:val="-6"/>
                <w:sz w:val="24"/>
              </w:rPr>
              <w:t>揭东地质情况复杂，有山地、丘陵、盆地和平原4大类地貌。由北至南依次分布著山地、丘陵、盆地、平原等基本地貌类型，地势自西向东倾斜。低山高丘与谷地平原交错相间，分布不均，西北部和西南部多为丘陵、山地，西南部有峨嵋嶂山地和南阳山丘陵。中部、南部和东南部都是广阔肥沃的榕江冲积平原和滨海沉积平原。</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textAlignment w:val="auto"/>
              <w:outlineLvl w:val="9"/>
              <w:rPr>
                <w:rFonts w:hint="eastAsia"/>
                <w:color w:val="auto"/>
                <w:spacing w:val="-6"/>
                <w:sz w:val="24"/>
                <w:szCs w:val="24"/>
              </w:rPr>
            </w:pPr>
            <w:r>
              <w:rPr>
                <w:rFonts w:hint="eastAsia"/>
                <w:color w:val="auto"/>
                <w:spacing w:val="-6"/>
                <w:sz w:val="24"/>
                <w:szCs w:val="24"/>
                <w:lang w:eastAsia="zh-CN"/>
              </w:rPr>
              <w:t>三、</w:t>
            </w:r>
            <w:r>
              <w:rPr>
                <w:rFonts w:hint="eastAsia"/>
                <w:color w:val="auto"/>
                <w:spacing w:val="-6"/>
                <w:sz w:val="24"/>
                <w:szCs w:val="24"/>
              </w:rPr>
              <w:t>气象条件</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textAlignment w:val="auto"/>
              <w:outlineLvl w:val="9"/>
              <w:rPr>
                <w:rFonts w:hint="eastAsia"/>
                <w:color w:val="auto"/>
                <w:sz w:val="24"/>
              </w:rPr>
            </w:pPr>
            <w:r>
              <w:rPr>
                <w:rFonts w:hint="eastAsia"/>
                <w:color w:val="auto"/>
                <w:sz w:val="24"/>
              </w:rPr>
              <w:t xml:space="preserve">    揭东区属亚热带季风海洋气候，北回归线斜穿揭东，四季常青，无严寒酷暑，年均气温21.5度，年均降雨量1722.6毫米。在气温最高的7月份，日平均气温28℃左右，日最高气温≥35℃的酷热天数，极端高温38.4度，每年在3天以内。最冷月份为一月，平均温度14.1度，极端低温2.1度。夏长冬暖春来早。年日照时数在2000小时左右，平均每天约6小时，年平均日照率为46%，平均太阳辐射强度为126卡/平方厘米。</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textAlignment w:val="auto"/>
              <w:outlineLvl w:val="9"/>
              <w:rPr>
                <w:rFonts w:hint="eastAsia"/>
                <w:color w:val="auto"/>
                <w:sz w:val="24"/>
                <w:szCs w:val="24"/>
              </w:rPr>
            </w:pPr>
            <w:r>
              <w:rPr>
                <w:rFonts w:hint="eastAsia"/>
                <w:color w:val="auto"/>
                <w:sz w:val="24"/>
                <w:szCs w:val="24"/>
                <w:lang w:eastAsia="zh-CN"/>
              </w:rPr>
              <w:t>四、</w:t>
            </w:r>
            <w:r>
              <w:rPr>
                <w:rFonts w:hint="eastAsia"/>
                <w:color w:val="auto"/>
                <w:sz w:val="24"/>
                <w:szCs w:val="24"/>
              </w:rPr>
              <w:t>水文</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textAlignment w:val="auto"/>
              <w:outlineLvl w:val="9"/>
              <w:rPr>
                <w:rFonts w:hint="eastAsia"/>
                <w:color w:val="auto"/>
                <w:sz w:val="24"/>
              </w:rPr>
            </w:pPr>
            <w:r>
              <w:rPr>
                <w:rFonts w:hint="eastAsia"/>
                <w:color w:val="auto"/>
                <w:sz w:val="24"/>
              </w:rPr>
              <w:t>揭阳市境内河网密布，有榕江、龙江、练江三大水系。其中榕江南北河环绕全境，境内溪港交织。榕江是潮汕的母亲河，全长175km，流域面积为4408km</w:t>
            </w:r>
            <w:r>
              <w:rPr>
                <w:rFonts w:hint="eastAsia"/>
                <w:color w:val="auto"/>
                <w:sz w:val="24"/>
                <w:vertAlign w:val="superscript"/>
              </w:rPr>
              <w:t>2</w:t>
            </w:r>
            <w:r>
              <w:rPr>
                <w:rFonts w:hint="eastAsia"/>
                <w:color w:val="auto"/>
                <w:sz w:val="24"/>
              </w:rPr>
              <w:t>，由南河和北河两条主要支流组成，南河长北河短，流经陆丰、揭西、丰顺、揭东、揭阳、普宁、潮洲、潮阳等县市。</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textAlignment w:val="auto"/>
              <w:outlineLvl w:val="9"/>
              <w:rPr>
                <w:rFonts w:hint="eastAsia"/>
                <w:color w:val="auto"/>
                <w:sz w:val="24"/>
              </w:rPr>
            </w:pPr>
            <w:r>
              <w:rPr>
                <w:rFonts w:hint="eastAsia"/>
                <w:color w:val="auto"/>
                <w:sz w:val="24"/>
              </w:rPr>
              <w:t>南河为主流，发源于陆丰县东部的凤凰山，全长175km，年平均流量为87.3m</w:t>
            </w:r>
            <w:r>
              <w:rPr>
                <w:rFonts w:hint="eastAsia"/>
                <w:color w:val="auto"/>
                <w:sz w:val="24"/>
                <w:vertAlign w:val="superscript"/>
              </w:rPr>
              <w:t>3</w:t>
            </w:r>
            <w:r>
              <w:rPr>
                <w:rFonts w:hint="eastAsia"/>
                <w:color w:val="auto"/>
                <w:sz w:val="24"/>
              </w:rPr>
              <w:t>/s，平均坡度为0.493%。北河为榕江一级支流，发源于丰顺县猴子山南麓，有枫溪二级支流在曲溪下游汇入北河，年平均径流量为29.6m</w:t>
            </w:r>
            <w:r>
              <w:rPr>
                <w:rFonts w:hint="eastAsia"/>
                <w:color w:val="auto"/>
                <w:sz w:val="24"/>
                <w:vertAlign w:val="superscript"/>
              </w:rPr>
              <w:t>3</w:t>
            </w:r>
            <w:r>
              <w:rPr>
                <w:rFonts w:hint="eastAsia"/>
                <w:color w:val="auto"/>
                <w:sz w:val="24"/>
              </w:rPr>
              <w:t>/s。</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textAlignment w:val="auto"/>
              <w:outlineLvl w:val="9"/>
              <w:rPr>
                <w:rFonts w:hint="eastAsia"/>
                <w:color w:val="auto"/>
                <w:sz w:val="24"/>
              </w:rPr>
            </w:pPr>
            <w:r>
              <w:rPr>
                <w:rFonts w:hint="eastAsia"/>
                <w:color w:val="auto"/>
                <w:sz w:val="24"/>
              </w:rPr>
              <w:t>榕江南河与北河在揭阳市双溪嘴汇合，向东南流经牛田洋，最后汇入南海，径流量合计为116.9m</w:t>
            </w:r>
            <w:r>
              <w:rPr>
                <w:rFonts w:hint="eastAsia"/>
                <w:color w:val="auto"/>
                <w:sz w:val="24"/>
                <w:vertAlign w:val="superscript"/>
              </w:rPr>
              <w:t>3</w:t>
            </w:r>
            <w:r>
              <w:rPr>
                <w:rFonts w:hint="eastAsia"/>
                <w:color w:val="auto"/>
                <w:sz w:val="24"/>
              </w:rPr>
              <w:t>/s，年平均最大径流量154m</w:t>
            </w:r>
            <w:r>
              <w:rPr>
                <w:rFonts w:hint="eastAsia"/>
                <w:color w:val="auto"/>
                <w:sz w:val="24"/>
                <w:vertAlign w:val="superscript"/>
              </w:rPr>
              <w:t>3</w:t>
            </w:r>
            <w:r>
              <w:rPr>
                <w:rFonts w:hint="eastAsia"/>
                <w:color w:val="auto"/>
                <w:sz w:val="24"/>
              </w:rPr>
              <w:t>/s（1961年）；最小径流量为44.2m</w:t>
            </w:r>
            <w:r>
              <w:rPr>
                <w:rFonts w:hint="eastAsia"/>
                <w:color w:val="auto"/>
                <w:sz w:val="24"/>
                <w:vertAlign w:val="superscript"/>
              </w:rPr>
              <w:t>3</w:t>
            </w:r>
            <w:r>
              <w:rPr>
                <w:rFonts w:hint="eastAsia"/>
                <w:color w:val="auto"/>
                <w:sz w:val="24"/>
              </w:rPr>
              <w:t>/s（1956年），榕江历史最高水位为2.39m（1969年7月）。榕江江面宽200~800m，水深波平，是广东省少有深水河，3000~5000吨级海轮可经汕头出海到达世界各港口城市，被誉为粤东“黄金水道”。江水受潮汐影响，潮汐为不规则半日潮，潮差通常为3m，历年最低潮位-1.66m。</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textAlignment w:val="auto"/>
              <w:outlineLvl w:val="9"/>
              <w:rPr>
                <w:rFonts w:hint="eastAsia"/>
                <w:color w:val="auto"/>
                <w:sz w:val="24"/>
                <w:szCs w:val="24"/>
              </w:rPr>
            </w:pPr>
            <w:r>
              <w:rPr>
                <w:rFonts w:hint="eastAsia"/>
                <w:color w:val="auto"/>
                <w:sz w:val="24"/>
                <w:szCs w:val="24"/>
                <w:lang w:eastAsia="zh-CN"/>
              </w:rPr>
              <w:t>五、</w:t>
            </w:r>
            <w:r>
              <w:rPr>
                <w:rFonts w:hint="eastAsia"/>
                <w:color w:val="auto"/>
                <w:sz w:val="24"/>
                <w:szCs w:val="24"/>
              </w:rPr>
              <w:t>自然资源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rPr>
            </w:pPr>
            <w:r>
              <w:rPr>
                <w:rFonts w:hint="eastAsia"/>
                <w:color w:val="auto"/>
                <w:sz w:val="24"/>
              </w:rPr>
              <w:t>揭阳市自然资源比较丰富。全市河流总长1097.5公里，年均径流量62亿立方米。水力理论蕴藏量44.87万千瓦，其中</w:t>
            </w:r>
            <w:r>
              <w:rPr>
                <w:rFonts w:hint="eastAsia"/>
                <w:color w:val="auto"/>
                <w:sz w:val="24"/>
                <w:lang w:val="en-US" w:eastAsia="zh-CN"/>
              </w:rPr>
              <w:t xml:space="preserve"> </w:t>
            </w:r>
            <w:r>
              <w:rPr>
                <w:rFonts w:hint="eastAsia"/>
                <w:color w:val="auto"/>
                <w:sz w:val="24"/>
              </w:rPr>
              <w:t>可开发装机16.22万千瓦，约占理论蕴藏量的36.2％。矿产资源丰富，主要有锡、钨、铜、铁、金和甲长石、花岗石、稀土、瓷土等。全市现有森林蓄积量325.5万立方米，森林覆盖率46.9％。植物种类1130多种，其中稀有植物20多种，如乌相、桧树等。珍稀动物15种，如巨蜥(五爪金龙)、大鲵(娃娃鱼)、穿山甲等</w:t>
            </w:r>
            <w:r>
              <w:rPr>
                <w:rFonts w:hint="eastAsia"/>
                <w:color w:val="auto"/>
                <w:sz w:val="28"/>
                <w:szCs w:val="28"/>
              </w:rPr>
              <w:t>。</w:t>
            </w:r>
          </w:p>
        </w:tc>
      </w:tr>
    </w:tbl>
    <w:p>
      <w:pPr>
        <w:rPr>
          <w:rFonts w:hint="default" w:ascii="Times New Roman" w:hAnsi="Times New Roman" w:cs="Times New Roman"/>
          <w:vanish/>
          <w:color w:val="auto"/>
        </w:rPr>
      </w:pPr>
    </w:p>
    <w:tbl>
      <w:tblPr>
        <w:tblStyle w:val="31"/>
        <w:tblW w:w="9747"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74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c>
          <w:tcPr>
            <w:tcW w:w="9747" w:type="dxa"/>
          </w:tcPr>
          <w:p>
            <w:pPr>
              <w:rPr>
                <w:rFonts w:hint="default" w:ascii="Times New Roman" w:hAnsi="Times New Roman" w:cs="Times New Roman"/>
                <w:color w:val="auto"/>
                <w:sz w:val="24"/>
              </w:rPr>
            </w:pPr>
            <w:r>
              <w:rPr>
                <w:rFonts w:hint="default" w:ascii="Times New Roman" w:hAnsi="Times New Roman" w:cs="Times New Roman"/>
                <w:b/>
                <w:bCs/>
                <w:color w:val="auto"/>
                <w:sz w:val="28"/>
              </w:rPr>
              <w:t>社会</w:t>
            </w:r>
            <w:r>
              <w:rPr>
                <w:rFonts w:hint="default" w:ascii="Times New Roman" w:hAnsi="Times New Roman" w:cs="Times New Roman"/>
                <w:b/>
                <w:bCs/>
                <w:color w:val="auto"/>
                <w:sz w:val="28"/>
                <w:highlight w:val="none"/>
              </w:rPr>
              <w:t>环境简</w:t>
            </w:r>
            <w:r>
              <w:rPr>
                <w:rFonts w:hint="default" w:ascii="Times New Roman" w:hAnsi="Times New Roman" w:cs="Times New Roman"/>
                <w:b/>
                <w:bCs/>
                <w:color w:val="auto"/>
                <w:sz w:val="28"/>
              </w:rPr>
              <w:t>况（社会经济结构、教育、文化、文物保护等）：</w:t>
            </w:r>
          </w:p>
          <w:p>
            <w:pPr>
              <w:spacing w:line="360" w:lineRule="auto"/>
              <w:ind w:firstLine="472" w:firstLineChars="196"/>
              <w:rPr>
                <w:rFonts w:hint="default" w:ascii="Times New Roman" w:hAnsi="Times New Roman" w:cs="Times New Roman"/>
                <w:b/>
                <w:bCs/>
                <w:sz w:val="24"/>
              </w:rPr>
            </w:pPr>
            <w:r>
              <w:rPr>
                <w:rFonts w:hint="default" w:ascii="Times New Roman" w:hAnsi="Times New Roman" w:cs="Times New Roman"/>
                <w:b/>
                <w:bCs/>
                <w:sz w:val="24"/>
              </w:rPr>
              <w:t>1、行政区域</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截止至2014年初，揭东区辖</w:t>
            </w:r>
            <w:r>
              <w:rPr>
                <w:rFonts w:hint="default" w:ascii="Times New Roman" w:hAnsi="Times New Roman" w:cs="Times New Roman"/>
                <w:sz w:val="24"/>
              </w:rPr>
              <w:fldChar w:fldCharType="begin"/>
            </w:r>
            <w:r>
              <w:rPr>
                <w:rFonts w:hint="default" w:ascii="Times New Roman" w:hAnsi="Times New Roman" w:cs="Times New Roman"/>
                <w:sz w:val="24"/>
              </w:rPr>
              <w:instrText xml:space="preserve"> HYPERLINK "http://baike.haosou.com/doc/5577068-5790757.html" \t "_blank" </w:instrText>
            </w:r>
            <w:r>
              <w:rPr>
                <w:rFonts w:hint="default" w:ascii="Times New Roman" w:hAnsi="Times New Roman" w:cs="Times New Roman"/>
                <w:sz w:val="24"/>
              </w:rPr>
              <w:fldChar w:fldCharType="separate"/>
            </w:r>
            <w:r>
              <w:rPr>
                <w:rFonts w:hint="default" w:ascii="Times New Roman" w:hAnsi="Times New Roman" w:cs="Times New Roman"/>
                <w:sz w:val="24"/>
              </w:rPr>
              <w:t>龙尾镇</w:t>
            </w:r>
            <w:r>
              <w:rPr>
                <w:rFonts w:hint="default" w:ascii="Times New Roman" w:hAnsi="Times New Roman" w:cs="Times New Roman"/>
                <w:sz w:val="24"/>
              </w:rPr>
              <w:fldChar w:fldCharType="end"/>
            </w:r>
            <w:r>
              <w:rPr>
                <w:rFonts w:hint="default" w:ascii="Times New Roman" w:hAnsi="Times New Roman" w:cs="Times New Roman"/>
                <w:sz w:val="24"/>
              </w:rPr>
              <w:t>、白塔镇、</w:t>
            </w:r>
            <w:r>
              <w:rPr>
                <w:rFonts w:hint="default" w:ascii="Times New Roman" w:hAnsi="Times New Roman" w:cs="Times New Roman"/>
                <w:sz w:val="24"/>
              </w:rPr>
              <w:fldChar w:fldCharType="begin"/>
            </w:r>
            <w:r>
              <w:rPr>
                <w:rFonts w:hint="default" w:ascii="Times New Roman" w:hAnsi="Times New Roman" w:cs="Times New Roman"/>
                <w:sz w:val="24"/>
              </w:rPr>
              <w:instrText xml:space="preserve"> HYPERLINK "http://baike.haosou.com/doc/5617516-5830131.html" \t "_blank" </w:instrText>
            </w:r>
            <w:r>
              <w:rPr>
                <w:rFonts w:hint="default" w:ascii="Times New Roman" w:hAnsi="Times New Roman" w:cs="Times New Roman"/>
                <w:sz w:val="24"/>
              </w:rPr>
              <w:fldChar w:fldCharType="separate"/>
            </w:r>
            <w:r>
              <w:rPr>
                <w:rFonts w:hint="default" w:ascii="Times New Roman" w:hAnsi="Times New Roman" w:cs="Times New Roman"/>
                <w:sz w:val="24"/>
              </w:rPr>
              <w:t>霖磐镇</w:t>
            </w:r>
            <w:r>
              <w:rPr>
                <w:rFonts w:hint="default" w:ascii="Times New Roman" w:hAnsi="Times New Roman" w:cs="Times New Roman"/>
                <w:sz w:val="24"/>
              </w:rPr>
              <w:fldChar w:fldCharType="end"/>
            </w:r>
            <w:r>
              <w:rPr>
                <w:rFonts w:hint="default" w:ascii="Times New Roman" w:hAnsi="Times New Roman" w:cs="Times New Roman"/>
                <w:sz w:val="24"/>
              </w:rPr>
              <w:t>、桂岭镇、月城镇、玉湖镇、</w:t>
            </w:r>
            <w:r>
              <w:rPr>
                <w:rFonts w:hint="default" w:ascii="Times New Roman" w:hAnsi="Times New Roman" w:cs="Times New Roman"/>
                <w:sz w:val="24"/>
              </w:rPr>
              <w:fldChar w:fldCharType="begin"/>
            </w:r>
            <w:r>
              <w:rPr>
                <w:rFonts w:hint="default" w:ascii="Times New Roman" w:hAnsi="Times New Roman" w:cs="Times New Roman"/>
                <w:sz w:val="24"/>
              </w:rPr>
              <w:instrText xml:space="preserve"> HYPERLINK "http://baike.haosou.com/doc/6285069-6498545.html" \t "_blank" </w:instrText>
            </w:r>
            <w:r>
              <w:rPr>
                <w:rFonts w:hint="default" w:ascii="Times New Roman" w:hAnsi="Times New Roman" w:cs="Times New Roman"/>
                <w:sz w:val="24"/>
              </w:rPr>
              <w:fldChar w:fldCharType="separate"/>
            </w:r>
            <w:r>
              <w:rPr>
                <w:rFonts w:hint="default" w:ascii="Times New Roman" w:hAnsi="Times New Roman" w:cs="Times New Roman"/>
                <w:sz w:val="24"/>
              </w:rPr>
              <w:t>新亨镇</w:t>
            </w:r>
            <w:r>
              <w:rPr>
                <w:rFonts w:hint="default" w:ascii="Times New Roman" w:hAnsi="Times New Roman" w:cs="Times New Roman"/>
                <w:sz w:val="24"/>
              </w:rPr>
              <w:fldChar w:fldCharType="end"/>
            </w:r>
            <w:r>
              <w:rPr>
                <w:rFonts w:hint="default" w:ascii="Times New Roman" w:hAnsi="Times New Roman" w:cs="Times New Roman"/>
                <w:sz w:val="24"/>
              </w:rPr>
              <w:t>、锡场镇、</w:t>
            </w:r>
            <w:r>
              <w:rPr>
                <w:rFonts w:hint="default" w:ascii="Times New Roman" w:hAnsi="Times New Roman" w:cs="Times New Roman"/>
                <w:sz w:val="24"/>
              </w:rPr>
              <w:fldChar w:fldCharType="begin"/>
            </w:r>
            <w:r>
              <w:rPr>
                <w:rFonts w:hint="default" w:ascii="Times New Roman" w:hAnsi="Times New Roman" w:cs="Times New Roman"/>
                <w:sz w:val="24"/>
              </w:rPr>
              <w:instrText xml:space="preserve"> HYPERLINK "http://baike.haosou.com/doc/6112747-6325884.html" \t "_blank" </w:instrText>
            </w:r>
            <w:r>
              <w:rPr>
                <w:rFonts w:hint="default" w:ascii="Times New Roman" w:hAnsi="Times New Roman" w:cs="Times New Roman"/>
                <w:sz w:val="24"/>
              </w:rPr>
              <w:fldChar w:fldCharType="separate"/>
            </w:r>
            <w:r>
              <w:rPr>
                <w:rFonts w:hint="default" w:ascii="Times New Roman" w:hAnsi="Times New Roman" w:cs="Times New Roman"/>
                <w:sz w:val="24"/>
              </w:rPr>
              <w:t>埔田镇</w:t>
            </w:r>
            <w:r>
              <w:rPr>
                <w:rFonts w:hint="default" w:ascii="Times New Roman" w:hAnsi="Times New Roman" w:cs="Times New Roman"/>
                <w:sz w:val="24"/>
              </w:rPr>
              <w:fldChar w:fldCharType="end"/>
            </w:r>
            <w:r>
              <w:rPr>
                <w:rFonts w:hint="default" w:ascii="Times New Roman" w:hAnsi="Times New Roman" w:cs="Times New Roman"/>
                <w:sz w:val="24"/>
              </w:rPr>
              <w:t>、</w:t>
            </w:r>
            <w:r>
              <w:rPr>
                <w:rFonts w:hint="default" w:ascii="Times New Roman" w:hAnsi="Times New Roman" w:cs="Times New Roman"/>
                <w:sz w:val="24"/>
              </w:rPr>
              <w:fldChar w:fldCharType="begin"/>
            </w:r>
            <w:r>
              <w:rPr>
                <w:rFonts w:hint="default" w:ascii="Times New Roman" w:hAnsi="Times New Roman" w:cs="Times New Roman"/>
                <w:sz w:val="24"/>
              </w:rPr>
              <w:instrText xml:space="preserve"> HYPERLINK "http://baike.haosou.com/doc/6505852-6719572.html" \t "_blank" </w:instrText>
            </w:r>
            <w:r>
              <w:rPr>
                <w:rFonts w:hint="default" w:ascii="Times New Roman" w:hAnsi="Times New Roman" w:cs="Times New Roman"/>
                <w:sz w:val="24"/>
              </w:rPr>
              <w:fldChar w:fldCharType="separate"/>
            </w:r>
            <w:r>
              <w:rPr>
                <w:rFonts w:hint="default" w:ascii="Times New Roman" w:hAnsi="Times New Roman" w:cs="Times New Roman"/>
                <w:sz w:val="24"/>
              </w:rPr>
              <w:t>云路镇</w:t>
            </w:r>
            <w:r>
              <w:rPr>
                <w:rFonts w:hint="default" w:ascii="Times New Roman" w:hAnsi="Times New Roman" w:cs="Times New Roman"/>
                <w:sz w:val="24"/>
              </w:rPr>
              <w:fldChar w:fldCharType="end"/>
            </w:r>
            <w:r>
              <w:rPr>
                <w:rFonts w:hint="default" w:ascii="Times New Roman" w:hAnsi="Times New Roman" w:cs="Times New Roman"/>
                <w:sz w:val="24"/>
              </w:rPr>
              <w:t>、</w:t>
            </w:r>
            <w:r>
              <w:rPr>
                <w:rFonts w:hint="default" w:ascii="Times New Roman" w:hAnsi="Times New Roman" w:cs="Times New Roman"/>
                <w:sz w:val="24"/>
              </w:rPr>
              <w:fldChar w:fldCharType="begin"/>
            </w:r>
            <w:r>
              <w:rPr>
                <w:rFonts w:hint="default" w:ascii="Times New Roman" w:hAnsi="Times New Roman" w:cs="Times New Roman"/>
                <w:sz w:val="24"/>
              </w:rPr>
              <w:instrText xml:space="preserve"> HYPERLINK "http://baike.haosou.com/doc/5875538-6088405.html" \t "_blank" </w:instrText>
            </w:r>
            <w:r>
              <w:rPr>
                <w:rFonts w:hint="default" w:ascii="Times New Roman" w:hAnsi="Times New Roman" w:cs="Times New Roman"/>
                <w:sz w:val="24"/>
              </w:rPr>
              <w:fldChar w:fldCharType="separate"/>
            </w:r>
            <w:r>
              <w:rPr>
                <w:rFonts w:hint="default" w:ascii="Times New Roman" w:hAnsi="Times New Roman" w:cs="Times New Roman"/>
                <w:sz w:val="24"/>
              </w:rPr>
              <w:t>玉窖镇</w:t>
            </w:r>
            <w:r>
              <w:rPr>
                <w:rFonts w:hint="default" w:ascii="Times New Roman" w:hAnsi="Times New Roman" w:cs="Times New Roman"/>
                <w:sz w:val="24"/>
              </w:rPr>
              <w:fldChar w:fldCharType="end"/>
            </w:r>
            <w:r>
              <w:rPr>
                <w:rFonts w:hint="default" w:ascii="Times New Roman" w:hAnsi="Times New Roman" w:cs="Times New Roman"/>
                <w:sz w:val="24"/>
              </w:rPr>
              <w:t>等镇、曲溪街道和揭东</w:t>
            </w:r>
            <w:r>
              <w:rPr>
                <w:rFonts w:hint="default" w:ascii="Times New Roman" w:hAnsi="Times New Roman" w:cs="Times New Roman"/>
                <w:sz w:val="24"/>
              </w:rPr>
              <w:fldChar w:fldCharType="begin"/>
            </w:r>
            <w:r>
              <w:rPr>
                <w:rFonts w:hint="default" w:ascii="Times New Roman" w:hAnsi="Times New Roman" w:cs="Times New Roman"/>
                <w:sz w:val="24"/>
              </w:rPr>
              <w:instrText xml:space="preserve"> HYPERLINK "http://baike.haosou.com/doc/6014483-6227471.html" \t "_blank" </w:instrText>
            </w:r>
            <w:r>
              <w:rPr>
                <w:rFonts w:hint="default" w:ascii="Times New Roman" w:hAnsi="Times New Roman" w:cs="Times New Roman"/>
                <w:sz w:val="24"/>
              </w:rPr>
              <w:fldChar w:fldCharType="separate"/>
            </w:r>
            <w:r>
              <w:rPr>
                <w:rFonts w:hint="default" w:ascii="Times New Roman" w:hAnsi="Times New Roman" w:cs="Times New Roman"/>
                <w:sz w:val="24"/>
              </w:rPr>
              <w:t>经济开发区</w:t>
            </w:r>
            <w:r>
              <w:rPr>
                <w:rFonts w:hint="default" w:ascii="Times New Roman" w:hAnsi="Times New Roman" w:cs="Times New Roman"/>
                <w:sz w:val="24"/>
              </w:rPr>
              <w:fldChar w:fldCharType="end"/>
            </w:r>
            <w:r>
              <w:rPr>
                <w:rFonts w:hint="default" w:ascii="Times New Roman" w:hAnsi="Times New Roman" w:cs="Times New Roman"/>
                <w:sz w:val="24"/>
              </w:rPr>
              <w:t>，下辖227个</w:t>
            </w:r>
            <w:r>
              <w:rPr>
                <w:rFonts w:hint="default" w:ascii="Times New Roman" w:hAnsi="Times New Roman" w:cs="Times New Roman"/>
                <w:sz w:val="24"/>
              </w:rPr>
              <w:fldChar w:fldCharType="begin"/>
            </w:r>
            <w:r>
              <w:rPr>
                <w:rFonts w:hint="default" w:ascii="Times New Roman" w:hAnsi="Times New Roman" w:cs="Times New Roman"/>
                <w:sz w:val="24"/>
              </w:rPr>
              <w:instrText xml:space="preserve"> HYPERLINK "http://baike.haosou.com/doc/350003-370758.html" \t "_blank" </w:instrText>
            </w:r>
            <w:r>
              <w:rPr>
                <w:rFonts w:hint="default" w:ascii="Times New Roman" w:hAnsi="Times New Roman" w:cs="Times New Roman"/>
                <w:sz w:val="24"/>
              </w:rPr>
              <w:fldChar w:fldCharType="separate"/>
            </w:r>
            <w:r>
              <w:rPr>
                <w:rFonts w:hint="default" w:ascii="Times New Roman" w:hAnsi="Times New Roman" w:cs="Times New Roman"/>
                <w:sz w:val="24"/>
              </w:rPr>
              <w:t>行政村</w:t>
            </w:r>
            <w:r>
              <w:rPr>
                <w:rFonts w:hint="default" w:ascii="Times New Roman" w:hAnsi="Times New Roman" w:cs="Times New Roman"/>
                <w:sz w:val="24"/>
              </w:rPr>
              <w:fldChar w:fldCharType="end"/>
            </w:r>
            <w:r>
              <w:rPr>
                <w:rFonts w:hint="default" w:ascii="Times New Roman" w:hAnsi="Times New Roman" w:cs="Times New Roman"/>
                <w:sz w:val="24"/>
              </w:rPr>
              <w:t>。揭东区人民政府驻地</w:t>
            </w:r>
            <w:r>
              <w:rPr>
                <w:rFonts w:hint="default" w:ascii="Times New Roman" w:hAnsi="Times New Roman" w:cs="Times New Roman"/>
                <w:sz w:val="24"/>
              </w:rPr>
              <w:fldChar w:fldCharType="begin"/>
            </w:r>
            <w:r>
              <w:rPr>
                <w:rFonts w:hint="default" w:ascii="Times New Roman" w:hAnsi="Times New Roman" w:cs="Times New Roman"/>
                <w:sz w:val="24"/>
              </w:rPr>
              <w:instrText xml:space="preserve"> HYPERLINK "http://baike.baidu.com/view/60001.htm" \t "_blank" </w:instrText>
            </w:r>
            <w:r>
              <w:rPr>
                <w:rFonts w:hint="default" w:ascii="Times New Roman" w:hAnsi="Times New Roman" w:cs="Times New Roman"/>
                <w:sz w:val="24"/>
              </w:rPr>
              <w:fldChar w:fldCharType="separate"/>
            </w:r>
            <w:r>
              <w:rPr>
                <w:rFonts w:hint="default" w:ascii="Times New Roman" w:hAnsi="Times New Roman" w:cs="Times New Roman"/>
                <w:sz w:val="24"/>
              </w:rPr>
              <w:t>曲溪</w:t>
            </w:r>
            <w:r>
              <w:rPr>
                <w:rFonts w:hint="default" w:ascii="Times New Roman" w:hAnsi="Times New Roman" w:cs="Times New Roman"/>
                <w:sz w:val="24"/>
              </w:rPr>
              <w:fldChar w:fldCharType="end"/>
            </w:r>
            <w:r>
              <w:rPr>
                <w:rFonts w:hint="default" w:ascii="Times New Roman" w:hAnsi="Times New Roman" w:cs="Times New Roman"/>
                <w:sz w:val="24"/>
              </w:rPr>
              <w:t>街道，属</w:t>
            </w:r>
            <w:r>
              <w:rPr>
                <w:rFonts w:hint="default" w:ascii="Times New Roman" w:hAnsi="Times New Roman" w:cs="Times New Roman"/>
                <w:sz w:val="24"/>
              </w:rPr>
              <w:fldChar w:fldCharType="begin"/>
            </w:r>
            <w:r>
              <w:rPr>
                <w:rFonts w:hint="default" w:ascii="Times New Roman" w:hAnsi="Times New Roman" w:cs="Times New Roman"/>
                <w:sz w:val="24"/>
              </w:rPr>
              <w:instrText xml:space="preserve"> HYPERLINK "http://baike.baidu.com/view/84855.htm" \t "_blank" </w:instrText>
            </w:r>
            <w:r>
              <w:rPr>
                <w:rFonts w:hint="default" w:ascii="Times New Roman" w:hAnsi="Times New Roman" w:cs="Times New Roman"/>
                <w:sz w:val="24"/>
              </w:rPr>
              <w:fldChar w:fldCharType="separate"/>
            </w:r>
            <w:r>
              <w:rPr>
                <w:rFonts w:hint="default" w:ascii="Times New Roman" w:hAnsi="Times New Roman" w:cs="Times New Roman"/>
                <w:sz w:val="24"/>
              </w:rPr>
              <w:t>揭阳市</w:t>
            </w:r>
            <w:r>
              <w:rPr>
                <w:rFonts w:hint="default" w:ascii="Times New Roman" w:hAnsi="Times New Roman" w:cs="Times New Roman"/>
                <w:sz w:val="24"/>
              </w:rPr>
              <w:fldChar w:fldCharType="end"/>
            </w:r>
            <w:r>
              <w:rPr>
                <w:rFonts w:hint="default" w:ascii="Times New Roman" w:hAnsi="Times New Roman" w:cs="Times New Roman"/>
                <w:sz w:val="24"/>
              </w:rPr>
              <w:t>。2012年12月24日，揭东撤县设区。将揭阳市榕城区的磐东街道划归揭东区管辖，以原揭东区（不含地都镇、砲台镇、登岗镇）和榕城区磐东街道的行政区域为揭东区的行政区域。将原揭东区</w:t>
            </w:r>
            <w:r>
              <w:rPr>
                <w:rFonts w:hint="default" w:ascii="Times New Roman" w:hAnsi="Times New Roman" w:cs="Times New Roman"/>
                <w:sz w:val="24"/>
              </w:rPr>
              <w:fldChar w:fldCharType="begin"/>
            </w:r>
            <w:r>
              <w:rPr>
                <w:rFonts w:hint="default" w:ascii="Times New Roman" w:hAnsi="Times New Roman" w:cs="Times New Roman"/>
                <w:sz w:val="24"/>
              </w:rPr>
              <w:instrText xml:space="preserve"> HYPERLINK "http://baike.baidu.com/view/159728.htm" \t "_blank" </w:instrText>
            </w:r>
            <w:r>
              <w:rPr>
                <w:rFonts w:hint="default" w:ascii="Times New Roman" w:hAnsi="Times New Roman" w:cs="Times New Roman"/>
                <w:sz w:val="24"/>
              </w:rPr>
              <w:fldChar w:fldCharType="separate"/>
            </w:r>
            <w:r>
              <w:rPr>
                <w:rFonts w:hint="default" w:ascii="Times New Roman" w:hAnsi="Times New Roman" w:cs="Times New Roman"/>
                <w:sz w:val="24"/>
              </w:rPr>
              <w:t>地都镇</w:t>
            </w:r>
            <w:r>
              <w:rPr>
                <w:rFonts w:hint="default" w:ascii="Times New Roman" w:hAnsi="Times New Roman" w:cs="Times New Roman"/>
                <w:sz w:val="24"/>
              </w:rPr>
              <w:fldChar w:fldCharType="end"/>
            </w:r>
            <w:r>
              <w:rPr>
                <w:rFonts w:hint="default" w:ascii="Times New Roman" w:hAnsi="Times New Roman" w:cs="Times New Roman"/>
                <w:sz w:val="24"/>
              </w:rPr>
              <w:t>、</w:t>
            </w:r>
            <w:r>
              <w:rPr>
                <w:rFonts w:hint="default" w:ascii="Times New Roman" w:hAnsi="Times New Roman" w:cs="Times New Roman"/>
                <w:sz w:val="24"/>
              </w:rPr>
              <w:fldChar w:fldCharType="begin"/>
            </w:r>
            <w:r>
              <w:rPr>
                <w:rFonts w:hint="default" w:ascii="Times New Roman" w:hAnsi="Times New Roman" w:cs="Times New Roman"/>
                <w:sz w:val="24"/>
              </w:rPr>
              <w:instrText xml:space="preserve"> HYPERLINK "http://baike.baidu.com/view/159647.htm" \t "_blank" </w:instrText>
            </w:r>
            <w:r>
              <w:rPr>
                <w:rFonts w:hint="default" w:ascii="Times New Roman" w:hAnsi="Times New Roman" w:cs="Times New Roman"/>
                <w:sz w:val="24"/>
              </w:rPr>
              <w:fldChar w:fldCharType="separate"/>
            </w:r>
            <w:r>
              <w:rPr>
                <w:rFonts w:hint="default" w:ascii="Times New Roman" w:hAnsi="Times New Roman" w:cs="Times New Roman"/>
                <w:sz w:val="24"/>
              </w:rPr>
              <w:t>砲台镇</w:t>
            </w:r>
            <w:r>
              <w:rPr>
                <w:rFonts w:hint="default" w:ascii="Times New Roman" w:hAnsi="Times New Roman" w:cs="Times New Roman"/>
                <w:sz w:val="24"/>
              </w:rPr>
              <w:fldChar w:fldCharType="end"/>
            </w:r>
            <w:r>
              <w:rPr>
                <w:rFonts w:hint="default" w:ascii="Times New Roman" w:hAnsi="Times New Roman" w:cs="Times New Roman"/>
                <w:sz w:val="24"/>
              </w:rPr>
              <w:t>、</w:t>
            </w:r>
            <w:r>
              <w:rPr>
                <w:rFonts w:hint="default" w:ascii="Times New Roman" w:hAnsi="Times New Roman" w:cs="Times New Roman"/>
                <w:sz w:val="24"/>
              </w:rPr>
              <w:fldChar w:fldCharType="begin"/>
            </w:r>
            <w:r>
              <w:rPr>
                <w:rFonts w:hint="default" w:ascii="Times New Roman" w:hAnsi="Times New Roman" w:cs="Times New Roman"/>
                <w:sz w:val="24"/>
              </w:rPr>
              <w:instrText xml:space="preserve"> HYPERLINK "http://baike.baidu.com/view/159743.htm" \t "_blank" </w:instrText>
            </w:r>
            <w:r>
              <w:rPr>
                <w:rFonts w:hint="default" w:ascii="Times New Roman" w:hAnsi="Times New Roman" w:cs="Times New Roman"/>
                <w:sz w:val="24"/>
              </w:rPr>
              <w:fldChar w:fldCharType="separate"/>
            </w:r>
            <w:r>
              <w:rPr>
                <w:rFonts w:hint="default" w:ascii="Times New Roman" w:hAnsi="Times New Roman" w:cs="Times New Roman"/>
                <w:sz w:val="24"/>
              </w:rPr>
              <w:t>登岗镇</w:t>
            </w:r>
            <w:r>
              <w:rPr>
                <w:rFonts w:hint="default" w:ascii="Times New Roman" w:hAnsi="Times New Roman" w:cs="Times New Roman"/>
                <w:sz w:val="24"/>
              </w:rPr>
              <w:fldChar w:fldCharType="end"/>
            </w:r>
            <w:r>
              <w:rPr>
                <w:rFonts w:hint="default" w:ascii="Times New Roman" w:hAnsi="Times New Roman" w:cs="Times New Roman"/>
                <w:sz w:val="24"/>
              </w:rPr>
              <w:t>划归榕城区管辖。2014年揭东区总人口115万，汉族，居民主要有潮、客两众。揭东区</w:t>
            </w:r>
            <w:r>
              <w:rPr>
                <w:rFonts w:hint="default" w:ascii="Times New Roman" w:hAnsi="Times New Roman" w:cs="Times New Roman"/>
                <w:sz w:val="24"/>
              </w:rPr>
              <w:fldChar w:fldCharType="begin"/>
            </w:r>
            <w:r>
              <w:rPr>
                <w:rFonts w:hint="default" w:ascii="Times New Roman" w:hAnsi="Times New Roman" w:cs="Times New Roman"/>
                <w:sz w:val="24"/>
              </w:rPr>
              <w:instrText xml:space="preserve"> HYPERLINK "http://baike.baidu.com/view/2471053.htm" \t "_blank" </w:instrText>
            </w:r>
            <w:r>
              <w:rPr>
                <w:rFonts w:hint="default" w:ascii="Times New Roman" w:hAnsi="Times New Roman" w:cs="Times New Roman"/>
                <w:sz w:val="24"/>
              </w:rPr>
              <w:fldChar w:fldCharType="separate"/>
            </w:r>
            <w:r>
              <w:rPr>
                <w:rFonts w:hint="default" w:ascii="Times New Roman" w:hAnsi="Times New Roman" w:cs="Times New Roman"/>
                <w:sz w:val="24"/>
              </w:rPr>
              <w:t>海外侨胞</w:t>
            </w:r>
            <w:r>
              <w:rPr>
                <w:rFonts w:hint="default" w:ascii="Times New Roman" w:hAnsi="Times New Roman" w:cs="Times New Roman"/>
                <w:sz w:val="24"/>
              </w:rPr>
              <w:fldChar w:fldCharType="end"/>
            </w:r>
            <w:r>
              <w:rPr>
                <w:rFonts w:hint="default" w:ascii="Times New Roman" w:hAnsi="Times New Roman" w:cs="Times New Roman"/>
                <w:sz w:val="24"/>
              </w:rPr>
              <w:t>有60多万人，是</w:t>
            </w:r>
            <w:r>
              <w:rPr>
                <w:rFonts w:hint="default" w:ascii="Times New Roman" w:hAnsi="Times New Roman" w:cs="Times New Roman"/>
                <w:sz w:val="24"/>
              </w:rPr>
              <w:fldChar w:fldCharType="begin"/>
            </w:r>
            <w:r>
              <w:rPr>
                <w:rFonts w:hint="default" w:ascii="Times New Roman" w:hAnsi="Times New Roman" w:cs="Times New Roman"/>
                <w:sz w:val="24"/>
              </w:rPr>
              <w:instrText xml:space="preserve"> HYPERLINK "http://baike.baidu.com/view/7340.htm" \t "_blank" </w:instrText>
            </w:r>
            <w:r>
              <w:rPr>
                <w:rFonts w:hint="default" w:ascii="Times New Roman" w:hAnsi="Times New Roman" w:cs="Times New Roman"/>
                <w:sz w:val="24"/>
              </w:rPr>
              <w:fldChar w:fldCharType="separate"/>
            </w:r>
            <w:r>
              <w:rPr>
                <w:rFonts w:hint="default" w:ascii="Times New Roman" w:hAnsi="Times New Roman" w:cs="Times New Roman"/>
                <w:sz w:val="24"/>
              </w:rPr>
              <w:t>广东</w:t>
            </w:r>
            <w:r>
              <w:rPr>
                <w:rFonts w:hint="default" w:ascii="Times New Roman" w:hAnsi="Times New Roman" w:cs="Times New Roman"/>
                <w:sz w:val="24"/>
              </w:rPr>
              <w:fldChar w:fldCharType="end"/>
            </w:r>
            <w:r>
              <w:rPr>
                <w:rFonts w:hint="default" w:ascii="Times New Roman" w:hAnsi="Times New Roman" w:cs="Times New Roman"/>
                <w:sz w:val="24"/>
              </w:rPr>
              <w:t>重点侨乡之一。</w:t>
            </w:r>
          </w:p>
          <w:p>
            <w:pPr>
              <w:spacing w:line="360" w:lineRule="auto"/>
              <w:ind w:firstLine="472" w:firstLineChars="196"/>
              <w:rPr>
                <w:rFonts w:hint="default" w:ascii="Times New Roman" w:hAnsi="Times New Roman" w:cs="Times New Roman"/>
                <w:b/>
                <w:bCs/>
                <w:sz w:val="24"/>
              </w:rPr>
            </w:pPr>
            <w:r>
              <w:rPr>
                <w:rFonts w:hint="default" w:ascii="Times New Roman" w:hAnsi="Times New Roman" w:cs="Times New Roman"/>
                <w:b/>
                <w:bCs/>
                <w:sz w:val="24"/>
              </w:rPr>
              <w:t>2、社会经济概况</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（1）社会经济</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2015年以来，揭东区紧扣“争当全市新型工业化和城镇化典范”的目标，通过实施科技创新，全力推动 产业“登高”，加快产业转型升级，搞活商贸流通，做好外资引进和外贸出口，力促全区经济持续稳定发展，各重点经济指标圆满完成。其中，“三个新增”任务均 超过市下达任务，新增规模以上工业企业25家，限额以上商业企业17家，重点服务业企业4家；完成外贸出口9.5亿美元，比增32％；新批自营进出口企业 32家；全区单位GDP能耗下降3.0％，完成“十二五”节能累计目标任务。</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该区积极宣传国家、省、市、区对中小微企业的技改扶持政策，引导督促企业加大技改投入，加快技改项目进度。2015年工业投资85亿元，落实 66家规模以上工业企业实施技术改造，积极参股市设立的中小微企业贷款风险补偿金，为中小微企业解决贷款难题；向上争取支持，积极组织揭东经济开发区、中德金属生态城及有关企业向国家、省申报园区基础设施建设、转型升级、设备更新、政银 企合作、生产服务业等财政资金支持。</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对于外贸出口工作，该区不断加大扶持力度，落实市、区级财政资金267万元，对2014年符合出口增量条件的50家企业兑现奖励；帮助一批外贸进出口企业向省争取开拓国际市场、提升国际化经营能力、促进进口加工贸易转型升级、科技兴贸和品牌建设、服务贸易发展、对外投资合作等各类稳增长、调结构 专项支持。</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（2）教育事业</w:t>
            </w:r>
          </w:p>
          <w:p>
            <w:pPr>
              <w:widowControl/>
              <w:pBdr>
                <w:bottom w:val="single" w:color="F0F0FF" w:sz="6" w:space="0"/>
              </w:pBdr>
              <w:spacing w:line="360" w:lineRule="auto"/>
              <w:ind w:firstLine="480" w:firstLineChars="200"/>
              <w:rPr>
                <w:rFonts w:hint="default" w:ascii="Times New Roman" w:hAnsi="Times New Roman" w:cs="Times New Roman"/>
                <w:color w:val="auto"/>
                <w:sz w:val="24"/>
              </w:rPr>
            </w:pPr>
            <w:bookmarkStart w:id="2" w:name="_Toc178303947"/>
            <w:bookmarkStart w:id="3" w:name="_Toc297582203"/>
            <w:bookmarkStart w:id="4" w:name="_Toc193772943"/>
            <w:bookmarkStart w:id="5" w:name="_Toc178829701"/>
            <w:bookmarkStart w:id="6" w:name="_Toc197938114"/>
            <w:bookmarkStart w:id="7" w:name="_Toc178680337"/>
            <w:bookmarkStart w:id="8" w:name="_Toc178680235"/>
            <w:bookmarkStart w:id="9" w:name="_Toc178909032"/>
            <w:bookmarkStart w:id="10" w:name="_Toc184023379"/>
            <w:bookmarkStart w:id="11" w:name="_Toc178303994"/>
            <w:bookmarkStart w:id="12" w:name="_Toc97456593"/>
            <w:r>
              <w:rPr>
                <w:rFonts w:hint="default" w:ascii="Times New Roman" w:hAnsi="Times New Roman" w:cs="Times New Roman"/>
                <w:sz w:val="24"/>
              </w:rPr>
              <w:t>揭东区有中小学校296所，在校学生22.354万人，揭东区小学适龄儿童入学率达到100% ，毕业生升学率达100%；初中净入学率达到98.55% ，年巩固率达到98.42%；“三残”学龄儿童入学率达到100% ，年</w:t>
            </w:r>
            <w:bookmarkStart w:id="13" w:name="ref_[12]_9966953"/>
            <w:bookmarkEnd w:id="13"/>
            <w:r>
              <w:rPr>
                <w:rFonts w:hint="default" w:ascii="Times New Roman" w:hAnsi="Times New Roman" w:cs="Times New Roman"/>
                <w:sz w:val="24"/>
              </w:rPr>
              <w:t>巩固率达到98.28% 以上，普九事业各率均达到或超过省的指标要求。高中阶段教育发展迅猛，揭东区共有普通高中12所，在校学生28.278万人，每万人口在校普通高中生按户口人口计为255人，按常住人口计为285人，居全市前列；职业高中4所，在校学生2457人。截止至2013年揭东区共投入资金103477万亿元，新建、改建、扩建学校770所次，总建筑面积133.2244万平方米，增设学位12.98万个。其中完成了87所簿弱学校和33所老区、山区破旧学校的改造和揭东区123所义务教育阶段学校C、D级危房改造。投入资金5698万元，用于教育现代化、信息化建设，完善中小学仪器设备和电脑室、语音室等教育功能室的配套。揭东区有县（区）以上等级学校56所，其中省一级学校3所、市一级13所、县（区）一级42所。</w:t>
            </w:r>
            <w:bookmarkEnd w:id="2"/>
            <w:bookmarkEnd w:id="3"/>
            <w:bookmarkEnd w:id="4"/>
            <w:bookmarkEnd w:id="5"/>
            <w:bookmarkEnd w:id="6"/>
            <w:bookmarkEnd w:id="7"/>
            <w:bookmarkEnd w:id="8"/>
            <w:bookmarkEnd w:id="9"/>
            <w:bookmarkEnd w:id="10"/>
            <w:bookmarkEnd w:id="11"/>
            <w:bookmarkEnd w:id="12"/>
          </w:p>
        </w:tc>
      </w:tr>
    </w:tbl>
    <w:p>
      <w:pPr>
        <w:spacing w:line="300" w:lineRule="auto"/>
        <w:ind w:firstLine="454"/>
        <w:rPr>
          <w:rFonts w:hint="default" w:ascii="Times New Roman" w:hAnsi="Times New Roman" w:cs="Times New Roman"/>
          <w:color w:val="auto"/>
          <w:sz w:val="28"/>
        </w:rPr>
        <w:sectPr>
          <w:pgSz w:w="11907" w:h="16840"/>
          <w:pgMar w:top="1304" w:right="1134" w:bottom="1134" w:left="1304" w:header="964" w:footer="964" w:gutter="0"/>
          <w:pgBorders>
            <w:top w:val="none" w:sz="0" w:space="0"/>
            <w:left w:val="none" w:sz="0" w:space="0"/>
            <w:bottom w:val="none" w:sz="0" w:space="0"/>
            <w:right w:val="none" w:sz="0" w:space="0"/>
          </w:pgBorders>
          <w:cols w:space="720" w:num="1"/>
          <w:docGrid w:type="lines" w:linePitch="334" w:charSpace="6716"/>
        </w:sectPr>
      </w:pPr>
    </w:p>
    <w:p>
      <w:pPr>
        <w:pStyle w:val="3"/>
        <w:jc w:val="left"/>
        <w:rPr>
          <w:rFonts w:hint="default" w:ascii="Times New Roman" w:hAnsi="Times New Roman" w:cs="Times New Roman"/>
          <w:b/>
          <w:bCs/>
          <w:color w:val="auto"/>
          <w:szCs w:val="28"/>
        </w:rPr>
      </w:pPr>
      <w:r>
        <w:rPr>
          <w:rFonts w:hint="default" w:ascii="Times New Roman" w:hAnsi="Times New Roman" w:cs="Times New Roman"/>
          <w:b/>
          <w:bCs/>
          <w:color w:val="auto"/>
          <w:szCs w:val="28"/>
        </w:rPr>
        <w:t>环境质量状况</w:t>
      </w:r>
    </w:p>
    <w:tbl>
      <w:tblPr>
        <w:tblStyle w:val="31"/>
        <w:tblW w:w="9571"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57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064" w:hRule="atLeast"/>
        </w:trPr>
        <w:tc>
          <w:tcPr>
            <w:tcW w:w="9571" w:type="dxa"/>
            <w:tcBorders>
              <w:bottom w:val="single" w:color="auto" w:sz="4" w:space="0"/>
            </w:tcBorders>
          </w:tcPr>
          <w:p>
            <w:pPr>
              <w:spacing w:before="100" w:beforeAutospacing="1" w:line="360" w:lineRule="auto"/>
              <w:rPr>
                <w:rFonts w:hint="default" w:ascii="Times New Roman" w:hAnsi="Times New Roman" w:cs="Times New Roman"/>
                <w:b/>
                <w:color w:val="auto"/>
                <w:sz w:val="28"/>
              </w:rPr>
            </w:pPr>
            <w:r>
              <w:rPr>
                <w:rFonts w:hint="default" w:ascii="Times New Roman" w:hAnsi="Times New Roman" w:cs="Times New Roman"/>
                <w:b/>
                <w:color w:val="auto"/>
                <w:sz w:val="28"/>
              </w:rPr>
              <w:t>建设项目所在地区域环境现状及主要环境问题：</w:t>
            </w:r>
          </w:p>
          <w:p>
            <w:pPr>
              <w:pStyle w:val="47"/>
              <w:adjustRightInd w:val="0"/>
              <w:snapToGrid/>
              <w:ind w:firstLine="480" w:firstLineChars="200"/>
              <w:rPr>
                <w:rFonts w:hint="default" w:ascii="Times New Roman" w:hAnsi="Times New Roman" w:eastAsia="黑体" w:cs="Times New Roman"/>
                <w:bCs w:val="0"/>
                <w:color w:val="auto"/>
              </w:rPr>
            </w:pPr>
            <w:r>
              <w:rPr>
                <w:rFonts w:hint="default" w:ascii="Times New Roman" w:hAnsi="Times New Roman" w:cs="Times New Roman"/>
                <w:color w:val="auto"/>
                <w:szCs w:val="21"/>
              </w:rPr>
              <w:t>项目所在地环境功能属性如下表3-1所列：</w:t>
            </w:r>
          </w:p>
          <w:p>
            <w:pPr>
              <w:widowControl/>
              <w:tabs>
                <w:tab w:val="left" w:pos="945"/>
              </w:tabs>
              <w:autoSpaceDE w:val="0"/>
              <w:autoSpaceDN w:val="0"/>
              <w:jc w:val="center"/>
              <w:rPr>
                <w:rFonts w:hint="default" w:ascii="Times New Roman" w:hAnsi="Times New Roman" w:cs="Times New Roman"/>
                <w:b/>
                <w:color w:val="auto"/>
                <w:sz w:val="24"/>
              </w:rPr>
            </w:pPr>
            <w:r>
              <w:rPr>
                <w:rFonts w:hint="default" w:ascii="Times New Roman" w:hAnsi="Times New Roman" w:cs="Times New Roman"/>
                <w:b/>
                <w:color w:val="auto"/>
                <w:sz w:val="24"/>
              </w:rPr>
              <w:t>表3-1   建设项目所在地环境功能属性表</w:t>
            </w:r>
          </w:p>
          <w:tbl>
            <w:tblPr>
              <w:tblStyle w:val="31"/>
              <w:tblW w:w="90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
              <w:gridCol w:w="3543"/>
              <w:gridCol w:w="4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6" w:type="dxa"/>
                  <w:vAlign w:val="center"/>
                </w:tcPr>
                <w:p>
                  <w:pPr>
                    <w:ind w:right="-3"/>
                    <w:jc w:val="center"/>
                    <w:rPr>
                      <w:rFonts w:hint="default" w:ascii="Times New Roman" w:hAnsi="Times New Roman" w:cs="Times New Roman"/>
                      <w:b/>
                      <w:color w:val="auto"/>
                      <w:szCs w:val="21"/>
                    </w:rPr>
                  </w:pPr>
                  <w:r>
                    <w:rPr>
                      <w:rFonts w:hint="default" w:ascii="Times New Roman" w:hAnsi="Times New Roman" w:cs="Times New Roman"/>
                      <w:b/>
                      <w:color w:val="auto"/>
                      <w:szCs w:val="21"/>
                    </w:rPr>
                    <w:t>编号</w:t>
                  </w:r>
                </w:p>
              </w:tc>
              <w:tc>
                <w:tcPr>
                  <w:tcW w:w="3543" w:type="dxa"/>
                  <w:vAlign w:val="center"/>
                </w:tcPr>
                <w:p>
                  <w:pPr>
                    <w:pStyle w:val="61"/>
                    <w:jc w:val="center"/>
                    <w:rPr>
                      <w:rFonts w:hint="default" w:ascii="Times New Roman" w:hAnsi="Times New Roman" w:cs="Times New Roman"/>
                      <w:b/>
                      <w:color w:val="auto"/>
                      <w:kern w:val="2"/>
                      <w:sz w:val="21"/>
                      <w:szCs w:val="21"/>
                    </w:rPr>
                  </w:pPr>
                  <w:r>
                    <w:rPr>
                      <w:rFonts w:hint="default" w:ascii="Times New Roman" w:hAnsi="Times New Roman" w:cs="Times New Roman"/>
                      <w:b/>
                      <w:color w:val="auto"/>
                      <w:kern w:val="2"/>
                      <w:sz w:val="21"/>
                      <w:szCs w:val="21"/>
                    </w:rPr>
                    <w:t>项       目</w:t>
                  </w:r>
                </w:p>
              </w:tc>
              <w:tc>
                <w:tcPr>
                  <w:tcW w:w="4662" w:type="dxa"/>
                  <w:vAlign w:val="center"/>
                </w:tcPr>
                <w:p>
                  <w:pPr>
                    <w:pStyle w:val="61"/>
                    <w:ind w:firstLine="422"/>
                    <w:rPr>
                      <w:rFonts w:hint="default" w:ascii="Times New Roman" w:hAnsi="Times New Roman" w:cs="Times New Roman"/>
                      <w:b/>
                      <w:color w:val="auto"/>
                      <w:kern w:val="2"/>
                      <w:sz w:val="21"/>
                      <w:szCs w:val="21"/>
                    </w:rPr>
                  </w:pPr>
                  <w:r>
                    <w:rPr>
                      <w:rFonts w:hint="default" w:ascii="Times New Roman" w:hAnsi="Times New Roman" w:cs="Times New Roman"/>
                      <w:b/>
                      <w:color w:val="auto"/>
                      <w:kern w:val="2"/>
                      <w:sz w:val="21"/>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6" w:type="dxa"/>
                  <w:vAlign w:val="center"/>
                </w:tcPr>
                <w:p>
                  <w:pPr>
                    <w:ind w:right="-3"/>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3543" w:type="dxa"/>
                  <w:vAlign w:val="center"/>
                </w:tcPr>
                <w:p>
                  <w:pPr>
                    <w:pStyle w:val="61"/>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水环境功能区</w:t>
                  </w:r>
                </w:p>
              </w:tc>
              <w:tc>
                <w:tcPr>
                  <w:tcW w:w="4662" w:type="dxa"/>
                  <w:vAlign w:val="center"/>
                </w:tcPr>
                <w:p>
                  <w:pPr>
                    <w:pStyle w:val="61"/>
                    <w:rPr>
                      <w:rFonts w:hint="default" w:ascii="Times New Roman" w:hAnsi="Times New Roman" w:cs="Times New Roman"/>
                      <w:color w:val="auto"/>
                      <w:kern w:val="2"/>
                      <w:sz w:val="21"/>
                      <w:szCs w:val="21"/>
                      <w:highlight w:val="green"/>
                    </w:rPr>
                  </w:pPr>
                  <w:r>
                    <w:rPr>
                      <w:rFonts w:hint="default" w:ascii="Times New Roman" w:hAnsi="Times New Roman" w:cs="Times New Roman"/>
                      <w:bCs/>
                      <w:color w:val="auto"/>
                      <w:spacing w:val="8"/>
                      <w:sz w:val="21"/>
                      <w:szCs w:val="21"/>
                      <w:lang w:eastAsia="zh-CN"/>
                    </w:rPr>
                    <w:t>项目</w:t>
                  </w:r>
                  <w:r>
                    <w:rPr>
                      <w:rFonts w:hint="eastAsia" w:ascii="Times New Roman" w:hAnsi="Times New Roman" w:cs="Times New Roman"/>
                      <w:bCs/>
                      <w:color w:val="auto"/>
                      <w:spacing w:val="8"/>
                      <w:sz w:val="21"/>
                      <w:szCs w:val="21"/>
                      <w:lang w:eastAsia="zh-CN"/>
                    </w:rPr>
                    <w:t>附近</w:t>
                  </w:r>
                  <w:r>
                    <w:rPr>
                      <w:rFonts w:hint="default" w:ascii="Times New Roman" w:hAnsi="Times New Roman" w:cs="Times New Roman"/>
                      <w:bCs/>
                      <w:color w:val="auto"/>
                      <w:spacing w:val="8"/>
                      <w:sz w:val="21"/>
                      <w:szCs w:val="21"/>
                      <w:lang w:eastAsia="zh-CN"/>
                    </w:rPr>
                    <w:t>水体为</w:t>
                  </w:r>
                  <w:r>
                    <w:rPr>
                      <w:rFonts w:hint="eastAsia" w:ascii="Times New Roman" w:hAnsi="Times New Roman" w:cs="Times New Roman"/>
                      <w:bCs/>
                      <w:color w:val="auto"/>
                      <w:spacing w:val="8"/>
                      <w:sz w:val="21"/>
                      <w:szCs w:val="21"/>
                      <w:lang w:eastAsia="zh-CN"/>
                    </w:rPr>
                    <w:t>榕江北河</w:t>
                  </w:r>
                  <w:r>
                    <w:rPr>
                      <w:rFonts w:hint="default" w:ascii="Times New Roman" w:hAnsi="Times New Roman" w:cs="Times New Roman"/>
                      <w:bCs/>
                      <w:color w:val="auto"/>
                      <w:spacing w:val="8"/>
                      <w:sz w:val="21"/>
                      <w:szCs w:val="21"/>
                      <w:lang w:eastAsia="zh-CN"/>
                    </w:rPr>
                    <w:t>（</w:t>
                  </w:r>
                  <w:r>
                    <w:rPr>
                      <w:rFonts w:hint="eastAsia" w:ascii="Times New Roman" w:hAnsi="Times New Roman" w:cs="Times New Roman"/>
                      <w:bCs/>
                      <w:color w:val="auto"/>
                      <w:spacing w:val="8"/>
                      <w:sz w:val="21"/>
                      <w:szCs w:val="21"/>
                      <w:lang w:eastAsia="zh-CN"/>
                    </w:rPr>
                    <w:t>锡中潭边渡至上游</w:t>
                  </w:r>
                  <w:r>
                    <w:rPr>
                      <w:rFonts w:hint="eastAsia" w:ascii="Times New Roman" w:hAnsi="Times New Roman" w:cs="Times New Roman"/>
                      <w:bCs/>
                      <w:color w:val="auto"/>
                      <w:spacing w:val="8"/>
                      <w:sz w:val="21"/>
                      <w:szCs w:val="21"/>
                      <w:lang w:val="en-US" w:eastAsia="zh-CN"/>
                    </w:rPr>
                    <w:t>2公里广安寺水域</w:t>
                  </w:r>
                  <w:r>
                    <w:rPr>
                      <w:rFonts w:hint="default" w:ascii="Times New Roman" w:hAnsi="Times New Roman" w:cs="Times New Roman"/>
                      <w:bCs/>
                      <w:color w:val="auto"/>
                      <w:spacing w:val="8"/>
                      <w:sz w:val="21"/>
                      <w:szCs w:val="21"/>
                      <w:lang w:eastAsia="zh-CN"/>
                    </w:rPr>
                    <w:t>），属地表水环境</w:t>
                  </w:r>
                  <w:r>
                    <w:rPr>
                      <w:rFonts w:hint="eastAsia" w:ascii="Times New Roman" w:hAnsi="Times New Roman" w:cs="Times New Roman"/>
                      <w:bCs/>
                      <w:color w:val="auto"/>
                      <w:spacing w:val="8"/>
                      <w:sz w:val="21"/>
                      <w:szCs w:val="21"/>
                      <w:lang w:val="en-US" w:eastAsia="zh-CN"/>
                    </w:rPr>
                    <w:t>II</w:t>
                  </w:r>
                  <w:r>
                    <w:rPr>
                      <w:rFonts w:hint="default" w:ascii="Times New Roman" w:hAnsi="Times New Roman" w:cs="Times New Roman"/>
                      <w:bCs/>
                      <w:color w:val="auto"/>
                      <w:spacing w:val="8"/>
                      <w:sz w:val="21"/>
                      <w:szCs w:val="21"/>
                      <w:lang w:eastAsia="zh-CN"/>
                    </w:rPr>
                    <w:t>类功能区，</w:t>
                  </w:r>
                  <w:r>
                    <w:rPr>
                      <w:rFonts w:hint="default" w:ascii="Times New Roman" w:hAnsi="Times New Roman" w:cs="Times New Roman"/>
                      <w:bCs/>
                      <w:color w:val="auto"/>
                      <w:spacing w:val="8"/>
                      <w:sz w:val="21"/>
                      <w:szCs w:val="21"/>
                    </w:rPr>
                    <w:t>执行《地表水环境质量标准》（GB3838-2002）中的</w:t>
                  </w:r>
                  <w:r>
                    <w:rPr>
                      <w:rFonts w:hint="eastAsia" w:ascii="Times New Roman" w:hAnsi="Times New Roman" w:cs="Times New Roman"/>
                      <w:bCs/>
                      <w:color w:val="auto"/>
                      <w:spacing w:val="8"/>
                      <w:sz w:val="21"/>
                      <w:szCs w:val="21"/>
                      <w:lang w:val="en-US" w:eastAsia="zh-CN"/>
                    </w:rPr>
                    <w:t>II</w:t>
                  </w:r>
                  <w:r>
                    <w:rPr>
                      <w:rFonts w:hint="default" w:ascii="Times New Roman" w:hAnsi="Times New Roman" w:cs="Times New Roman"/>
                      <w:bCs/>
                      <w:color w:val="auto"/>
                      <w:spacing w:val="8"/>
                      <w:sz w:val="21"/>
                      <w:szCs w:val="21"/>
                      <w:lang w:eastAsia="zh-CN"/>
                    </w:rPr>
                    <w:t>类</w:t>
                  </w:r>
                  <w:r>
                    <w:rPr>
                      <w:rFonts w:hint="default" w:ascii="Times New Roman" w:hAnsi="Times New Roman" w:cs="Times New Roman"/>
                      <w:bCs/>
                      <w:color w:val="auto"/>
                      <w:spacing w:val="8"/>
                      <w:sz w:val="21"/>
                      <w:szCs w:val="21"/>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856" w:type="dxa"/>
                  <w:vAlign w:val="center"/>
                </w:tcPr>
                <w:p>
                  <w:pPr>
                    <w:ind w:right="-3"/>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3543" w:type="dxa"/>
                  <w:vAlign w:val="center"/>
                </w:tcPr>
                <w:p>
                  <w:pPr>
                    <w:pStyle w:val="61"/>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环境空气功能区</w:t>
                  </w:r>
                </w:p>
              </w:tc>
              <w:tc>
                <w:tcPr>
                  <w:tcW w:w="4662" w:type="dxa"/>
                  <w:vAlign w:val="center"/>
                </w:tcPr>
                <w:p>
                  <w:pPr>
                    <w:pStyle w:val="61"/>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属二类区域，执行《环境空气质量标准》（GB3095-2012）</w:t>
                  </w:r>
                  <w:r>
                    <w:rPr>
                      <w:rFonts w:hint="default" w:ascii="Times New Roman" w:hAnsi="Times New Roman" w:cs="Times New Roman"/>
                      <w:color w:val="auto"/>
                      <w:kern w:val="2"/>
                      <w:sz w:val="21"/>
                      <w:szCs w:val="21"/>
                      <w:lang w:eastAsia="zh-CN"/>
                    </w:rPr>
                    <w:t>及</w:t>
                  </w:r>
                  <w:r>
                    <w:rPr>
                      <w:rFonts w:hint="default" w:ascii="Times New Roman" w:hAnsi="Times New Roman" w:cs="Times New Roman"/>
                      <w:color w:val="auto"/>
                      <w:kern w:val="2"/>
                      <w:sz w:val="21"/>
                      <w:szCs w:val="21"/>
                      <w:lang w:val="en-US" w:eastAsia="zh-CN"/>
                    </w:rPr>
                    <w:t>2018年</w:t>
                  </w:r>
                  <w:r>
                    <w:rPr>
                      <w:rFonts w:hint="default" w:ascii="Times New Roman" w:hAnsi="Times New Roman" w:cs="Times New Roman"/>
                      <w:color w:val="auto"/>
                      <w:kern w:val="2"/>
                      <w:sz w:val="21"/>
                      <w:szCs w:val="21"/>
                      <w:lang w:eastAsia="zh-CN"/>
                    </w:rPr>
                    <w:t>修改单</w:t>
                  </w:r>
                  <w:r>
                    <w:rPr>
                      <w:rFonts w:hint="default" w:ascii="Times New Roman" w:hAnsi="Times New Roman" w:cs="Times New Roman"/>
                      <w:color w:val="auto"/>
                      <w:kern w:val="2"/>
                      <w:sz w:val="21"/>
                      <w:szCs w:val="21"/>
                    </w:rPr>
                    <w:t>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jc w:val="center"/>
              </w:trPr>
              <w:tc>
                <w:tcPr>
                  <w:tcW w:w="856" w:type="dxa"/>
                  <w:vAlign w:val="center"/>
                </w:tcPr>
                <w:p>
                  <w:pPr>
                    <w:ind w:right="-3"/>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3543" w:type="dxa"/>
                  <w:vAlign w:val="center"/>
                </w:tcPr>
                <w:p>
                  <w:pPr>
                    <w:pStyle w:val="61"/>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环境噪声功能区</w:t>
                  </w:r>
                </w:p>
              </w:tc>
              <w:tc>
                <w:tcPr>
                  <w:tcW w:w="4662" w:type="dxa"/>
                  <w:vAlign w:val="center"/>
                </w:tcPr>
                <w:p>
                  <w:pPr>
                    <w:pStyle w:val="61"/>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属2类区域，执行《声环境质量标准》（GB3096-2008）2类标准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6" w:type="dxa"/>
                  <w:vAlign w:val="center"/>
                </w:tcPr>
                <w:p>
                  <w:pPr>
                    <w:ind w:right="-3"/>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3543" w:type="dxa"/>
                  <w:vAlign w:val="center"/>
                </w:tcPr>
                <w:p>
                  <w:pPr>
                    <w:pStyle w:val="61"/>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基本农田保护区</w:t>
                  </w:r>
                </w:p>
              </w:tc>
              <w:tc>
                <w:tcPr>
                  <w:tcW w:w="4662" w:type="dxa"/>
                  <w:vAlign w:val="center"/>
                </w:tcPr>
                <w:p>
                  <w:pPr>
                    <w:pStyle w:val="61"/>
                    <w:snapToGrid w:val="0"/>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6" w:type="dxa"/>
                  <w:vAlign w:val="center"/>
                </w:tcPr>
                <w:p>
                  <w:pPr>
                    <w:ind w:right="-3"/>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3543" w:type="dxa"/>
                  <w:vAlign w:val="center"/>
                </w:tcPr>
                <w:p>
                  <w:pPr>
                    <w:pStyle w:val="61"/>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风景名胜保护区</w:t>
                  </w:r>
                </w:p>
              </w:tc>
              <w:tc>
                <w:tcPr>
                  <w:tcW w:w="4662" w:type="dxa"/>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6" w:type="dxa"/>
                  <w:vAlign w:val="center"/>
                </w:tcPr>
                <w:p>
                  <w:pPr>
                    <w:ind w:right="-3"/>
                    <w:jc w:val="center"/>
                    <w:rPr>
                      <w:rFonts w:hint="default" w:ascii="Times New Roman" w:hAnsi="Times New Roman" w:cs="Times New Roman"/>
                      <w:color w:val="auto"/>
                      <w:szCs w:val="21"/>
                    </w:rPr>
                  </w:pPr>
                  <w:r>
                    <w:rPr>
                      <w:rFonts w:hint="default" w:ascii="Times New Roman" w:hAnsi="Times New Roman" w:cs="Times New Roman"/>
                      <w:color w:val="auto"/>
                      <w:szCs w:val="21"/>
                    </w:rPr>
                    <w:t>6</w:t>
                  </w:r>
                </w:p>
              </w:tc>
              <w:tc>
                <w:tcPr>
                  <w:tcW w:w="3543" w:type="dxa"/>
                  <w:vAlign w:val="center"/>
                </w:tcPr>
                <w:p>
                  <w:pPr>
                    <w:pStyle w:val="61"/>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水库库区</w:t>
                  </w:r>
                </w:p>
              </w:tc>
              <w:tc>
                <w:tcPr>
                  <w:tcW w:w="4662" w:type="dxa"/>
                  <w:vAlign w:val="center"/>
                </w:tcPr>
                <w:p>
                  <w:pPr>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6" w:type="dxa"/>
                  <w:vAlign w:val="center"/>
                </w:tcPr>
                <w:p>
                  <w:pPr>
                    <w:ind w:right="-3"/>
                    <w:jc w:val="center"/>
                    <w:rPr>
                      <w:rFonts w:hint="default" w:ascii="Times New Roman" w:hAnsi="Times New Roman" w:cs="Times New Roman"/>
                      <w:color w:val="auto"/>
                      <w:szCs w:val="21"/>
                    </w:rPr>
                  </w:pPr>
                  <w:r>
                    <w:rPr>
                      <w:rFonts w:hint="default" w:ascii="Times New Roman" w:hAnsi="Times New Roman" w:cs="Times New Roman"/>
                      <w:color w:val="auto"/>
                      <w:szCs w:val="21"/>
                    </w:rPr>
                    <w:t>7</w:t>
                  </w:r>
                </w:p>
              </w:tc>
              <w:tc>
                <w:tcPr>
                  <w:tcW w:w="3543" w:type="dxa"/>
                  <w:vAlign w:val="center"/>
                </w:tcPr>
                <w:p>
                  <w:pPr>
                    <w:pStyle w:val="61"/>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城市污水处理厂集水范围</w:t>
                  </w:r>
                </w:p>
              </w:tc>
              <w:tc>
                <w:tcPr>
                  <w:tcW w:w="4662" w:type="dxa"/>
                  <w:vAlign w:val="center"/>
                </w:tcPr>
                <w:p>
                  <w:pPr>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是</w:t>
                  </w:r>
                  <w:r>
                    <w:rPr>
                      <w:rFonts w:hint="eastAsia" w:cs="Times New Roman"/>
                      <w:color w:val="auto"/>
                      <w:szCs w:val="21"/>
                      <w:lang w:eastAsia="zh-CN"/>
                    </w:rPr>
                    <w:t>，管网未铺设完善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856" w:type="dxa"/>
                  <w:vAlign w:val="center"/>
                </w:tcPr>
                <w:p>
                  <w:pPr>
                    <w:ind w:right="-3"/>
                    <w:jc w:val="center"/>
                    <w:rPr>
                      <w:rFonts w:hint="default" w:ascii="Times New Roman" w:hAnsi="Times New Roman" w:cs="Times New Roman"/>
                      <w:color w:val="auto"/>
                      <w:szCs w:val="21"/>
                    </w:rPr>
                  </w:pPr>
                  <w:r>
                    <w:rPr>
                      <w:rFonts w:hint="default" w:ascii="Times New Roman" w:hAnsi="Times New Roman" w:cs="Times New Roman"/>
                      <w:color w:val="auto"/>
                      <w:szCs w:val="21"/>
                    </w:rPr>
                    <w:t>8</w:t>
                  </w:r>
                </w:p>
              </w:tc>
              <w:tc>
                <w:tcPr>
                  <w:tcW w:w="3543" w:type="dxa"/>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是否属煤气管道范围</w:t>
                  </w:r>
                </w:p>
              </w:tc>
              <w:tc>
                <w:tcPr>
                  <w:tcW w:w="4662" w:type="dxa"/>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8" w:hRule="atLeast"/>
                <w:jc w:val="center"/>
              </w:trPr>
              <w:tc>
                <w:tcPr>
                  <w:tcW w:w="856" w:type="dxa"/>
                  <w:vAlign w:val="center"/>
                </w:tcPr>
                <w:p>
                  <w:pPr>
                    <w:ind w:right="-3"/>
                    <w:jc w:val="center"/>
                    <w:rPr>
                      <w:rFonts w:hint="default" w:ascii="Times New Roman" w:hAnsi="Times New Roman" w:cs="Times New Roman"/>
                      <w:color w:val="auto"/>
                      <w:szCs w:val="21"/>
                    </w:rPr>
                  </w:pPr>
                  <w:r>
                    <w:rPr>
                      <w:rFonts w:hint="default" w:ascii="Times New Roman" w:hAnsi="Times New Roman" w:cs="Times New Roman"/>
                      <w:color w:val="auto"/>
                      <w:szCs w:val="21"/>
                    </w:rPr>
                    <w:t>9</w:t>
                  </w:r>
                </w:p>
              </w:tc>
              <w:tc>
                <w:tcPr>
                  <w:tcW w:w="3543" w:type="dxa"/>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是否环境敏感区</w:t>
                  </w:r>
                </w:p>
              </w:tc>
              <w:tc>
                <w:tcPr>
                  <w:tcW w:w="4662" w:type="dxa"/>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否</w:t>
                  </w:r>
                </w:p>
              </w:tc>
            </w:tr>
          </w:tbl>
          <w:p>
            <w:pPr>
              <w:pStyle w:val="47"/>
              <w:adjustRightInd w:val="0"/>
              <w:snapToGrid/>
              <w:ind w:firstLine="482" w:firstLineChars="200"/>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一、环境空气质量现状</w:t>
            </w:r>
          </w:p>
          <w:p>
            <w:pPr>
              <w:spacing w:line="460" w:lineRule="exact"/>
              <w:ind w:firstLine="480" w:firstLineChars="200"/>
              <w:rPr>
                <w:rFonts w:hint="default" w:ascii="Times New Roman" w:hAnsi="Times New Roman" w:cs="Times New Roman"/>
                <w:b/>
                <w:bCs/>
                <w:color w:val="auto"/>
              </w:rPr>
            </w:pPr>
            <w:r>
              <w:rPr>
                <w:rFonts w:hint="default" w:ascii="Times New Roman" w:hAnsi="Times New Roman" w:cs="Times New Roman"/>
                <w:color w:val="auto"/>
                <w:sz w:val="24"/>
              </w:rPr>
              <w:t>本项目所在区域的环境空气质量功能区划属于二类区，执行</w:t>
            </w:r>
            <w:r>
              <w:rPr>
                <w:rFonts w:hint="default" w:ascii="Times New Roman" w:hAnsi="Times New Roman" w:cs="Times New Roman"/>
                <w:bCs/>
                <w:color w:val="auto"/>
                <w:sz w:val="24"/>
              </w:rPr>
              <w:t>《环境空气质量标准》（GB3095-2012）中的二级标准</w:t>
            </w:r>
            <w:r>
              <w:rPr>
                <w:rFonts w:hint="default" w:ascii="Times New Roman" w:hAnsi="Times New Roman" w:cs="Times New Roman"/>
                <w:color w:val="auto"/>
                <w:sz w:val="24"/>
              </w:rPr>
              <w:t>。本评价采用201</w:t>
            </w:r>
            <w:r>
              <w:rPr>
                <w:rFonts w:hint="default" w:ascii="Times New Roman" w:hAnsi="Times New Roman" w:cs="Times New Roman"/>
                <w:color w:val="auto"/>
                <w:sz w:val="24"/>
                <w:lang w:val="en-US" w:eastAsia="zh-CN"/>
              </w:rPr>
              <w:t>7</w:t>
            </w:r>
            <w:r>
              <w:rPr>
                <w:rFonts w:hint="default" w:ascii="Times New Roman" w:hAnsi="Times New Roman" w:cs="Times New Roman"/>
                <w:color w:val="auto"/>
                <w:sz w:val="24"/>
              </w:rPr>
              <w:t>年揭阳市区环境空气监测数据，详见表</w:t>
            </w:r>
            <w:r>
              <w:rPr>
                <w:rFonts w:hint="eastAsia" w:ascii="Times New Roman" w:hAnsi="Times New Roman" w:cs="Times New Roman"/>
                <w:color w:val="auto"/>
                <w:sz w:val="24"/>
                <w:lang w:val="en-US" w:eastAsia="zh-CN"/>
              </w:rPr>
              <w:t>8</w:t>
            </w:r>
            <w:r>
              <w:rPr>
                <w:rFonts w:hint="default" w:ascii="Times New Roman" w:hAnsi="Times New Roman" w:cs="Times New Roman"/>
                <w:color w:val="auto"/>
                <w:sz w:val="24"/>
              </w:rPr>
              <w:t>：</w:t>
            </w:r>
          </w:p>
          <w:p>
            <w:pPr>
              <w:snapToGrid w:val="0"/>
              <w:spacing w:line="460" w:lineRule="exact"/>
              <w:jc w:val="center"/>
              <w:rPr>
                <w:rFonts w:hint="default" w:ascii="Times New Roman" w:hAnsi="Times New Roman" w:cs="Times New Roman"/>
                <w:b/>
                <w:bCs/>
                <w:color w:val="auto"/>
                <w:sz w:val="24"/>
              </w:rPr>
            </w:pPr>
            <w:r>
              <w:rPr>
                <w:rFonts w:hint="default" w:ascii="Times New Roman" w:hAnsi="Times New Roman" w:cs="Times New Roman"/>
                <w:b/>
                <w:bCs/>
                <w:color w:val="auto"/>
              </w:rPr>
              <w:t>表</w:t>
            </w:r>
            <w:r>
              <w:rPr>
                <w:rFonts w:hint="eastAsia" w:cs="Times New Roman"/>
                <w:b/>
                <w:bCs/>
                <w:color w:val="auto"/>
                <w:lang w:val="en-US" w:eastAsia="zh-CN"/>
              </w:rPr>
              <w:t>3-2</w:t>
            </w:r>
            <w:r>
              <w:rPr>
                <w:rFonts w:hint="default" w:ascii="Times New Roman" w:hAnsi="Times New Roman" w:cs="Times New Roman"/>
                <w:b/>
                <w:bCs/>
                <w:color w:val="auto"/>
              </w:rPr>
              <w:t xml:space="preserve"> </w:t>
            </w:r>
            <w:r>
              <w:rPr>
                <w:rFonts w:hint="default" w:ascii="Times New Roman" w:hAnsi="Times New Roman" w:cs="Times New Roman"/>
                <w:b/>
                <w:bCs/>
                <w:color w:val="auto"/>
                <w:sz w:val="24"/>
              </w:rPr>
              <w:t xml:space="preserve"> </w:t>
            </w:r>
            <w:r>
              <w:rPr>
                <w:rFonts w:hint="default" w:ascii="Times New Roman" w:hAnsi="Times New Roman" w:cs="Times New Roman"/>
                <w:b/>
                <w:color w:val="auto"/>
              </w:rPr>
              <w:t>201</w:t>
            </w:r>
            <w:r>
              <w:rPr>
                <w:rFonts w:hint="default" w:ascii="Times New Roman" w:hAnsi="Times New Roman" w:cs="Times New Roman"/>
                <w:b/>
                <w:color w:val="auto"/>
                <w:lang w:val="en-US" w:eastAsia="zh-CN"/>
              </w:rPr>
              <w:t>7</w:t>
            </w:r>
            <w:r>
              <w:rPr>
                <w:rFonts w:hint="default" w:ascii="Times New Roman" w:hAnsi="Times New Roman" w:cs="Times New Roman"/>
                <w:b/>
                <w:color w:val="auto"/>
              </w:rPr>
              <w:t>年揭阳市区环境空气监测数据（年均值）    单位：μg/Nm</w:t>
            </w:r>
            <w:r>
              <w:rPr>
                <w:rFonts w:hint="default" w:ascii="Times New Roman" w:hAnsi="Times New Roman" w:cs="Times New Roman"/>
                <w:b/>
                <w:color w:val="auto"/>
                <w:vertAlign w:val="superscript"/>
              </w:rPr>
              <w:t>3</w:t>
            </w:r>
          </w:p>
          <w:tbl>
            <w:tblPr>
              <w:tblStyle w:val="31"/>
              <w:tblW w:w="859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5"/>
              <w:gridCol w:w="2045"/>
              <w:gridCol w:w="2167"/>
              <w:gridCol w:w="2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9" w:hRule="atLeast"/>
                <w:jc w:val="center"/>
              </w:trPr>
              <w:tc>
                <w:tcPr>
                  <w:tcW w:w="2265" w:type="dxa"/>
                  <w:tcBorders>
                    <w:tl2br w:val="single" w:color="auto" w:sz="4" w:space="0"/>
                  </w:tcBorders>
                  <w:noWrap w:val="0"/>
                  <w:vAlign w:val="center"/>
                </w:tcPr>
                <w:p>
                  <w:pPr>
                    <w:bidi/>
                    <w:ind w:left="0" w:right="0"/>
                    <w:jc w:val="right"/>
                    <w:rPr>
                      <w:rFonts w:hint="default" w:ascii="Times New Roman" w:hAnsi="Times New Roman" w:cs="Times New Roman"/>
                      <w:b/>
                      <w:color w:val="auto"/>
                    </w:rPr>
                  </w:pPr>
                  <w:r>
                    <w:rPr>
                      <w:rFonts w:hint="default" w:ascii="Times New Roman" w:hAnsi="Times New Roman" w:cs="Times New Roman"/>
                      <w:b/>
                      <w:color w:val="auto"/>
                    </w:rPr>
                    <w:t xml:space="preserve">         监测指标</w:t>
                  </w:r>
                </w:p>
                <w:p>
                  <w:pPr>
                    <w:bidi/>
                    <w:ind w:left="0" w:right="0"/>
                    <w:jc w:val="right"/>
                    <w:rPr>
                      <w:rFonts w:hint="default" w:ascii="Times New Roman" w:hAnsi="Times New Roman" w:cs="Times New Roman"/>
                      <w:b/>
                      <w:color w:val="auto"/>
                    </w:rPr>
                  </w:pPr>
                  <w:r>
                    <w:rPr>
                      <w:rFonts w:hint="default" w:ascii="Times New Roman" w:hAnsi="Times New Roman" w:cs="Times New Roman"/>
                      <w:b/>
                      <w:color w:val="auto"/>
                    </w:rPr>
                    <w:t>统计值</w:t>
                  </w:r>
                </w:p>
              </w:tc>
              <w:tc>
                <w:tcPr>
                  <w:tcW w:w="2045" w:type="dxa"/>
                  <w:noWrap w:val="0"/>
                  <w:vAlign w:val="center"/>
                </w:tcPr>
                <w:p>
                  <w:pPr>
                    <w:bidi/>
                    <w:ind w:left="0" w:right="0"/>
                    <w:jc w:val="center"/>
                    <w:rPr>
                      <w:rFonts w:hint="default" w:ascii="Times New Roman" w:hAnsi="Times New Roman" w:cs="Times New Roman"/>
                      <w:b/>
                      <w:color w:val="auto"/>
                    </w:rPr>
                  </w:pPr>
                  <w:r>
                    <w:rPr>
                      <w:rFonts w:hint="default" w:ascii="Times New Roman" w:hAnsi="Times New Roman" w:cs="Times New Roman"/>
                      <w:b/>
                      <w:color w:val="auto"/>
                    </w:rPr>
                    <w:t>二氧化硫</w:t>
                  </w:r>
                </w:p>
                <w:p>
                  <w:pPr>
                    <w:bidi/>
                    <w:ind w:left="0" w:right="0"/>
                    <w:jc w:val="center"/>
                    <w:rPr>
                      <w:rFonts w:hint="default" w:ascii="Times New Roman" w:hAnsi="Times New Roman" w:cs="Times New Roman"/>
                      <w:b/>
                      <w:color w:val="auto"/>
                    </w:rPr>
                  </w:pPr>
                  <w:r>
                    <w:rPr>
                      <w:rFonts w:hint="default" w:ascii="Times New Roman" w:hAnsi="Times New Roman" w:cs="Times New Roman"/>
                      <w:b/>
                      <w:color w:val="auto"/>
                    </w:rPr>
                    <w:t>（微克/米</w:t>
                  </w:r>
                  <w:r>
                    <w:rPr>
                      <w:rFonts w:hint="default" w:ascii="Times New Roman" w:hAnsi="Times New Roman" w:cs="Times New Roman"/>
                      <w:b/>
                      <w:color w:val="auto"/>
                      <w:vertAlign w:val="superscript"/>
                    </w:rPr>
                    <w:t>3</w:t>
                  </w:r>
                  <w:r>
                    <w:rPr>
                      <w:rFonts w:hint="default" w:ascii="Times New Roman" w:hAnsi="Times New Roman" w:cs="Times New Roman"/>
                      <w:b/>
                      <w:color w:val="auto"/>
                    </w:rPr>
                    <w:t>）</w:t>
                  </w:r>
                </w:p>
              </w:tc>
              <w:tc>
                <w:tcPr>
                  <w:tcW w:w="2167" w:type="dxa"/>
                  <w:noWrap w:val="0"/>
                  <w:vAlign w:val="center"/>
                </w:tcPr>
                <w:p>
                  <w:pPr>
                    <w:bidi/>
                    <w:ind w:left="0" w:right="0"/>
                    <w:jc w:val="center"/>
                    <w:rPr>
                      <w:rFonts w:hint="default" w:ascii="Times New Roman" w:hAnsi="Times New Roman" w:cs="Times New Roman"/>
                      <w:b/>
                      <w:color w:val="auto"/>
                    </w:rPr>
                  </w:pPr>
                  <w:r>
                    <w:rPr>
                      <w:rFonts w:hint="default" w:ascii="Times New Roman" w:hAnsi="Times New Roman" w:cs="Times New Roman"/>
                      <w:b/>
                      <w:color w:val="auto"/>
                    </w:rPr>
                    <w:t>二氧化氮</w:t>
                  </w:r>
                </w:p>
                <w:p>
                  <w:pPr>
                    <w:bidi/>
                    <w:ind w:left="0" w:right="0"/>
                    <w:jc w:val="center"/>
                    <w:rPr>
                      <w:rFonts w:hint="default" w:ascii="Times New Roman" w:hAnsi="Times New Roman" w:cs="Times New Roman"/>
                      <w:b/>
                      <w:color w:val="auto"/>
                    </w:rPr>
                  </w:pPr>
                  <w:r>
                    <w:rPr>
                      <w:rFonts w:hint="default" w:ascii="Times New Roman" w:hAnsi="Times New Roman" w:cs="Times New Roman"/>
                      <w:b/>
                      <w:color w:val="auto"/>
                    </w:rPr>
                    <w:t>（微克/米</w:t>
                  </w:r>
                  <w:r>
                    <w:rPr>
                      <w:rFonts w:hint="default" w:ascii="Times New Roman" w:hAnsi="Times New Roman" w:cs="Times New Roman"/>
                      <w:b/>
                      <w:color w:val="auto"/>
                      <w:vertAlign w:val="superscript"/>
                    </w:rPr>
                    <w:t>3</w:t>
                  </w:r>
                  <w:r>
                    <w:rPr>
                      <w:rFonts w:hint="default" w:ascii="Times New Roman" w:hAnsi="Times New Roman" w:cs="Times New Roman"/>
                      <w:b/>
                      <w:color w:val="auto"/>
                    </w:rPr>
                    <w:t>）</w:t>
                  </w:r>
                </w:p>
              </w:tc>
              <w:tc>
                <w:tcPr>
                  <w:tcW w:w="2114" w:type="dxa"/>
                  <w:noWrap w:val="0"/>
                  <w:vAlign w:val="center"/>
                </w:tcPr>
                <w:p>
                  <w:pPr>
                    <w:bidi/>
                    <w:ind w:left="0" w:right="0"/>
                    <w:jc w:val="center"/>
                    <w:rPr>
                      <w:rFonts w:hint="default" w:ascii="Times New Roman" w:hAnsi="Times New Roman" w:cs="Times New Roman"/>
                      <w:b/>
                      <w:color w:val="auto"/>
                    </w:rPr>
                  </w:pPr>
                  <w:r>
                    <w:rPr>
                      <w:rFonts w:hint="default" w:ascii="Times New Roman" w:hAnsi="Times New Roman" w:cs="Times New Roman"/>
                      <w:b/>
                      <w:color w:val="auto"/>
                    </w:rPr>
                    <w:t>可吸入颗粒物</w:t>
                  </w:r>
                </w:p>
                <w:p>
                  <w:pPr>
                    <w:bidi/>
                    <w:ind w:left="0" w:right="0"/>
                    <w:jc w:val="center"/>
                    <w:rPr>
                      <w:rFonts w:hint="default" w:ascii="Times New Roman" w:hAnsi="Times New Roman" w:cs="Times New Roman"/>
                      <w:b/>
                      <w:color w:val="auto"/>
                    </w:rPr>
                  </w:pPr>
                  <w:r>
                    <w:rPr>
                      <w:rFonts w:hint="default" w:ascii="Times New Roman" w:hAnsi="Times New Roman" w:cs="Times New Roman"/>
                      <w:b/>
                      <w:color w:val="auto"/>
                    </w:rPr>
                    <w:t>（微克/米</w:t>
                  </w:r>
                  <w:r>
                    <w:rPr>
                      <w:rFonts w:hint="default" w:ascii="Times New Roman" w:hAnsi="Times New Roman" w:cs="Times New Roman"/>
                      <w:b/>
                      <w:color w:val="auto"/>
                      <w:vertAlign w:val="superscript"/>
                    </w:rPr>
                    <w:t>3</w:t>
                  </w:r>
                  <w:r>
                    <w:rPr>
                      <w:rFonts w:hint="default" w:ascii="Times New Roman" w:hAnsi="Times New Roman" w:cs="Times New Roman"/>
                      <w:b/>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2265" w:type="dxa"/>
                  <w:noWrap w:val="0"/>
                  <w:vAlign w:val="center"/>
                </w:tcPr>
                <w:p>
                  <w:pPr>
                    <w:bidi/>
                    <w:ind w:left="0" w:right="0"/>
                    <w:jc w:val="both"/>
                    <w:rPr>
                      <w:rFonts w:hint="default" w:ascii="Times New Roman" w:hAnsi="Times New Roman" w:cs="Times New Roman"/>
                      <w:color w:val="auto"/>
                    </w:rPr>
                  </w:pPr>
                  <w:r>
                    <w:rPr>
                      <w:rFonts w:hint="default" w:ascii="Times New Roman" w:hAnsi="Times New Roman" w:cs="Times New Roman"/>
                      <w:color w:val="auto"/>
                    </w:rPr>
                    <w:t>揭阳市区201</w:t>
                  </w:r>
                  <w:r>
                    <w:rPr>
                      <w:rFonts w:hint="default" w:ascii="Times New Roman" w:hAnsi="Times New Roman" w:cs="Times New Roman"/>
                      <w:color w:val="auto"/>
                      <w:lang w:val="en-US" w:eastAsia="zh-CN"/>
                    </w:rPr>
                    <w:t>7</w:t>
                  </w:r>
                  <w:r>
                    <w:rPr>
                      <w:rFonts w:hint="default" w:ascii="Times New Roman" w:hAnsi="Times New Roman" w:cs="Times New Roman"/>
                      <w:color w:val="auto"/>
                    </w:rPr>
                    <w:t>年均值</w:t>
                  </w:r>
                </w:p>
              </w:tc>
              <w:tc>
                <w:tcPr>
                  <w:tcW w:w="2045" w:type="dxa"/>
                  <w:noWrap w:val="0"/>
                  <w:vAlign w:val="center"/>
                </w:tcPr>
                <w:p>
                  <w:pPr>
                    <w:bidi/>
                    <w:ind w:left="0" w:right="0"/>
                    <w:jc w:val="center"/>
                    <w:rPr>
                      <w:rFonts w:hint="default" w:ascii="Times New Roman" w:hAnsi="Times New Roman" w:cs="Times New Roman"/>
                      <w:color w:val="auto"/>
                    </w:rPr>
                  </w:pPr>
                  <w:r>
                    <w:rPr>
                      <w:rFonts w:hint="default" w:ascii="Times New Roman" w:hAnsi="Times New Roman" w:cs="Times New Roman"/>
                      <w:color w:val="auto"/>
                    </w:rPr>
                    <w:t>1</w:t>
                  </w:r>
                  <w:r>
                    <w:rPr>
                      <w:rFonts w:hint="default" w:ascii="Times New Roman" w:hAnsi="Times New Roman" w:cs="Times New Roman"/>
                      <w:color w:val="auto"/>
                      <w:lang w:val="en-US" w:eastAsia="zh-CN"/>
                    </w:rPr>
                    <w:t>5</w:t>
                  </w:r>
                </w:p>
              </w:tc>
              <w:tc>
                <w:tcPr>
                  <w:tcW w:w="2167" w:type="dxa"/>
                  <w:noWrap w:val="0"/>
                  <w:vAlign w:val="center"/>
                </w:tcPr>
                <w:p>
                  <w:pPr>
                    <w:bidi/>
                    <w:ind w:left="0" w:right="0"/>
                    <w:jc w:val="center"/>
                    <w:rPr>
                      <w:rFonts w:hint="default" w:ascii="Times New Roman" w:hAnsi="Times New Roman" w:cs="Times New Roman"/>
                      <w:color w:val="auto"/>
                    </w:rPr>
                  </w:pPr>
                  <w:r>
                    <w:rPr>
                      <w:rFonts w:hint="default" w:ascii="Times New Roman" w:hAnsi="Times New Roman" w:cs="Times New Roman"/>
                      <w:color w:val="auto"/>
                    </w:rPr>
                    <w:t>2</w:t>
                  </w:r>
                  <w:r>
                    <w:rPr>
                      <w:rFonts w:hint="default" w:ascii="Times New Roman" w:hAnsi="Times New Roman" w:cs="Times New Roman"/>
                      <w:color w:val="auto"/>
                      <w:lang w:val="en-US" w:eastAsia="zh-CN"/>
                    </w:rPr>
                    <w:t>5</w:t>
                  </w:r>
                </w:p>
              </w:tc>
              <w:tc>
                <w:tcPr>
                  <w:tcW w:w="2114" w:type="dxa"/>
                  <w:noWrap w:val="0"/>
                  <w:vAlign w:val="center"/>
                </w:tcPr>
                <w:p>
                  <w:pPr>
                    <w:bidi/>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2265" w:type="dxa"/>
                  <w:noWrap w:val="0"/>
                  <w:vAlign w:val="center"/>
                </w:tcPr>
                <w:p>
                  <w:pPr>
                    <w:bidi/>
                    <w:ind w:left="0" w:right="0"/>
                    <w:jc w:val="center"/>
                    <w:rPr>
                      <w:rFonts w:hint="default" w:ascii="Times New Roman" w:hAnsi="Times New Roman" w:cs="Times New Roman"/>
                      <w:color w:val="auto"/>
                    </w:rPr>
                  </w:pPr>
                  <w:r>
                    <w:rPr>
                      <w:rFonts w:hint="default" w:ascii="Times New Roman" w:hAnsi="Times New Roman" w:cs="Times New Roman"/>
                      <w:color w:val="auto"/>
                    </w:rPr>
                    <w:t>最小值</w:t>
                  </w:r>
                </w:p>
              </w:tc>
              <w:tc>
                <w:tcPr>
                  <w:tcW w:w="2045" w:type="dxa"/>
                  <w:noWrap w:val="0"/>
                  <w:vAlign w:val="center"/>
                </w:tcPr>
                <w:p>
                  <w:pPr>
                    <w:bidi/>
                    <w:ind w:left="0" w:right="0"/>
                    <w:jc w:val="center"/>
                    <w:rPr>
                      <w:rFonts w:hint="default" w:ascii="Times New Roman" w:hAnsi="Times New Roman" w:eastAsia="宋体" w:cs="Times New Roman"/>
                      <w:color w:val="auto"/>
                      <w:lang w:eastAsia="zh-CN"/>
                    </w:rPr>
                  </w:pPr>
                  <w:r>
                    <w:rPr>
                      <w:rFonts w:hint="default" w:ascii="Times New Roman" w:hAnsi="Times New Roman" w:cs="Times New Roman"/>
                      <w:color w:val="auto"/>
                      <w:lang w:val="en-US" w:eastAsia="zh-CN"/>
                    </w:rPr>
                    <w:t>5</w:t>
                  </w:r>
                </w:p>
              </w:tc>
              <w:tc>
                <w:tcPr>
                  <w:tcW w:w="2167" w:type="dxa"/>
                  <w:noWrap w:val="0"/>
                  <w:vAlign w:val="center"/>
                </w:tcPr>
                <w:p>
                  <w:pPr>
                    <w:bidi/>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w:t>
                  </w:r>
                </w:p>
              </w:tc>
              <w:tc>
                <w:tcPr>
                  <w:tcW w:w="2114" w:type="dxa"/>
                  <w:noWrap w:val="0"/>
                  <w:vAlign w:val="center"/>
                </w:tcPr>
                <w:p>
                  <w:pPr>
                    <w:bidi/>
                    <w:ind w:left="0" w:right="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2265" w:type="dxa"/>
                  <w:noWrap w:val="0"/>
                  <w:vAlign w:val="center"/>
                </w:tcPr>
                <w:p>
                  <w:pPr>
                    <w:bidi/>
                    <w:ind w:left="0" w:right="0"/>
                    <w:jc w:val="center"/>
                    <w:rPr>
                      <w:rFonts w:hint="default" w:ascii="Times New Roman" w:hAnsi="Times New Roman" w:cs="Times New Roman"/>
                      <w:color w:val="auto"/>
                    </w:rPr>
                  </w:pPr>
                  <w:r>
                    <w:rPr>
                      <w:rFonts w:hint="default" w:ascii="Times New Roman" w:hAnsi="Times New Roman" w:cs="Times New Roman"/>
                      <w:color w:val="auto"/>
                    </w:rPr>
                    <w:t>最大值</w:t>
                  </w:r>
                </w:p>
              </w:tc>
              <w:tc>
                <w:tcPr>
                  <w:tcW w:w="2045" w:type="dxa"/>
                  <w:noWrap w:val="0"/>
                  <w:vAlign w:val="center"/>
                </w:tcPr>
                <w:p>
                  <w:pPr>
                    <w:bidi/>
                    <w:ind w:left="0" w:right="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31</w:t>
                  </w:r>
                </w:p>
              </w:tc>
              <w:tc>
                <w:tcPr>
                  <w:tcW w:w="2167" w:type="dxa"/>
                  <w:noWrap w:val="0"/>
                  <w:vAlign w:val="center"/>
                </w:tcPr>
                <w:p>
                  <w:pPr>
                    <w:bidi/>
                    <w:ind w:left="0" w:right="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64</w:t>
                  </w:r>
                </w:p>
              </w:tc>
              <w:tc>
                <w:tcPr>
                  <w:tcW w:w="2114" w:type="dxa"/>
                  <w:noWrap w:val="0"/>
                  <w:vAlign w:val="center"/>
                </w:tcPr>
                <w:p>
                  <w:pPr>
                    <w:bidi/>
                    <w:ind w:left="0" w:right="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141</w:t>
                  </w:r>
                </w:p>
              </w:tc>
            </w:tr>
          </w:tbl>
          <w:p>
            <w:pPr>
              <w:spacing w:line="460" w:lineRule="exact"/>
              <w:ind w:firstLine="480" w:firstLineChars="200"/>
              <w:rPr>
                <w:rFonts w:hint="default" w:ascii="Times New Roman" w:hAnsi="Times New Roman" w:cs="Times New Roman"/>
                <w:b/>
                <w:color w:val="auto"/>
                <w:szCs w:val="21"/>
                <w:highlight w:val="none"/>
              </w:rPr>
            </w:pPr>
            <w:r>
              <w:rPr>
                <w:rFonts w:hint="default" w:ascii="Times New Roman" w:hAnsi="Times New Roman" w:cs="Times New Roman"/>
                <w:color w:val="auto"/>
                <w:sz w:val="24"/>
              </w:rPr>
              <w:t>监测结果表明，揭阳市区的NO</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的小时平均浓度、SO</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的小时平均浓度、PM</w:t>
            </w:r>
            <w:r>
              <w:rPr>
                <w:rFonts w:hint="default" w:ascii="Times New Roman" w:hAnsi="Times New Roman" w:cs="Times New Roman"/>
                <w:color w:val="auto"/>
                <w:sz w:val="24"/>
                <w:vertAlign w:val="subscript"/>
              </w:rPr>
              <w:t>10</w:t>
            </w:r>
            <w:r>
              <w:rPr>
                <w:rFonts w:hint="default" w:ascii="Times New Roman" w:hAnsi="Times New Roman" w:cs="Times New Roman"/>
                <w:color w:val="auto"/>
                <w:sz w:val="24"/>
              </w:rPr>
              <w:t>的年平均浓度符合《环境空气质量标准》（GB3095-2012）的二级要求。该区域的环境空气质量较好。</w:t>
            </w:r>
          </w:p>
          <w:p>
            <w:pPr>
              <w:pStyle w:val="47"/>
              <w:adjustRightInd w:val="0"/>
              <w:snapToGrid/>
              <w:ind w:firstLine="482" w:firstLineChars="200"/>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二、地表水环境质量现状</w:t>
            </w:r>
          </w:p>
          <w:p>
            <w:pPr>
              <w:pStyle w:val="47"/>
              <w:adjustRightInd w:val="0"/>
              <w:snapToGrid/>
              <w:ind w:firstLine="512" w:firstLineChars="200"/>
              <w:rPr>
                <w:rFonts w:hint="default" w:ascii="Times New Roman" w:hAnsi="Times New Roman" w:eastAsia="宋体" w:cs="Times New Roman"/>
                <w:color w:val="auto"/>
                <w:szCs w:val="21"/>
                <w:lang w:val="en-US" w:eastAsia="zh-CN"/>
              </w:rPr>
            </w:pPr>
            <w:r>
              <w:rPr>
                <w:rFonts w:hint="eastAsia" w:ascii="Times New Roman" w:cs="Times New Roman"/>
                <w:color w:val="auto"/>
                <w:spacing w:val="8"/>
                <w:sz w:val="24"/>
                <w:lang w:eastAsia="zh-CN"/>
              </w:rPr>
              <w:t>项目附近水体为榕江北河（锡中潭边渡至上游</w:t>
            </w:r>
            <w:r>
              <w:rPr>
                <w:rFonts w:hint="eastAsia" w:ascii="Times New Roman" w:cs="Times New Roman"/>
                <w:color w:val="auto"/>
                <w:spacing w:val="8"/>
                <w:sz w:val="24"/>
                <w:lang w:val="en-US" w:eastAsia="zh-CN"/>
              </w:rPr>
              <w:t>2公里广安寺），属地表水环境II类功能区，执行《地表水环境质量标准》（GB3838-2002）中的II类标准。</w:t>
            </w:r>
            <w:r>
              <w:rPr>
                <w:rFonts w:hint="default" w:ascii="Times New Roman" w:hAnsi="Times New Roman" w:cs="Times New Roman"/>
                <w:color w:val="auto"/>
                <w:sz w:val="24"/>
              </w:rPr>
              <w:t>为了解项目</w:t>
            </w:r>
            <w:r>
              <w:rPr>
                <w:rFonts w:hint="eastAsia" w:ascii="Times New Roman" w:cs="Times New Roman"/>
                <w:color w:val="auto"/>
                <w:sz w:val="24"/>
                <w:lang w:eastAsia="zh-CN"/>
              </w:rPr>
              <w:t>附近</w:t>
            </w:r>
            <w:r>
              <w:rPr>
                <w:rFonts w:hint="default" w:ascii="Times New Roman" w:hAnsi="Times New Roman" w:cs="Times New Roman"/>
                <w:color w:val="auto"/>
                <w:sz w:val="24"/>
              </w:rPr>
              <w:t>水体</w:t>
            </w:r>
            <w:r>
              <w:rPr>
                <w:rFonts w:hint="eastAsia" w:ascii="Times New Roman" w:cs="Times New Roman"/>
                <w:color w:val="auto"/>
                <w:sz w:val="24"/>
                <w:lang w:eastAsia="zh-CN"/>
              </w:rPr>
              <w:t>榕江北河</w:t>
            </w:r>
            <w:r>
              <w:rPr>
                <w:rFonts w:hint="default" w:ascii="Times New Roman" w:hAnsi="Times New Roman" w:cs="Times New Roman"/>
                <w:color w:val="auto"/>
                <w:sz w:val="24"/>
              </w:rPr>
              <w:t>水质状况，</w:t>
            </w:r>
            <w:r>
              <w:rPr>
                <w:rFonts w:hint="default" w:ascii="Times New Roman" w:hAnsi="Times New Roman" w:cs="Times New Roman"/>
                <w:color w:val="auto"/>
                <w:sz w:val="24"/>
                <w:szCs w:val="24"/>
              </w:rPr>
              <w:t>对</w:t>
            </w:r>
            <w:r>
              <w:rPr>
                <w:rFonts w:hint="eastAsia" w:ascii="Times New Roman" w:cs="Times New Roman"/>
                <w:color w:val="auto"/>
                <w:sz w:val="24"/>
                <w:lang w:eastAsia="zh-CN"/>
              </w:rPr>
              <w:t>榕江北河</w:t>
            </w:r>
            <w:r>
              <w:rPr>
                <w:rFonts w:hint="default" w:ascii="Times New Roman" w:hAnsi="Times New Roman" w:cs="Times New Roman"/>
                <w:color w:val="auto"/>
                <w:sz w:val="24"/>
                <w:szCs w:val="24"/>
              </w:rPr>
              <w:t>水质进行调查和分析。</w:t>
            </w:r>
            <w:r>
              <w:rPr>
                <w:rFonts w:hint="default" w:ascii="Times New Roman" w:hAnsi="Times New Roman" w:cs="Times New Roman"/>
                <w:color w:val="auto"/>
                <w:sz w:val="24"/>
                <w:szCs w:val="24"/>
                <w:lang w:eastAsia="zh-CN"/>
              </w:rPr>
              <w:t>本次评价</w:t>
            </w:r>
            <w:r>
              <w:rPr>
                <w:rFonts w:hint="default" w:ascii="Times New Roman" w:hAnsi="Times New Roman" w:cs="Times New Roman"/>
                <w:color w:val="auto"/>
                <w:sz w:val="24"/>
                <w:szCs w:val="24"/>
              </w:rPr>
              <w:t>采用</w:t>
            </w:r>
            <w:r>
              <w:rPr>
                <w:rFonts w:hint="eastAsia" w:ascii="Times New Roman" w:cs="Times New Roman"/>
                <w:color w:val="auto"/>
                <w:sz w:val="24"/>
                <w:szCs w:val="24"/>
                <w:lang w:eastAsia="zh-CN"/>
              </w:rPr>
              <w:t>揭阳市</w:t>
            </w:r>
            <w:r>
              <w:rPr>
                <w:rFonts w:hint="default" w:ascii="Times New Roman" w:hAnsi="Times New Roman" w:cs="Times New Roman"/>
                <w:color w:val="auto"/>
                <w:sz w:val="24"/>
                <w:szCs w:val="24"/>
              </w:rPr>
              <w:t>201</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rPr>
              <w:t>年度报告数据进行地表水环境质量现状评价，有关水污染物因子和监测结果（平均值）见</w:t>
            </w:r>
            <w:r>
              <w:rPr>
                <w:rFonts w:hint="default" w:ascii="Times New Roman" w:hAnsi="Times New Roman" w:cs="Times New Roman"/>
                <w:bCs/>
                <w:color w:val="auto"/>
                <w:sz w:val="24"/>
                <w:szCs w:val="24"/>
              </w:rPr>
              <w:t>表</w:t>
            </w:r>
            <w:r>
              <w:rPr>
                <w:rFonts w:hint="eastAsia" w:ascii="Times New Roman" w:cs="Times New Roman"/>
                <w:bCs/>
                <w:color w:val="auto"/>
                <w:sz w:val="24"/>
                <w:szCs w:val="24"/>
                <w:lang w:val="en-US" w:eastAsia="zh-CN"/>
              </w:rPr>
              <w:t>3-3。</w:t>
            </w:r>
          </w:p>
          <w:p>
            <w:pPr>
              <w:widowControl/>
              <w:tabs>
                <w:tab w:val="left" w:pos="945"/>
              </w:tabs>
              <w:autoSpaceDE w:val="0"/>
              <w:autoSpaceDN w:val="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表3-</w:t>
            </w:r>
            <w:r>
              <w:rPr>
                <w:rFonts w:hint="eastAsia" w:cs="Times New Roman"/>
                <w:b/>
                <w:color w:val="auto"/>
                <w:sz w:val="21"/>
                <w:szCs w:val="21"/>
                <w:lang w:val="en-US" w:eastAsia="zh-CN"/>
              </w:rPr>
              <w:t>3</w:t>
            </w:r>
            <w:r>
              <w:rPr>
                <w:rFonts w:hint="default" w:ascii="Times New Roman" w:hAnsi="Times New Roman" w:cs="Times New Roman"/>
                <w:b/>
                <w:color w:val="auto"/>
                <w:sz w:val="21"/>
                <w:szCs w:val="21"/>
              </w:rPr>
              <w:t xml:space="preserve">  地表水环境质量现状表</w:t>
            </w:r>
          </w:p>
          <w:p>
            <w:pPr>
              <w:jc w:val="right"/>
              <w:rPr>
                <w:rFonts w:hint="default" w:eastAsia="宋体"/>
                <w:lang w:val="en-US" w:eastAsia="zh-CN"/>
              </w:rPr>
            </w:pPr>
            <w:r>
              <w:rPr>
                <w:rFonts w:hint="eastAsia"/>
                <w:lang w:eastAsia="zh-CN"/>
              </w:rPr>
              <w:t>单位：</w:t>
            </w:r>
            <w:r>
              <w:rPr>
                <w:rFonts w:hint="eastAsia"/>
                <w:lang w:val="en-US" w:eastAsia="zh-CN"/>
              </w:rPr>
              <w:t>mg/L</w:t>
            </w:r>
          </w:p>
          <w:tbl>
            <w:tblPr>
              <w:tblStyle w:val="31"/>
              <w:tblW w:w="9035" w:type="dxa"/>
              <w:jc w:val="center"/>
              <w:tblInd w:w="0" w:type="dxa"/>
              <w:tblLayout w:type="fixed"/>
              <w:tblCellMar>
                <w:top w:w="15" w:type="dxa"/>
                <w:left w:w="15" w:type="dxa"/>
                <w:bottom w:w="15" w:type="dxa"/>
                <w:right w:w="15" w:type="dxa"/>
              </w:tblCellMar>
            </w:tblPr>
            <w:tblGrid>
              <w:gridCol w:w="592"/>
              <w:gridCol w:w="592"/>
              <w:gridCol w:w="819"/>
              <w:gridCol w:w="534"/>
              <w:gridCol w:w="588"/>
              <w:gridCol w:w="510"/>
              <w:gridCol w:w="450"/>
              <w:gridCol w:w="555"/>
              <w:gridCol w:w="510"/>
              <w:gridCol w:w="690"/>
              <w:gridCol w:w="615"/>
              <w:gridCol w:w="615"/>
              <w:gridCol w:w="522"/>
              <w:gridCol w:w="498"/>
              <w:gridCol w:w="465"/>
              <w:gridCol w:w="480"/>
            </w:tblGrid>
            <w:tr>
              <w:tblPrEx>
                <w:tblLayout w:type="fixed"/>
                <w:tblCellMar>
                  <w:top w:w="15" w:type="dxa"/>
                  <w:left w:w="15" w:type="dxa"/>
                  <w:bottom w:w="15" w:type="dxa"/>
                  <w:right w:w="15" w:type="dxa"/>
                </w:tblCellMar>
              </w:tblPrEx>
              <w:trPr>
                <w:trHeight w:val="1343" w:hRule="exact"/>
                <w:jc w:val="center"/>
              </w:trPr>
              <w:tc>
                <w:tcPr>
                  <w:tcW w:w="5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bidi="ar"/>
                    </w:rPr>
                    <w:t>江段</w:t>
                  </w:r>
                </w:p>
              </w:tc>
              <w:tc>
                <w:tcPr>
                  <w:tcW w:w="5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 w:val="18"/>
                      <w:szCs w:val="18"/>
                      <w:lang w:bidi="ar"/>
                    </w:rPr>
                  </w:pPr>
                  <w:r>
                    <w:rPr>
                      <w:rFonts w:hint="eastAsia" w:ascii="仿宋_GB2312" w:hAnsi="仿宋_GB2312" w:eastAsia="仿宋_GB2312" w:cs="仿宋_GB2312"/>
                      <w:color w:val="000000"/>
                      <w:sz w:val="18"/>
                      <w:szCs w:val="18"/>
                      <w:lang w:bidi="ar"/>
                    </w:rPr>
                    <w:t>断面</w:t>
                  </w:r>
                </w:p>
                <w:p>
                  <w:pPr>
                    <w:widowControl/>
                    <w:jc w:val="center"/>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bidi="ar"/>
                    </w:rPr>
                    <w:t>名称</w:t>
                  </w:r>
                </w:p>
              </w:tc>
              <w:tc>
                <w:tcPr>
                  <w:tcW w:w="8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 w:val="18"/>
                      <w:szCs w:val="18"/>
                      <w:lang w:bidi="ar"/>
                    </w:rPr>
                  </w:pPr>
                  <w:r>
                    <w:rPr>
                      <w:rFonts w:hint="eastAsia" w:ascii="仿宋_GB2312" w:hAnsi="仿宋_GB2312" w:eastAsia="仿宋_GB2312" w:cs="仿宋_GB2312"/>
                      <w:color w:val="000000"/>
                      <w:sz w:val="18"/>
                      <w:szCs w:val="18"/>
                      <w:lang w:bidi="ar"/>
                    </w:rPr>
                    <w:t>项目</w:t>
                  </w:r>
                </w:p>
                <w:p>
                  <w:pPr>
                    <w:widowControl/>
                    <w:jc w:val="center"/>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bidi="ar"/>
                    </w:rPr>
                    <w:t>指标</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bidi="ar"/>
                    </w:rPr>
                    <w:t>溶解氧</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bidi="ar"/>
                    </w:rPr>
                    <w:t>高锰酸盐指数</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bidi="ar"/>
                    </w:rPr>
                    <w:t>化学需氧量</w:t>
                  </w:r>
                </w:p>
              </w:tc>
              <w:tc>
                <w:tcPr>
                  <w:tcW w:w="4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bidi="ar"/>
                    </w:rPr>
                    <w:t>五日生化需氧量</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bidi="ar"/>
                    </w:rPr>
                    <w:t>氨氮</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bidi="ar"/>
                    </w:rPr>
                    <w:t>总氮</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_GB2312"/>
                      <w:color w:val="000000"/>
                      <w:sz w:val="18"/>
                      <w:szCs w:val="18"/>
                    </w:rPr>
                  </w:pPr>
                  <w:r>
                    <w:rPr>
                      <w:rFonts w:eastAsia="仿宋_GB2312"/>
                      <w:color w:val="000000"/>
                      <w:sz w:val="18"/>
                      <w:szCs w:val="18"/>
                      <w:lang w:bidi="ar"/>
                    </w:rPr>
                    <w:t>石油类</w:t>
                  </w:r>
                </w:p>
              </w:tc>
              <w:tc>
                <w:tcPr>
                  <w:tcW w:w="6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_GB2312"/>
                      <w:color w:val="000000"/>
                      <w:sz w:val="18"/>
                      <w:szCs w:val="18"/>
                    </w:rPr>
                  </w:pPr>
                  <w:r>
                    <w:rPr>
                      <w:rFonts w:eastAsia="仿宋_GB2312"/>
                      <w:color w:val="000000"/>
                      <w:sz w:val="18"/>
                      <w:szCs w:val="18"/>
                      <w:lang w:bidi="ar"/>
                    </w:rPr>
                    <w:t>阴离子表面活性剂</w:t>
                  </w:r>
                </w:p>
              </w:tc>
              <w:tc>
                <w:tcPr>
                  <w:tcW w:w="6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 w:val="18"/>
                      <w:szCs w:val="18"/>
                      <w:lang w:bidi="ar"/>
                    </w:rPr>
                  </w:pPr>
                  <w:r>
                    <w:rPr>
                      <w:rFonts w:hint="eastAsia" w:ascii="仿宋_GB2312" w:hAnsi="仿宋_GB2312" w:eastAsia="仿宋_GB2312" w:cs="仿宋_GB2312"/>
                      <w:color w:val="000000"/>
                      <w:sz w:val="18"/>
                      <w:szCs w:val="18"/>
                      <w:lang w:bidi="ar"/>
                    </w:rPr>
                    <w:t>粪大肠</w:t>
                  </w:r>
                </w:p>
                <w:p>
                  <w:pPr>
                    <w:widowControl/>
                    <w:jc w:val="center"/>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bidi="ar"/>
                    </w:rPr>
                    <w:t>菌群</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bidi="ar"/>
                    </w:rPr>
                    <w:t>悬浮物</w:t>
                  </w:r>
                </w:p>
              </w:tc>
              <w:tc>
                <w:tcPr>
                  <w:tcW w:w="49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 w:val="18"/>
                      <w:szCs w:val="18"/>
                      <w:lang w:bidi="ar"/>
                    </w:rPr>
                  </w:pPr>
                  <w:r>
                    <w:rPr>
                      <w:rFonts w:hint="eastAsia" w:ascii="仿宋_GB2312" w:hAnsi="仿宋_GB2312" w:eastAsia="仿宋_GB2312" w:cs="仿宋_GB2312"/>
                      <w:color w:val="000000"/>
                      <w:sz w:val="18"/>
                      <w:szCs w:val="18"/>
                      <w:lang w:bidi="ar"/>
                    </w:rPr>
                    <w:t>执行</w:t>
                  </w:r>
                </w:p>
                <w:p>
                  <w:pPr>
                    <w:widowControl/>
                    <w:jc w:val="center"/>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bidi="ar"/>
                    </w:rPr>
                    <w:t>标准</w:t>
                  </w:r>
                </w:p>
              </w:tc>
              <w:tc>
                <w:tcPr>
                  <w:tcW w:w="4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 w:val="18"/>
                      <w:szCs w:val="18"/>
                      <w:lang w:bidi="ar"/>
                    </w:rPr>
                  </w:pPr>
                  <w:r>
                    <w:rPr>
                      <w:rFonts w:hint="eastAsia" w:ascii="仿宋_GB2312" w:hAnsi="仿宋_GB2312" w:eastAsia="仿宋_GB2312" w:cs="仿宋_GB2312"/>
                      <w:color w:val="000000"/>
                      <w:sz w:val="18"/>
                      <w:szCs w:val="18"/>
                      <w:lang w:bidi="ar"/>
                    </w:rPr>
                    <w:t>水质</w:t>
                  </w:r>
                </w:p>
                <w:p>
                  <w:pPr>
                    <w:widowControl/>
                    <w:jc w:val="center"/>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bidi="ar"/>
                    </w:rPr>
                    <w:t>类别</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 w:val="18"/>
                      <w:szCs w:val="18"/>
                      <w:lang w:bidi="ar"/>
                    </w:rPr>
                  </w:pPr>
                  <w:r>
                    <w:rPr>
                      <w:rFonts w:hint="eastAsia" w:ascii="仿宋_GB2312" w:hAnsi="仿宋_GB2312" w:eastAsia="仿宋_GB2312" w:cs="仿宋_GB2312"/>
                      <w:color w:val="000000"/>
                      <w:sz w:val="18"/>
                      <w:szCs w:val="18"/>
                      <w:lang w:bidi="ar"/>
                    </w:rPr>
                    <w:t>水质</w:t>
                  </w:r>
                </w:p>
                <w:p>
                  <w:pPr>
                    <w:widowControl/>
                    <w:jc w:val="center"/>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bidi="ar"/>
                    </w:rPr>
                    <w:t>状况</w:t>
                  </w:r>
                </w:p>
              </w:tc>
            </w:tr>
            <w:tr>
              <w:tblPrEx>
                <w:tblLayout w:type="fixed"/>
              </w:tblPrEx>
              <w:trPr>
                <w:trHeight w:val="518" w:hRule="exact"/>
                <w:jc w:val="center"/>
              </w:trPr>
              <w:tc>
                <w:tcPr>
                  <w:tcW w:w="592"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eastAsia="仿宋_GB2312"/>
                      <w:color w:val="000000"/>
                      <w:sz w:val="18"/>
                      <w:szCs w:val="18"/>
                      <w:lang w:bidi="ar"/>
                    </w:rPr>
                  </w:pPr>
                  <w:r>
                    <w:rPr>
                      <w:rFonts w:eastAsia="仿宋_GB2312"/>
                      <w:b/>
                      <w:sz w:val="18"/>
                      <w:szCs w:val="18"/>
                    </w:rPr>
                    <w:t>一</w:t>
                  </w:r>
                  <w:r>
                    <w:rPr>
                      <w:rFonts w:eastAsia="仿宋_GB2312"/>
                      <w:color w:val="000000"/>
                      <w:sz w:val="18"/>
                      <w:szCs w:val="18"/>
                      <w:lang w:bidi="ar"/>
                    </w:rPr>
                    <w:t>级</w:t>
                  </w:r>
                </w:p>
                <w:p>
                  <w:pPr>
                    <w:widowControl/>
                    <w:jc w:val="center"/>
                    <w:textAlignment w:val="center"/>
                    <w:rPr>
                      <w:rFonts w:eastAsia="仿宋_GB2312"/>
                      <w:color w:val="000000"/>
                      <w:sz w:val="18"/>
                      <w:szCs w:val="18"/>
                      <w:lang w:bidi="ar"/>
                    </w:rPr>
                  </w:pPr>
                  <w:r>
                    <w:rPr>
                      <w:rFonts w:eastAsia="仿宋_GB2312"/>
                      <w:color w:val="000000"/>
                      <w:sz w:val="18"/>
                      <w:szCs w:val="18"/>
                      <w:lang w:bidi="ar"/>
                    </w:rPr>
                    <w:t>支流</w:t>
                  </w:r>
                </w:p>
                <w:p>
                  <w:pPr>
                    <w:jc w:val="center"/>
                    <w:rPr>
                      <w:rFonts w:eastAsia="仿宋_GB2312"/>
                      <w:color w:val="000000"/>
                      <w:sz w:val="18"/>
                      <w:szCs w:val="18"/>
                    </w:rPr>
                  </w:pPr>
                  <w:r>
                    <w:rPr>
                      <w:rFonts w:eastAsia="仿宋_GB2312"/>
                      <w:color w:val="000000"/>
                      <w:sz w:val="18"/>
                      <w:szCs w:val="18"/>
                      <w:lang w:bidi="ar"/>
                    </w:rPr>
                    <w:t>北河</w:t>
                  </w:r>
                </w:p>
              </w:tc>
              <w:tc>
                <w:tcPr>
                  <w:tcW w:w="59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_GB2312"/>
                      <w:color w:val="000000"/>
                      <w:sz w:val="18"/>
                      <w:szCs w:val="18"/>
                      <w:lang w:bidi="ar"/>
                    </w:rPr>
                  </w:pPr>
                  <w:r>
                    <w:rPr>
                      <w:rFonts w:eastAsia="仿宋_GB2312"/>
                      <w:color w:val="000000"/>
                      <w:sz w:val="18"/>
                      <w:szCs w:val="18"/>
                      <w:lang w:bidi="ar"/>
                    </w:rPr>
                    <w:t>锡中</w:t>
                  </w:r>
                </w:p>
                <w:p>
                  <w:pPr>
                    <w:widowControl/>
                    <w:jc w:val="center"/>
                    <w:textAlignment w:val="center"/>
                    <w:rPr>
                      <w:rFonts w:eastAsia="仿宋_GB2312"/>
                      <w:color w:val="000000"/>
                      <w:sz w:val="18"/>
                      <w:szCs w:val="18"/>
                      <w:lang w:bidi="ar"/>
                    </w:rPr>
                  </w:pPr>
                  <w:r>
                    <w:rPr>
                      <w:rFonts w:eastAsia="仿宋_GB2312"/>
                      <w:color w:val="000000"/>
                      <w:sz w:val="18"/>
                      <w:szCs w:val="18"/>
                      <w:lang w:bidi="ar"/>
                    </w:rPr>
                    <w:t>潭边</w:t>
                  </w:r>
                </w:p>
                <w:p>
                  <w:pPr>
                    <w:widowControl/>
                    <w:jc w:val="center"/>
                    <w:textAlignment w:val="center"/>
                    <w:rPr>
                      <w:rFonts w:eastAsia="仿宋_GB2312"/>
                      <w:color w:val="000000"/>
                      <w:sz w:val="18"/>
                      <w:szCs w:val="18"/>
                      <w:lang w:bidi="ar"/>
                    </w:rPr>
                  </w:pPr>
                  <w:r>
                    <w:rPr>
                      <w:rFonts w:eastAsia="仿宋_GB2312"/>
                      <w:color w:val="000000"/>
                      <w:sz w:val="18"/>
                      <w:szCs w:val="18"/>
                      <w:lang w:bidi="ar"/>
                    </w:rPr>
                    <w:t>渡</w:t>
                  </w:r>
                </w:p>
              </w:tc>
              <w:tc>
                <w:tcPr>
                  <w:tcW w:w="8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_GB2312"/>
                      <w:color w:val="000000"/>
                      <w:sz w:val="18"/>
                      <w:szCs w:val="18"/>
                    </w:rPr>
                  </w:pPr>
                  <w:r>
                    <w:rPr>
                      <w:rFonts w:eastAsia="仿宋_GB2312"/>
                      <w:color w:val="000000"/>
                      <w:sz w:val="18"/>
                      <w:szCs w:val="18"/>
                      <w:lang w:bidi="ar"/>
                    </w:rPr>
                    <w:t>样品数</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 xml:space="preserve">24 </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 xml:space="preserve">24 </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 xml:space="preserve">24 </w:t>
                  </w:r>
                </w:p>
              </w:tc>
              <w:tc>
                <w:tcPr>
                  <w:tcW w:w="4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 xml:space="preserve">24 </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 xml:space="preserve">24 </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 xml:space="preserve">24 </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 xml:space="preserve">24 </w:t>
                  </w:r>
                </w:p>
              </w:tc>
              <w:tc>
                <w:tcPr>
                  <w:tcW w:w="6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 xml:space="preserve">24 </w:t>
                  </w:r>
                </w:p>
              </w:tc>
              <w:tc>
                <w:tcPr>
                  <w:tcW w:w="6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24</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24</w:t>
                  </w:r>
                </w:p>
              </w:tc>
              <w:tc>
                <w:tcPr>
                  <w:tcW w:w="49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_GB2312"/>
                      <w:color w:val="000000"/>
                      <w:sz w:val="18"/>
                      <w:szCs w:val="18"/>
                    </w:rPr>
                  </w:pPr>
                  <w:r>
                    <w:rPr>
                      <w:rFonts w:eastAsia="仿宋_GB2312"/>
                      <w:color w:val="000000"/>
                      <w:sz w:val="18"/>
                      <w:szCs w:val="18"/>
                      <w:lang w:bidi="ar"/>
                    </w:rPr>
                    <w:t>Ⅱ</w:t>
                  </w:r>
                </w:p>
              </w:tc>
              <w:tc>
                <w:tcPr>
                  <w:tcW w:w="465"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eastAsia="仿宋_GB2312"/>
                      <w:color w:val="000000"/>
                      <w:sz w:val="18"/>
                      <w:szCs w:val="18"/>
                    </w:rPr>
                  </w:pPr>
                  <w:r>
                    <w:rPr>
                      <w:rFonts w:eastAsia="仿宋_GB2312"/>
                      <w:sz w:val="18"/>
                      <w:szCs w:val="18"/>
                    </w:rPr>
                    <w:t>劣Ⅴ</w:t>
                  </w:r>
                </w:p>
              </w:tc>
              <w:tc>
                <w:tcPr>
                  <w:tcW w:w="480"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eastAsia="仿宋_GB2312"/>
                      <w:sz w:val="18"/>
                      <w:szCs w:val="18"/>
                    </w:rPr>
                  </w:pPr>
                  <w:r>
                    <w:rPr>
                      <w:rFonts w:eastAsia="仿宋_GB2312"/>
                      <w:sz w:val="18"/>
                      <w:szCs w:val="18"/>
                    </w:rPr>
                    <w:t>重度</w:t>
                  </w:r>
                </w:p>
                <w:p>
                  <w:pPr>
                    <w:spacing w:line="0" w:lineRule="atLeast"/>
                    <w:jc w:val="center"/>
                    <w:rPr>
                      <w:rFonts w:eastAsia="仿宋_GB2312"/>
                      <w:color w:val="000000"/>
                      <w:sz w:val="18"/>
                      <w:szCs w:val="18"/>
                    </w:rPr>
                  </w:pPr>
                  <w:r>
                    <w:rPr>
                      <w:rFonts w:eastAsia="仿宋_GB2312"/>
                      <w:sz w:val="18"/>
                      <w:szCs w:val="18"/>
                    </w:rPr>
                    <w:t>污染</w:t>
                  </w:r>
                </w:p>
              </w:tc>
            </w:tr>
            <w:tr>
              <w:tblPrEx>
                <w:tblLayout w:type="fixed"/>
                <w:tblCellMar>
                  <w:top w:w="15" w:type="dxa"/>
                  <w:left w:w="15" w:type="dxa"/>
                  <w:bottom w:w="15" w:type="dxa"/>
                  <w:right w:w="15" w:type="dxa"/>
                </w:tblCellMar>
              </w:tblPrEx>
              <w:trPr>
                <w:trHeight w:val="518" w:hRule="exact"/>
                <w:jc w:val="center"/>
              </w:trPr>
              <w:tc>
                <w:tcPr>
                  <w:tcW w:w="59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_GB2312"/>
                      <w:color w:val="000000"/>
                      <w:sz w:val="18"/>
                      <w:szCs w:val="18"/>
                    </w:rPr>
                  </w:pPr>
                </w:p>
              </w:tc>
              <w:tc>
                <w:tcPr>
                  <w:tcW w:w="59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_GB2312"/>
                      <w:color w:val="000000"/>
                      <w:sz w:val="18"/>
                      <w:szCs w:val="18"/>
                      <w:lang w:bidi="ar"/>
                    </w:rPr>
                  </w:pPr>
                </w:p>
              </w:tc>
              <w:tc>
                <w:tcPr>
                  <w:tcW w:w="8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_GB2312"/>
                      <w:color w:val="000000"/>
                      <w:sz w:val="18"/>
                      <w:szCs w:val="18"/>
                    </w:rPr>
                  </w:pPr>
                  <w:r>
                    <w:rPr>
                      <w:rFonts w:eastAsia="仿宋_GB2312"/>
                      <w:color w:val="000000"/>
                      <w:sz w:val="18"/>
                      <w:szCs w:val="18"/>
                      <w:lang w:bidi="ar"/>
                    </w:rPr>
                    <w:t>年均值</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u w:val="single"/>
                    </w:rPr>
                  </w:pPr>
                  <w:r>
                    <w:rPr>
                      <w:color w:val="000000"/>
                      <w:sz w:val="18"/>
                      <w:szCs w:val="18"/>
                      <w:lang w:bidi="ar"/>
                    </w:rPr>
                    <w:t xml:space="preserve">2.2 </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 xml:space="preserve">5.0 </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 xml:space="preserve">28.9 </w:t>
                  </w:r>
                </w:p>
              </w:tc>
              <w:tc>
                <w:tcPr>
                  <w:tcW w:w="4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 xml:space="preserve">3.0 </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u w:val="single"/>
                      <w:lang w:bidi="ar"/>
                    </w:rPr>
                    <w:t xml:space="preserve">2.27 </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 xml:space="preserve">3.89 </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0.005</w:t>
                  </w:r>
                </w:p>
              </w:tc>
              <w:tc>
                <w:tcPr>
                  <w:tcW w:w="6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0.02</w:t>
                  </w:r>
                </w:p>
              </w:tc>
              <w:tc>
                <w:tcPr>
                  <w:tcW w:w="6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13833</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21.2</w:t>
                  </w:r>
                </w:p>
              </w:tc>
              <w:tc>
                <w:tcPr>
                  <w:tcW w:w="49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_GB2312"/>
                      <w:color w:val="000000"/>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_GB2312"/>
                      <w:color w:val="000000"/>
                      <w:sz w:val="18"/>
                      <w:szCs w:val="18"/>
                    </w:rPr>
                  </w:pPr>
                </w:p>
              </w:tc>
              <w:tc>
                <w:tcPr>
                  <w:tcW w:w="4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_GB2312"/>
                      <w:color w:val="000000"/>
                      <w:sz w:val="18"/>
                      <w:szCs w:val="18"/>
                    </w:rPr>
                  </w:pPr>
                </w:p>
              </w:tc>
            </w:tr>
            <w:tr>
              <w:tblPrEx>
                <w:tblLayout w:type="fixed"/>
                <w:tblCellMar>
                  <w:top w:w="15" w:type="dxa"/>
                  <w:left w:w="15" w:type="dxa"/>
                  <w:bottom w:w="15" w:type="dxa"/>
                  <w:right w:w="15" w:type="dxa"/>
                </w:tblCellMar>
              </w:tblPrEx>
              <w:trPr>
                <w:trHeight w:val="518" w:hRule="exact"/>
                <w:jc w:val="center"/>
              </w:trPr>
              <w:tc>
                <w:tcPr>
                  <w:tcW w:w="59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_GB2312"/>
                      <w:color w:val="000000"/>
                      <w:sz w:val="18"/>
                      <w:szCs w:val="18"/>
                    </w:rPr>
                  </w:pPr>
                </w:p>
              </w:tc>
              <w:tc>
                <w:tcPr>
                  <w:tcW w:w="59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_GB2312"/>
                      <w:color w:val="000000"/>
                      <w:sz w:val="18"/>
                      <w:szCs w:val="18"/>
                      <w:lang w:bidi="ar"/>
                    </w:rPr>
                  </w:pPr>
                </w:p>
              </w:tc>
              <w:tc>
                <w:tcPr>
                  <w:tcW w:w="8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_GB2312"/>
                      <w:color w:val="000000"/>
                      <w:sz w:val="18"/>
                      <w:szCs w:val="18"/>
                    </w:rPr>
                  </w:pPr>
                  <w:r>
                    <w:rPr>
                      <w:rFonts w:eastAsia="仿宋_GB2312"/>
                      <w:color w:val="000000"/>
                      <w:sz w:val="18"/>
                      <w:szCs w:val="18"/>
                      <w:lang w:bidi="ar"/>
                    </w:rPr>
                    <w:t>最大值</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 xml:space="preserve">4.1 </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 xml:space="preserve">8.6 </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 xml:space="preserve">40.6 </w:t>
                  </w:r>
                </w:p>
              </w:tc>
              <w:tc>
                <w:tcPr>
                  <w:tcW w:w="4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 xml:space="preserve">4.4 </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 xml:space="preserve">3.34 </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 xml:space="preserve">5.66 </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0.01L</w:t>
                  </w:r>
                </w:p>
              </w:tc>
              <w:tc>
                <w:tcPr>
                  <w:tcW w:w="6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0.05L</w:t>
                  </w:r>
                </w:p>
              </w:tc>
              <w:tc>
                <w:tcPr>
                  <w:tcW w:w="6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35000</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22.0</w:t>
                  </w:r>
                </w:p>
              </w:tc>
              <w:tc>
                <w:tcPr>
                  <w:tcW w:w="49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_GB2312"/>
                      <w:color w:val="000000"/>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_GB2312"/>
                      <w:color w:val="000000"/>
                      <w:sz w:val="18"/>
                      <w:szCs w:val="18"/>
                    </w:rPr>
                  </w:pPr>
                </w:p>
              </w:tc>
              <w:tc>
                <w:tcPr>
                  <w:tcW w:w="4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_GB2312"/>
                      <w:color w:val="000000"/>
                      <w:sz w:val="18"/>
                      <w:szCs w:val="18"/>
                    </w:rPr>
                  </w:pPr>
                </w:p>
              </w:tc>
            </w:tr>
            <w:tr>
              <w:tblPrEx>
                <w:tblLayout w:type="fixed"/>
                <w:tblCellMar>
                  <w:top w:w="15" w:type="dxa"/>
                  <w:left w:w="15" w:type="dxa"/>
                  <w:bottom w:w="15" w:type="dxa"/>
                  <w:right w:w="15" w:type="dxa"/>
                </w:tblCellMar>
              </w:tblPrEx>
              <w:trPr>
                <w:trHeight w:val="518" w:hRule="exact"/>
                <w:jc w:val="center"/>
              </w:trPr>
              <w:tc>
                <w:tcPr>
                  <w:tcW w:w="59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_GB2312"/>
                      <w:color w:val="000000"/>
                      <w:sz w:val="18"/>
                      <w:szCs w:val="18"/>
                    </w:rPr>
                  </w:pPr>
                </w:p>
              </w:tc>
              <w:tc>
                <w:tcPr>
                  <w:tcW w:w="59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_GB2312"/>
                      <w:color w:val="000000"/>
                      <w:sz w:val="18"/>
                      <w:szCs w:val="18"/>
                      <w:lang w:bidi="ar"/>
                    </w:rPr>
                  </w:pPr>
                </w:p>
              </w:tc>
              <w:tc>
                <w:tcPr>
                  <w:tcW w:w="8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_GB2312"/>
                      <w:color w:val="000000"/>
                      <w:sz w:val="18"/>
                      <w:szCs w:val="18"/>
                    </w:rPr>
                  </w:pPr>
                  <w:r>
                    <w:rPr>
                      <w:rFonts w:eastAsia="仿宋_GB2312"/>
                      <w:color w:val="000000"/>
                      <w:sz w:val="18"/>
                      <w:szCs w:val="18"/>
                      <w:lang w:bidi="ar"/>
                    </w:rPr>
                    <w:t>最小值</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 xml:space="preserve">0.8 </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 xml:space="preserve">3.8 </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 xml:space="preserve">22.0 </w:t>
                  </w:r>
                </w:p>
              </w:tc>
              <w:tc>
                <w:tcPr>
                  <w:tcW w:w="4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 xml:space="preserve">1.0 </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 xml:space="preserve">1.48 </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 xml:space="preserve">3.07 </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0.01L</w:t>
                  </w:r>
                </w:p>
              </w:tc>
              <w:tc>
                <w:tcPr>
                  <w:tcW w:w="6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0.05L</w:t>
                  </w:r>
                </w:p>
              </w:tc>
              <w:tc>
                <w:tcPr>
                  <w:tcW w:w="6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2800</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20.0</w:t>
                  </w:r>
                </w:p>
              </w:tc>
              <w:tc>
                <w:tcPr>
                  <w:tcW w:w="49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_GB2312"/>
                      <w:color w:val="000000"/>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_GB2312"/>
                      <w:color w:val="000000"/>
                      <w:sz w:val="18"/>
                      <w:szCs w:val="18"/>
                    </w:rPr>
                  </w:pPr>
                </w:p>
              </w:tc>
              <w:tc>
                <w:tcPr>
                  <w:tcW w:w="4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_GB2312"/>
                      <w:color w:val="000000"/>
                      <w:sz w:val="18"/>
                      <w:szCs w:val="18"/>
                    </w:rPr>
                  </w:pPr>
                </w:p>
              </w:tc>
            </w:tr>
            <w:tr>
              <w:tblPrEx>
                <w:tblLayout w:type="fixed"/>
                <w:tblCellMar>
                  <w:top w:w="15" w:type="dxa"/>
                  <w:left w:w="15" w:type="dxa"/>
                  <w:bottom w:w="15" w:type="dxa"/>
                  <w:right w:w="15" w:type="dxa"/>
                </w:tblCellMar>
              </w:tblPrEx>
              <w:trPr>
                <w:trHeight w:val="518" w:hRule="exact"/>
                <w:jc w:val="center"/>
              </w:trPr>
              <w:tc>
                <w:tcPr>
                  <w:tcW w:w="59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_GB2312"/>
                      <w:color w:val="000000"/>
                      <w:sz w:val="18"/>
                      <w:szCs w:val="18"/>
                    </w:rPr>
                  </w:pPr>
                </w:p>
              </w:tc>
              <w:tc>
                <w:tcPr>
                  <w:tcW w:w="59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_GB2312"/>
                      <w:color w:val="000000"/>
                      <w:sz w:val="18"/>
                      <w:szCs w:val="18"/>
                      <w:lang w:bidi="ar"/>
                    </w:rPr>
                  </w:pPr>
                </w:p>
              </w:tc>
              <w:tc>
                <w:tcPr>
                  <w:tcW w:w="8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_GB2312"/>
                      <w:color w:val="000000"/>
                      <w:sz w:val="18"/>
                      <w:szCs w:val="18"/>
                    </w:rPr>
                  </w:pPr>
                  <w:r>
                    <w:rPr>
                      <w:rFonts w:eastAsia="仿宋_GB2312"/>
                      <w:color w:val="000000"/>
                      <w:sz w:val="18"/>
                      <w:szCs w:val="18"/>
                      <w:lang w:bidi="ar"/>
                    </w:rPr>
                    <w:t>达标率%</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0</w:t>
                  </w:r>
                  <w:r>
                    <w:rPr>
                      <w:rFonts w:hint="eastAsia"/>
                      <w:color w:val="000000"/>
                      <w:sz w:val="18"/>
                      <w:szCs w:val="18"/>
                      <w:lang w:bidi="ar"/>
                    </w:rPr>
                    <w:t>.0</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rFonts w:hint="eastAsia"/>
                      <w:color w:val="000000"/>
                      <w:sz w:val="18"/>
                      <w:szCs w:val="18"/>
                      <w:lang w:bidi="ar"/>
                    </w:rPr>
                    <w:t>16.7</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rFonts w:hint="eastAsia"/>
                      <w:color w:val="000000"/>
                      <w:sz w:val="18"/>
                      <w:szCs w:val="18"/>
                      <w:lang w:bidi="ar"/>
                    </w:rPr>
                    <w:t>0.0</w:t>
                  </w:r>
                </w:p>
              </w:tc>
              <w:tc>
                <w:tcPr>
                  <w:tcW w:w="4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rFonts w:hint="eastAsia"/>
                      <w:color w:val="000000"/>
                      <w:sz w:val="18"/>
                      <w:szCs w:val="18"/>
                      <w:lang w:bidi="ar"/>
                    </w:rPr>
                    <w:t>3</w:t>
                  </w:r>
                  <w:r>
                    <w:rPr>
                      <w:color w:val="000000"/>
                      <w:sz w:val="18"/>
                      <w:szCs w:val="18"/>
                      <w:lang w:bidi="ar"/>
                    </w:rPr>
                    <w:t>3.3</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rFonts w:hint="eastAsia"/>
                      <w:color w:val="000000"/>
                      <w:sz w:val="18"/>
                      <w:szCs w:val="18"/>
                      <w:lang w:bidi="ar"/>
                    </w:rPr>
                    <w:t>0.0</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100</w:t>
                  </w:r>
                </w:p>
              </w:tc>
              <w:tc>
                <w:tcPr>
                  <w:tcW w:w="6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100</w:t>
                  </w:r>
                </w:p>
              </w:tc>
              <w:tc>
                <w:tcPr>
                  <w:tcW w:w="6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sz w:val="18"/>
                      <w:szCs w:val="18"/>
                      <w:lang w:bidi="ar"/>
                    </w:rPr>
                    <w:t>–</w:t>
                  </w:r>
                </w:p>
              </w:tc>
              <w:tc>
                <w:tcPr>
                  <w:tcW w:w="49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_GB2312"/>
                      <w:color w:val="000000"/>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_GB2312"/>
                      <w:color w:val="000000"/>
                      <w:sz w:val="18"/>
                      <w:szCs w:val="18"/>
                    </w:rPr>
                  </w:pPr>
                </w:p>
              </w:tc>
              <w:tc>
                <w:tcPr>
                  <w:tcW w:w="4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_GB2312"/>
                      <w:color w:val="000000"/>
                      <w:sz w:val="18"/>
                      <w:szCs w:val="18"/>
                    </w:rPr>
                  </w:pPr>
                </w:p>
              </w:tc>
            </w:tr>
          </w:tbl>
          <w:p>
            <w:pPr>
              <w:pStyle w:val="47"/>
              <w:adjustRightInd w:val="0"/>
              <w:snapToGrid/>
              <w:ind w:left="0" w:leftChars="0" w:firstLine="0" w:firstLineChars="0"/>
              <w:rPr>
                <w:rFonts w:hint="default" w:ascii="Times New Roman" w:hAnsi="Times New Roman" w:cs="Times New Roman"/>
                <w:color w:val="auto"/>
                <w:szCs w:val="21"/>
              </w:rPr>
            </w:pPr>
          </w:p>
          <w:p>
            <w:pPr>
              <w:pStyle w:val="47"/>
              <w:adjustRightInd w:val="0"/>
              <w:snapToGrid/>
              <w:ind w:firstLine="480" w:firstLineChars="200"/>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监测结果表明：</w:t>
            </w:r>
            <w:r>
              <w:rPr>
                <w:rFonts w:hint="eastAsia" w:ascii="Times New Roman" w:cs="Times New Roman"/>
                <w:color w:val="auto"/>
                <w:szCs w:val="21"/>
                <w:lang w:eastAsia="zh-CN"/>
              </w:rPr>
              <w:t>榕江北河</w:t>
            </w:r>
            <w:r>
              <w:rPr>
                <w:rFonts w:hint="default" w:ascii="Times New Roman" w:hAnsi="Times New Roman" w:cs="Times New Roman"/>
                <w:color w:val="auto"/>
                <w:szCs w:val="21"/>
                <w:lang w:eastAsia="zh-CN"/>
              </w:rPr>
              <w:t>（</w:t>
            </w:r>
            <w:r>
              <w:rPr>
                <w:rFonts w:hint="eastAsia" w:ascii="Times New Roman" w:cs="Times New Roman"/>
                <w:color w:val="auto"/>
                <w:szCs w:val="21"/>
                <w:lang w:eastAsia="zh-CN"/>
              </w:rPr>
              <w:t>锡中潭边渡至上游广安寺</w:t>
            </w:r>
            <w:r>
              <w:rPr>
                <w:rFonts w:hint="default" w:ascii="Times New Roman" w:hAnsi="Times New Roman" w:cs="Times New Roman"/>
                <w:color w:val="auto"/>
                <w:szCs w:val="21"/>
                <w:lang w:eastAsia="zh-CN"/>
              </w:rPr>
              <w:t>）</w:t>
            </w:r>
            <w:r>
              <w:rPr>
                <w:rFonts w:hint="eastAsia" w:ascii="Times New Roman" w:cs="Times New Roman"/>
                <w:color w:val="auto"/>
                <w:szCs w:val="21"/>
                <w:lang w:eastAsia="zh-CN"/>
              </w:rPr>
              <w:t>锡中潭边渡</w:t>
            </w:r>
            <w:r>
              <w:rPr>
                <w:rFonts w:hint="default" w:ascii="Times New Roman" w:hAnsi="Times New Roman" w:cs="Times New Roman"/>
                <w:color w:val="auto"/>
                <w:szCs w:val="21"/>
              </w:rPr>
              <w:t>监测断面除</w:t>
            </w:r>
            <w:r>
              <w:rPr>
                <w:rFonts w:hint="eastAsia" w:ascii="Times New Roman" w:cs="Times New Roman"/>
                <w:color w:val="auto"/>
                <w:szCs w:val="21"/>
                <w:lang w:eastAsia="zh-CN"/>
              </w:rPr>
              <w:t>石油类、阴离子表面活性剂</w:t>
            </w:r>
            <w:r>
              <w:rPr>
                <w:rFonts w:hint="default" w:ascii="Times New Roman" w:hAnsi="Times New Roman" w:cs="Times New Roman"/>
                <w:color w:val="auto"/>
                <w:szCs w:val="21"/>
              </w:rPr>
              <w:t>外，其余指标均</w:t>
            </w:r>
            <w:r>
              <w:rPr>
                <w:rFonts w:hint="eastAsia" w:ascii="Times New Roman" w:cs="Times New Roman"/>
                <w:color w:val="auto"/>
                <w:szCs w:val="21"/>
                <w:lang w:eastAsia="zh-CN"/>
              </w:rPr>
              <w:t>不能</w:t>
            </w:r>
            <w:r>
              <w:rPr>
                <w:rFonts w:hint="default" w:ascii="Times New Roman" w:hAnsi="Times New Roman" w:cs="Times New Roman"/>
                <w:color w:val="auto"/>
                <w:szCs w:val="21"/>
              </w:rPr>
              <w:t>达到《地表水环境质量标准》(GB3838-2002)</w:t>
            </w:r>
            <w:r>
              <w:rPr>
                <w:rFonts w:hint="eastAsia" w:ascii="Times New Roman" w:cs="Times New Roman"/>
                <w:color w:val="auto"/>
                <w:szCs w:val="21"/>
                <w:lang w:val="en-US" w:eastAsia="zh-CN"/>
              </w:rPr>
              <w:t>II</w:t>
            </w:r>
            <w:r>
              <w:rPr>
                <w:rFonts w:hint="default" w:ascii="Times New Roman" w:hAnsi="Times New Roman" w:cs="Times New Roman"/>
                <w:color w:val="auto"/>
                <w:szCs w:val="21"/>
              </w:rPr>
              <w:t xml:space="preserve"> 类水质标准</w:t>
            </w:r>
            <w:r>
              <w:rPr>
                <w:rFonts w:hint="eastAsia" w:ascii="Times New Roman" w:cs="Times New Roman"/>
                <w:color w:val="auto"/>
                <w:szCs w:val="21"/>
                <w:lang w:eastAsia="zh-CN"/>
              </w:rPr>
              <w:t>。水质类别劣</w:t>
            </w:r>
            <w:r>
              <w:rPr>
                <w:rFonts w:hint="eastAsia" w:ascii="Times New Roman" w:cs="Times New Roman"/>
                <w:color w:val="auto"/>
                <w:szCs w:val="21"/>
                <w:lang w:val="en-US" w:eastAsia="zh-CN"/>
              </w:rPr>
              <w:t>V类，属于重度污染。</w:t>
            </w:r>
          </w:p>
          <w:p>
            <w:pPr>
              <w:pStyle w:val="47"/>
              <w:adjustRightInd w:val="0"/>
              <w:snapToGrid/>
              <w:ind w:firstLine="482" w:firstLineChars="200"/>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三、声环境质量现状</w:t>
            </w:r>
          </w:p>
          <w:p>
            <w:pPr>
              <w:pStyle w:val="47"/>
              <w:adjustRightInd w:val="0"/>
              <w:snapToGrid/>
              <w:ind w:firstLine="480" w:firstLineChars="200"/>
              <w:rPr>
                <w:rFonts w:hint="default" w:ascii="Times New Roman" w:hAnsi="Times New Roman" w:cs="Times New Roman"/>
                <w:color w:val="auto"/>
              </w:rPr>
            </w:pPr>
            <w:r>
              <w:rPr>
                <w:rFonts w:hint="default" w:ascii="Times New Roman" w:hAnsi="Times New Roman" w:cs="Times New Roman"/>
                <w:color w:val="auto"/>
              </w:rPr>
              <w:t>2017年揭阳市道路交通噪声平均等效声级为67.7分贝，与2016年相比上升0.2分贝，道路交通噪声强度等级为一级，评价为好，与上年持平；等效声级大于70分贝的超标路段总长为20.42公里，占总监测路长17.9%，超标路段总长比2016年上升0.5%。</w:t>
            </w:r>
          </w:p>
          <w:p>
            <w:pPr>
              <w:pStyle w:val="47"/>
              <w:adjustRightInd w:val="0"/>
              <w:snapToGrid/>
              <w:ind w:firstLine="480" w:firstLineChars="200"/>
              <w:rPr>
                <w:rFonts w:hint="default" w:ascii="Times New Roman" w:hAnsi="Times New Roman" w:cs="Times New Roman"/>
                <w:color w:val="auto"/>
              </w:rPr>
            </w:pPr>
            <w:r>
              <w:rPr>
                <w:rFonts w:hint="default" w:ascii="Times New Roman" w:hAnsi="Times New Roman" w:cs="Times New Roman"/>
                <w:color w:val="auto"/>
              </w:rPr>
              <w:t>2017年揭阳市区区域环境噪声平均等效声级为为54.8分贝，与2016年相比上升0.1分贝，城市区域环境噪声总体水平等级为二级，较好，与上年持平；等效声级范围为44.9-63.2分贝，超标率为16.5%，总超标面积为9.70平方公里，总超标面积比2016年增加4.15平方公里。</w:t>
            </w:r>
          </w:p>
          <w:p>
            <w:pPr>
              <w:pStyle w:val="47"/>
              <w:adjustRightInd w:val="0"/>
              <w:snapToGrid/>
              <w:ind w:firstLine="480" w:firstLineChars="200"/>
              <w:rPr>
                <w:rFonts w:hint="default" w:ascii="Times New Roman" w:hAnsi="Times New Roman" w:cs="Times New Roman"/>
                <w:color w:val="auto"/>
              </w:rPr>
            </w:pPr>
            <w:r>
              <w:rPr>
                <w:rFonts w:hint="default" w:ascii="Times New Roman" w:hAnsi="Times New Roman" w:cs="Times New Roman"/>
                <w:color w:val="auto"/>
              </w:rPr>
              <w:t>2017年揭阳市功能区噪声1类、2类、3类、4类区昼夜等效声级分别为53.8、54.9、57.6、64.9分贝；除3类功能区噪声小时等效声级达标外，其余各类功能区噪声小时等效声级均出现不同程度的超标现象。功能区噪声年度达标率为93.6%，其中昼间达标率为98.3%，夜间达标率为84.1%。全天平均车流量为1252辆/小时，其中昼间为1540辆/小时，夜间为677辆/小时。与上年相比，声环境质量略有好转，等效声级达标率上升0.9%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496" w:hRule="atLeast"/>
        </w:trPr>
        <w:tc>
          <w:tcPr>
            <w:tcW w:w="9571" w:type="dxa"/>
            <w:tcBorders>
              <w:top w:val="single" w:color="auto" w:sz="4" w:space="0"/>
              <w:bottom w:val="single" w:color="000000" w:sz="6" w:space="0"/>
            </w:tcBorders>
          </w:tcPr>
          <w:p>
            <w:pPr>
              <w:spacing w:before="100" w:beforeAutospacing="1" w:line="360" w:lineRule="auto"/>
              <w:rPr>
                <w:rFonts w:hint="default" w:ascii="Times New Roman" w:hAnsi="Times New Roman" w:cs="Times New Roman"/>
                <w:b/>
                <w:color w:val="auto"/>
                <w:sz w:val="28"/>
              </w:rPr>
            </w:pPr>
            <w:r>
              <w:rPr>
                <w:rFonts w:hint="default" w:ascii="Times New Roman" w:hAnsi="Times New Roman" w:cs="Times New Roman"/>
                <w:b/>
                <w:color w:val="auto"/>
                <w:sz w:val="28"/>
              </w:rPr>
              <w:t>主要环境保护目标(列出名单及保护级别):</w:t>
            </w:r>
          </w:p>
          <w:p>
            <w:pPr>
              <w:pStyle w:val="47"/>
              <w:adjustRightInd w:val="0"/>
              <w:snapToGrid/>
              <w:ind w:firstLine="480" w:firstLineChars="200"/>
              <w:rPr>
                <w:rFonts w:hint="default" w:ascii="Times New Roman" w:hAnsi="Times New Roman" w:cs="Times New Roman"/>
                <w:color w:val="auto"/>
                <w:szCs w:val="21"/>
              </w:rPr>
            </w:pPr>
            <w:r>
              <w:rPr>
                <w:rFonts w:hint="default" w:ascii="Times New Roman" w:hAnsi="Times New Roman" w:cs="Times New Roman"/>
                <w:color w:val="auto"/>
                <w:szCs w:val="21"/>
              </w:rPr>
              <w:t>项目的主要环境保护目标，是保护好项目所在地附近周围评价区域环境质量。要采取有效的环保措施，使项目的建设和生产运行中保持项目所在地区域原有的环境空气质量、水环境质量和声环境质量。</w:t>
            </w:r>
          </w:p>
          <w:p>
            <w:pPr>
              <w:pStyle w:val="47"/>
              <w:adjustRightInd w:val="0"/>
              <w:snapToGrid/>
              <w:ind w:firstLine="482" w:firstLineChars="200"/>
              <w:rPr>
                <w:rFonts w:hint="default" w:ascii="Times New Roman" w:hAnsi="Times New Roman" w:cs="Times New Roman"/>
                <w:b/>
                <w:color w:val="auto"/>
                <w:szCs w:val="21"/>
              </w:rPr>
            </w:pPr>
            <w:r>
              <w:rPr>
                <w:rFonts w:hint="default" w:ascii="Times New Roman" w:hAnsi="Times New Roman" w:cs="Times New Roman"/>
                <w:b/>
                <w:color w:val="auto"/>
                <w:szCs w:val="21"/>
              </w:rPr>
              <w:t>一、空气环境保护目标</w:t>
            </w:r>
          </w:p>
          <w:p>
            <w:pPr>
              <w:pStyle w:val="47"/>
              <w:adjustRightInd w:val="0"/>
              <w:snapToGrid/>
              <w:ind w:firstLine="480" w:firstLineChars="200"/>
              <w:rPr>
                <w:rFonts w:hint="default" w:ascii="Times New Roman" w:hAnsi="Times New Roman" w:cs="Times New Roman"/>
                <w:color w:val="auto"/>
                <w:szCs w:val="21"/>
              </w:rPr>
            </w:pPr>
            <w:r>
              <w:rPr>
                <w:rFonts w:hint="default" w:ascii="Times New Roman" w:hAnsi="Times New Roman" w:cs="Times New Roman"/>
                <w:color w:val="auto"/>
                <w:szCs w:val="21"/>
              </w:rPr>
              <w:t>应保证周围大气环境达到保护人群健康、环境敏感点和动植物在长期和短期接触情况下不发生伤害所需要的环境质量要求，即保护该区域环境空气质量不因本项目的兴建而超过《环境空气质量标准》（GB3095—2012）</w:t>
            </w:r>
            <w:r>
              <w:rPr>
                <w:rFonts w:hint="default" w:ascii="Times New Roman" w:hAnsi="Times New Roman" w:cs="Times New Roman"/>
                <w:color w:val="auto"/>
                <w:szCs w:val="21"/>
                <w:lang w:eastAsia="zh-CN"/>
              </w:rPr>
              <w:t>及</w:t>
            </w:r>
            <w:r>
              <w:rPr>
                <w:rFonts w:hint="default" w:ascii="Times New Roman" w:hAnsi="Times New Roman" w:cs="Times New Roman"/>
                <w:color w:val="auto"/>
                <w:szCs w:val="21"/>
                <w:lang w:val="en-US" w:eastAsia="zh-CN"/>
              </w:rPr>
              <w:t>2018年</w:t>
            </w:r>
            <w:r>
              <w:rPr>
                <w:rFonts w:hint="default" w:ascii="Times New Roman" w:hAnsi="Times New Roman" w:cs="Times New Roman"/>
                <w:color w:val="auto"/>
                <w:szCs w:val="21"/>
                <w:lang w:eastAsia="zh-CN"/>
              </w:rPr>
              <w:t>修改单</w:t>
            </w:r>
            <w:r>
              <w:rPr>
                <w:rFonts w:hint="default" w:ascii="Times New Roman" w:hAnsi="Times New Roman" w:cs="Times New Roman"/>
                <w:color w:val="auto"/>
                <w:szCs w:val="21"/>
              </w:rPr>
              <w:t>二级标准。</w:t>
            </w:r>
          </w:p>
          <w:p>
            <w:pPr>
              <w:pStyle w:val="47"/>
              <w:adjustRightInd w:val="0"/>
              <w:snapToGrid/>
              <w:ind w:firstLine="482" w:firstLineChars="200"/>
              <w:rPr>
                <w:rFonts w:hint="default" w:ascii="Times New Roman" w:hAnsi="Times New Roman" w:cs="Times New Roman"/>
                <w:b/>
                <w:color w:val="auto"/>
                <w:szCs w:val="21"/>
              </w:rPr>
            </w:pPr>
            <w:r>
              <w:rPr>
                <w:rFonts w:hint="default" w:ascii="Times New Roman" w:hAnsi="Times New Roman" w:cs="Times New Roman"/>
                <w:b/>
                <w:color w:val="auto"/>
                <w:szCs w:val="21"/>
              </w:rPr>
              <w:t>二、水环境保护目标</w:t>
            </w:r>
          </w:p>
          <w:p>
            <w:pPr>
              <w:pStyle w:val="47"/>
              <w:adjustRightInd w:val="0"/>
              <w:snapToGrid/>
              <w:ind w:firstLine="480" w:firstLineChars="200"/>
              <w:rPr>
                <w:rFonts w:hint="default" w:ascii="Times New Roman" w:hAnsi="Times New Roman" w:cs="Times New Roman"/>
                <w:color w:val="auto"/>
                <w:szCs w:val="21"/>
              </w:rPr>
            </w:pPr>
            <w:r>
              <w:rPr>
                <w:rFonts w:hint="default" w:ascii="Times New Roman" w:hAnsi="Times New Roman" w:cs="Times New Roman"/>
                <w:color w:val="auto"/>
                <w:szCs w:val="21"/>
              </w:rPr>
              <w:t>保护</w:t>
            </w:r>
            <w:r>
              <w:rPr>
                <w:rFonts w:hint="eastAsia" w:ascii="Times New Roman" w:cs="Times New Roman"/>
                <w:color w:val="auto"/>
                <w:szCs w:val="21"/>
                <w:lang w:eastAsia="zh-CN"/>
              </w:rPr>
              <w:t>附近</w:t>
            </w:r>
            <w:r>
              <w:rPr>
                <w:rFonts w:hint="default" w:ascii="Times New Roman" w:hAnsi="Times New Roman" w:cs="Times New Roman"/>
                <w:color w:val="auto"/>
                <w:szCs w:val="21"/>
              </w:rPr>
              <w:t>水体</w:t>
            </w:r>
            <w:r>
              <w:rPr>
                <w:rFonts w:hint="eastAsia" w:ascii="Times New Roman" w:cs="Times New Roman"/>
                <w:color w:val="auto"/>
                <w:spacing w:val="8"/>
                <w:sz w:val="24"/>
                <w:lang w:eastAsia="zh-CN"/>
              </w:rPr>
              <w:t>榕江北河</w:t>
            </w:r>
            <w:r>
              <w:rPr>
                <w:rFonts w:hint="default" w:ascii="Times New Roman" w:hAnsi="Times New Roman" w:cs="Times New Roman"/>
                <w:color w:val="auto"/>
                <w:spacing w:val="8"/>
                <w:sz w:val="24"/>
                <w:lang w:eastAsia="zh-CN"/>
              </w:rPr>
              <w:t>（</w:t>
            </w:r>
            <w:r>
              <w:rPr>
                <w:rFonts w:hint="eastAsia" w:ascii="Times New Roman" w:cs="Times New Roman"/>
                <w:color w:val="auto"/>
                <w:spacing w:val="8"/>
                <w:sz w:val="24"/>
                <w:lang w:eastAsia="zh-CN"/>
              </w:rPr>
              <w:t>锡中潭边渡至上游</w:t>
            </w:r>
            <w:r>
              <w:rPr>
                <w:rFonts w:hint="eastAsia" w:ascii="Times New Roman" w:cs="Times New Roman"/>
                <w:color w:val="auto"/>
                <w:spacing w:val="8"/>
                <w:sz w:val="24"/>
                <w:lang w:val="en-US" w:eastAsia="zh-CN"/>
              </w:rPr>
              <w:t>2公里广安寺</w:t>
            </w:r>
            <w:r>
              <w:rPr>
                <w:rFonts w:hint="default" w:ascii="Times New Roman" w:hAnsi="Times New Roman" w:cs="Times New Roman"/>
                <w:color w:val="auto"/>
                <w:spacing w:val="8"/>
                <w:sz w:val="24"/>
                <w:lang w:eastAsia="zh-CN"/>
              </w:rPr>
              <w:t>）</w:t>
            </w:r>
            <w:r>
              <w:rPr>
                <w:rFonts w:hint="default" w:ascii="Times New Roman" w:hAnsi="Times New Roman" w:cs="Times New Roman"/>
                <w:color w:val="auto"/>
                <w:szCs w:val="21"/>
              </w:rPr>
              <w:t>水域环境质量符合《地表水环境质量标准》（GB3838-2002）</w:t>
            </w:r>
            <w:r>
              <w:rPr>
                <w:rFonts w:hint="eastAsia" w:ascii="Times New Roman" w:cs="Times New Roman"/>
                <w:color w:val="auto"/>
                <w:spacing w:val="8"/>
                <w:sz w:val="24"/>
                <w:lang w:val="en-US" w:eastAsia="zh-CN"/>
              </w:rPr>
              <w:t>II</w:t>
            </w:r>
            <w:r>
              <w:rPr>
                <w:rFonts w:hint="default" w:ascii="Times New Roman" w:hAnsi="Times New Roman" w:cs="Times New Roman"/>
                <w:color w:val="auto"/>
                <w:szCs w:val="21"/>
              </w:rPr>
              <w:t>类水质标准。</w:t>
            </w:r>
          </w:p>
          <w:p>
            <w:pPr>
              <w:pStyle w:val="47"/>
              <w:adjustRightInd w:val="0"/>
              <w:snapToGrid/>
              <w:ind w:firstLine="482" w:firstLineChars="200"/>
              <w:rPr>
                <w:rFonts w:hint="default" w:ascii="Times New Roman" w:hAnsi="Times New Roman" w:cs="Times New Roman"/>
                <w:b/>
                <w:color w:val="auto"/>
                <w:szCs w:val="21"/>
              </w:rPr>
            </w:pPr>
            <w:r>
              <w:rPr>
                <w:rFonts w:hint="default" w:ascii="Times New Roman" w:hAnsi="Times New Roman" w:cs="Times New Roman"/>
                <w:b/>
                <w:color w:val="auto"/>
                <w:szCs w:val="21"/>
              </w:rPr>
              <w:t>三、声环境保护目标</w:t>
            </w:r>
          </w:p>
          <w:p>
            <w:pPr>
              <w:pStyle w:val="47"/>
              <w:adjustRightInd w:val="0"/>
              <w:snapToGrid/>
              <w:ind w:firstLine="480" w:firstLineChars="200"/>
              <w:rPr>
                <w:rFonts w:hint="default" w:ascii="Times New Roman" w:hAnsi="Times New Roman" w:cs="Times New Roman"/>
                <w:color w:val="auto"/>
                <w:szCs w:val="21"/>
              </w:rPr>
            </w:pPr>
            <w:r>
              <w:rPr>
                <w:rFonts w:hint="default" w:ascii="Times New Roman" w:hAnsi="Times New Roman" w:cs="Times New Roman"/>
                <w:color w:val="auto"/>
                <w:szCs w:val="21"/>
              </w:rPr>
              <w:t>确保项目建成达产后，声环境符合《声环境质量标准》（GB3096-2008）2类标准。</w:t>
            </w:r>
          </w:p>
          <w:p>
            <w:pPr>
              <w:pStyle w:val="47"/>
              <w:adjustRightInd w:val="0"/>
              <w:snapToGrid/>
              <w:ind w:firstLine="482" w:firstLineChars="200"/>
              <w:rPr>
                <w:rFonts w:hint="default" w:ascii="Times New Roman" w:hAnsi="Times New Roman" w:cs="Times New Roman"/>
                <w:b/>
                <w:color w:val="auto"/>
                <w:szCs w:val="21"/>
              </w:rPr>
            </w:pPr>
            <w:r>
              <w:rPr>
                <w:rFonts w:hint="eastAsia" w:ascii="Times New Roman" w:cs="Times New Roman"/>
                <w:b/>
                <w:color w:val="auto"/>
                <w:szCs w:val="21"/>
                <w:lang w:eastAsia="zh-CN"/>
              </w:rPr>
              <w:t>四</w:t>
            </w:r>
            <w:r>
              <w:rPr>
                <w:rFonts w:hint="default" w:ascii="Times New Roman" w:hAnsi="Times New Roman" w:cs="Times New Roman"/>
                <w:b/>
                <w:color w:val="auto"/>
                <w:szCs w:val="21"/>
              </w:rPr>
              <w:t>、固体废物保护目标</w:t>
            </w:r>
          </w:p>
          <w:p>
            <w:pPr>
              <w:pStyle w:val="47"/>
              <w:adjustRightInd w:val="0"/>
              <w:snapToGrid/>
              <w:ind w:firstLine="480" w:firstLineChars="200"/>
              <w:rPr>
                <w:rFonts w:hint="default" w:ascii="Times New Roman" w:hAnsi="Times New Roman" w:cs="Times New Roman"/>
                <w:color w:val="auto"/>
                <w:szCs w:val="21"/>
              </w:rPr>
            </w:pPr>
            <w:r>
              <w:rPr>
                <w:rFonts w:hint="default" w:ascii="Times New Roman" w:hAnsi="Times New Roman" w:cs="Times New Roman"/>
                <w:color w:val="auto"/>
                <w:szCs w:val="21"/>
              </w:rPr>
              <w:t>妥善处理本项目产生的固体废物，使之不成为区域内危害环境的新污染源。</w:t>
            </w:r>
          </w:p>
          <w:p>
            <w:pPr>
              <w:pStyle w:val="47"/>
              <w:adjustRightInd w:val="0"/>
              <w:snapToGrid/>
              <w:ind w:firstLine="482" w:firstLineChars="200"/>
              <w:rPr>
                <w:rFonts w:hint="default" w:ascii="Times New Roman" w:hAnsi="Times New Roman" w:cs="Times New Roman"/>
                <w:b/>
                <w:color w:val="auto"/>
                <w:szCs w:val="21"/>
                <w:highlight w:val="none"/>
              </w:rPr>
            </w:pPr>
            <w:r>
              <w:rPr>
                <w:rFonts w:hint="eastAsia" w:ascii="Times New Roman" w:cs="Times New Roman"/>
                <w:b/>
                <w:color w:val="auto"/>
                <w:szCs w:val="21"/>
                <w:highlight w:val="none"/>
                <w:lang w:eastAsia="zh-CN"/>
              </w:rPr>
              <w:t>五</w:t>
            </w:r>
            <w:r>
              <w:rPr>
                <w:rFonts w:hint="default" w:ascii="Times New Roman" w:hAnsi="Times New Roman" w:cs="Times New Roman"/>
                <w:b/>
                <w:color w:val="auto"/>
                <w:szCs w:val="21"/>
                <w:highlight w:val="none"/>
              </w:rPr>
              <w:t>、敏感点保护目标</w:t>
            </w:r>
          </w:p>
          <w:p>
            <w:pPr>
              <w:pStyle w:val="47"/>
              <w:adjustRightInd w:val="0"/>
              <w:snapToGrid/>
              <w:ind w:firstLine="480" w:firstLineChars="200"/>
              <w:rPr>
                <w:rFonts w:hint="default" w:ascii="Times New Roman" w:hAnsi="Times New Roman" w:cs="Times New Roman"/>
                <w:color w:val="auto"/>
                <w:szCs w:val="21"/>
              </w:rPr>
            </w:pPr>
            <w:r>
              <w:rPr>
                <w:rFonts w:hint="default" w:ascii="Times New Roman" w:hAnsi="Times New Roman" w:cs="Times New Roman"/>
                <w:color w:val="auto"/>
                <w:szCs w:val="21"/>
              </w:rPr>
              <w:t>项目地周围主要保护的目标见表3-</w:t>
            </w:r>
            <w:r>
              <w:rPr>
                <w:rFonts w:hint="default" w:ascii="Times New Roman" w:hAnsi="Times New Roman" w:cs="Times New Roman"/>
                <w:color w:val="auto"/>
                <w:szCs w:val="21"/>
                <w:lang w:val="en-US" w:eastAsia="zh-CN"/>
              </w:rPr>
              <w:t>7</w:t>
            </w:r>
            <w:r>
              <w:rPr>
                <w:rFonts w:hint="default" w:ascii="Times New Roman" w:hAnsi="Times New Roman" w:cs="Times New Roman"/>
                <w:color w:val="auto"/>
                <w:szCs w:val="21"/>
              </w:rPr>
              <w:t>。</w:t>
            </w:r>
          </w:p>
          <w:p>
            <w:pPr>
              <w:jc w:val="center"/>
              <w:rPr>
                <w:rFonts w:hint="default" w:ascii="Times New Roman" w:hAnsi="Times New Roman" w:cs="Times New Roman"/>
                <w:b/>
                <w:color w:val="auto"/>
                <w:sz w:val="24"/>
                <w:highlight w:val="none"/>
              </w:rPr>
            </w:pPr>
            <w:r>
              <w:rPr>
                <w:rFonts w:hint="default" w:ascii="Times New Roman" w:hAnsi="Times New Roman" w:cs="Times New Roman"/>
                <w:b/>
                <w:color w:val="auto"/>
                <w:sz w:val="21"/>
                <w:szCs w:val="21"/>
                <w:highlight w:val="none"/>
              </w:rPr>
              <w:t>表3-</w:t>
            </w:r>
            <w:r>
              <w:rPr>
                <w:rFonts w:hint="default" w:ascii="Times New Roman" w:hAnsi="Times New Roman" w:cs="Times New Roman"/>
                <w:b/>
                <w:color w:val="auto"/>
                <w:sz w:val="21"/>
                <w:szCs w:val="21"/>
                <w:highlight w:val="none"/>
                <w:lang w:val="en-US" w:eastAsia="zh-CN"/>
              </w:rPr>
              <w:t>7</w:t>
            </w:r>
            <w:r>
              <w:rPr>
                <w:rFonts w:hint="default" w:ascii="Times New Roman" w:hAnsi="Times New Roman" w:cs="Times New Roman"/>
                <w:b/>
                <w:color w:val="auto"/>
                <w:sz w:val="21"/>
                <w:szCs w:val="21"/>
                <w:highlight w:val="none"/>
              </w:rPr>
              <w:t xml:space="preserve">  本项目环境保护目标一览表</w:t>
            </w:r>
          </w:p>
          <w:tbl>
            <w:tblPr>
              <w:tblStyle w:val="31"/>
              <w:tblW w:w="94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57"/>
              <w:gridCol w:w="1638"/>
              <w:gridCol w:w="990"/>
              <w:gridCol w:w="1065"/>
              <w:gridCol w:w="1050"/>
              <w:gridCol w:w="1200"/>
              <w:gridCol w:w="2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40" w:hRule="atLeast"/>
                <w:jc w:val="center"/>
              </w:trPr>
              <w:tc>
                <w:tcPr>
                  <w:tcW w:w="657" w:type="dxa"/>
                  <w:noWrap w:val="0"/>
                  <w:vAlign w:val="center"/>
                </w:tcPr>
                <w:p>
                  <w:pPr>
                    <w:pStyle w:val="120"/>
                    <w:spacing w:line="240" w:lineRule="atLeast"/>
                    <w:rPr>
                      <w:rFonts w:hint="default" w:ascii="Times New Roman" w:hAnsi="Times New Roman" w:cs="Times New Roman"/>
                      <w:b/>
                      <w:bCs/>
                      <w:color w:val="auto"/>
                    </w:rPr>
                  </w:pPr>
                  <w:r>
                    <w:rPr>
                      <w:rFonts w:hint="default" w:ascii="Times New Roman" w:hAnsi="Times New Roman" w:cs="Times New Roman"/>
                      <w:b/>
                      <w:bCs/>
                      <w:color w:val="auto"/>
                    </w:rPr>
                    <w:t>序号</w:t>
                  </w:r>
                </w:p>
              </w:tc>
              <w:tc>
                <w:tcPr>
                  <w:tcW w:w="1638" w:type="dxa"/>
                  <w:noWrap w:val="0"/>
                  <w:vAlign w:val="center"/>
                </w:tcPr>
                <w:p>
                  <w:pPr>
                    <w:pStyle w:val="120"/>
                    <w:spacing w:line="240" w:lineRule="atLeast"/>
                    <w:rPr>
                      <w:rFonts w:hint="default" w:ascii="Times New Roman" w:hAnsi="Times New Roman" w:cs="Times New Roman"/>
                      <w:b/>
                      <w:bCs/>
                      <w:color w:val="auto"/>
                    </w:rPr>
                  </w:pPr>
                  <w:r>
                    <w:rPr>
                      <w:rFonts w:hint="default" w:ascii="Times New Roman" w:hAnsi="Times New Roman" w:cs="Times New Roman"/>
                      <w:b/>
                      <w:bCs/>
                      <w:color w:val="auto"/>
                    </w:rPr>
                    <w:t>敏感点名称</w:t>
                  </w:r>
                </w:p>
              </w:tc>
              <w:tc>
                <w:tcPr>
                  <w:tcW w:w="990" w:type="dxa"/>
                  <w:noWrap w:val="0"/>
                  <w:vAlign w:val="center"/>
                </w:tcPr>
                <w:p>
                  <w:pPr>
                    <w:pStyle w:val="120"/>
                    <w:spacing w:line="240" w:lineRule="atLeast"/>
                    <w:rPr>
                      <w:rFonts w:hint="default" w:ascii="Times New Roman" w:hAnsi="Times New Roman" w:cs="Times New Roman"/>
                      <w:b/>
                      <w:bCs/>
                      <w:color w:val="auto"/>
                    </w:rPr>
                  </w:pPr>
                  <w:r>
                    <w:rPr>
                      <w:rFonts w:hint="default" w:ascii="Times New Roman" w:hAnsi="Times New Roman" w:cs="Times New Roman"/>
                      <w:b/>
                      <w:bCs/>
                      <w:color w:val="auto"/>
                    </w:rPr>
                    <w:t>功能</w:t>
                  </w:r>
                </w:p>
              </w:tc>
              <w:tc>
                <w:tcPr>
                  <w:tcW w:w="1065" w:type="dxa"/>
                  <w:noWrap w:val="0"/>
                  <w:vAlign w:val="center"/>
                </w:tcPr>
                <w:p>
                  <w:pPr>
                    <w:pStyle w:val="120"/>
                    <w:spacing w:line="240" w:lineRule="atLeast"/>
                    <w:rPr>
                      <w:rFonts w:hint="default" w:ascii="Times New Roman" w:hAnsi="Times New Roman" w:cs="Times New Roman"/>
                      <w:b/>
                      <w:bCs/>
                      <w:color w:val="auto"/>
                    </w:rPr>
                  </w:pPr>
                  <w:r>
                    <w:rPr>
                      <w:rFonts w:hint="default" w:ascii="Times New Roman" w:hAnsi="Times New Roman" w:cs="Times New Roman"/>
                      <w:b/>
                      <w:bCs/>
                      <w:color w:val="auto"/>
                    </w:rPr>
                    <w:t>相对方位</w:t>
                  </w:r>
                </w:p>
              </w:tc>
              <w:tc>
                <w:tcPr>
                  <w:tcW w:w="1050" w:type="dxa"/>
                  <w:noWrap w:val="0"/>
                  <w:vAlign w:val="center"/>
                </w:tcPr>
                <w:p>
                  <w:pPr>
                    <w:pStyle w:val="120"/>
                    <w:spacing w:line="240" w:lineRule="atLeast"/>
                    <w:rPr>
                      <w:rFonts w:hint="default" w:ascii="Times New Roman" w:hAnsi="Times New Roman" w:cs="Times New Roman"/>
                      <w:b/>
                      <w:bCs/>
                      <w:color w:val="auto"/>
                    </w:rPr>
                  </w:pPr>
                  <w:r>
                    <w:rPr>
                      <w:rFonts w:hint="default" w:ascii="Times New Roman" w:hAnsi="Times New Roman" w:cs="Times New Roman"/>
                      <w:b/>
                      <w:bCs/>
                      <w:color w:val="auto"/>
                    </w:rPr>
                    <w:t>距离(m)</w:t>
                  </w:r>
                </w:p>
              </w:tc>
              <w:tc>
                <w:tcPr>
                  <w:tcW w:w="1200" w:type="dxa"/>
                  <w:noWrap w:val="0"/>
                  <w:vAlign w:val="center"/>
                </w:tcPr>
                <w:p>
                  <w:pPr>
                    <w:pStyle w:val="120"/>
                    <w:spacing w:line="240" w:lineRule="atLeast"/>
                    <w:rPr>
                      <w:rFonts w:hint="default" w:ascii="Times New Roman" w:hAnsi="Times New Roman" w:cs="Times New Roman"/>
                      <w:b/>
                      <w:bCs/>
                      <w:color w:val="auto"/>
                    </w:rPr>
                  </w:pPr>
                  <w:r>
                    <w:rPr>
                      <w:rFonts w:hint="default" w:ascii="Times New Roman" w:hAnsi="Times New Roman" w:cs="Times New Roman"/>
                      <w:b/>
                      <w:bCs/>
                      <w:color w:val="auto"/>
                    </w:rPr>
                    <w:t>规模(人)</w:t>
                  </w:r>
                </w:p>
              </w:tc>
              <w:tc>
                <w:tcPr>
                  <w:tcW w:w="2870" w:type="dxa"/>
                  <w:noWrap w:val="0"/>
                  <w:vAlign w:val="center"/>
                </w:tcPr>
                <w:p>
                  <w:pPr>
                    <w:pStyle w:val="120"/>
                    <w:spacing w:line="240" w:lineRule="atLeast"/>
                    <w:rPr>
                      <w:rFonts w:hint="default" w:ascii="Times New Roman" w:hAnsi="Times New Roman" w:cs="Times New Roman"/>
                      <w:b/>
                      <w:bCs/>
                      <w:color w:val="auto"/>
                    </w:rPr>
                  </w:pPr>
                  <w:r>
                    <w:rPr>
                      <w:rFonts w:hint="default" w:ascii="Times New Roman" w:hAnsi="Times New Roman" w:cs="Times New Roman"/>
                      <w:b/>
                      <w:bCs/>
                      <w:color w:val="auto"/>
                    </w:rPr>
                    <w:t>保护目标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40" w:hRule="atLeast"/>
                <w:jc w:val="center"/>
              </w:trPr>
              <w:tc>
                <w:tcPr>
                  <w:tcW w:w="657" w:type="dxa"/>
                  <w:noWrap w:val="0"/>
                  <w:vAlign w:val="center"/>
                </w:tcPr>
                <w:p>
                  <w:pPr>
                    <w:pStyle w:val="120"/>
                    <w:spacing w:line="240" w:lineRule="atLeast"/>
                    <w:rPr>
                      <w:rFonts w:hint="default" w:ascii="Times New Roman" w:hAnsi="Times New Roman" w:cs="Times New Roman"/>
                      <w:color w:val="auto"/>
                    </w:rPr>
                  </w:pPr>
                  <w:r>
                    <w:rPr>
                      <w:rFonts w:hint="default" w:ascii="Times New Roman" w:hAnsi="Times New Roman" w:cs="Times New Roman"/>
                      <w:color w:val="auto"/>
                    </w:rPr>
                    <w:t>1</w:t>
                  </w:r>
                </w:p>
              </w:tc>
              <w:tc>
                <w:tcPr>
                  <w:tcW w:w="1638" w:type="dxa"/>
                  <w:noWrap w:val="0"/>
                  <w:vAlign w:val="center"/>
                </w:tcPr>
                <w:p>
                  <w:pPr>
                    <w:pStyle w:val="120"/>
                    <w:spacing w:line="240" w:lineRule="atLeast"/>
                    <w:rPr>
                      <w:rFonts w:hint="eastAsia" w:ascii="Times New Roman" w:hAnsi="Times New Roman" w:eastAsia="宋体" w:cs="Times New Roman"/>
                      <w:color w:val="auto"/>
                      <w:lang w:eastAsia="zh-CN"/>
                    </w:rPr>
                  </w:pPr>
                  <w:r>
                    <w:rPr>
                      <w:rFonts w:hint="eastAsia" w:cs="Times New Roman"/>
                      <w:color w:val="auto"/>
                      <w:lang w:eastAsia="zh-CN"/>
                    </w:rPr>
                    <w:t>锡场镇育苗幼儿园华清分教处</w:t>
                  </w:r>
                </w:p>
              </w:tc>
              <w:tc>
                <w:tcPr>
                  <w:tcW w:w="990" w:type="dxa"/>
                  <w:noWrap w:val="0"/>
                  <w:vAlign w:val="center"/>
                </w:tcPr>
                <w:p>
                  <w:pPr>
                    <w:pStyle w:val="120"/>
                    <w:spacing w:line="240" w:lineRule="atLeast"/>
                    <w:rPr>
                      <w:rFonts w:hint="eastAsia" w:ascii="Times New Roman" w:hAnsi="Times New Roman" w:eastAsia="宋体" w:cs="Times New Roman"/>
                      <w:color w:val="auto"/>
                      <w:lang w:eastAsia="zh-CN"/>
                    </w:rPr>
                  </w:pPr>
                  <w:r>
                    <w:rPr>
                      <w:rFonts w:hint="eastAsia" w:cs="Times New Roman"/>
                      <w:color w:val="auto"/>
                      <w:lang w:eastAsia="zh-CN"/>
                    </w:rPr>
                    <w:t>幼儿园</w:t>
                  </w:r>
                </w:p>
              </w:tc>
              <w:tc>
                <w:tcPr>
                  <w:tcW w:w="1065" w:type="dxa"/>
                  <w:noWrap w:val="0"/>
                  <w:vAlign w:val="center"/>
                </w:tcPr>
                <w:p>
                  <w:pPr>
                    <w:pStyle w:val="120"/>
                    <w:spacing w:line="240" w:lineRule="atLeast"/>
                    <w:rPr>
                      <w:rFonts w:hint="eastAsia" w:ascii="Times New Roman" w:hAnsi="Times New Roman" w:eastAsia="宋体" w:cs="Times New Roman"/>
                      <w:color w:val="auto"/>
                      <w:lang w:eastAsia="zh-CN"/>
                    </w:rPr>
                  </w:pPr>
                  <w:r>
                    <w:rPr>
                      <w:rFonts w:hint="eastAsia" w:cs="Times New Roman"/>
                      <w:color w:val="auto"/>
                      <w:lang w:eastAsia="zh-CN"/>
                    </w:rPr>
                    <w:t>东</w:t>
                  </w:r>
                </w:p>
              </w:tc>
              <w:tc>
                <w:tcPr>
                  <w:tcW w:w="1050" w:type="dxa"/>
                  <w:noWrap w:val="0"/>
                  <w:vAlign w:val="center"/>
                </w:tcPr>
                <w:p>
                  <w:pPr>
                    <w:pStyle w:val="120"/>
                    <w:spacing w:line="240" w:lineRule="atLeast"/>
                    <w:rPr>
                      <w:rFonts w:hint="default" w:ascii="Times New Roman" w:hAnsi="Times New Roman" w:eastAsia="宋体" w:cs="Times New Roman"/>
                      <w:color w:val="auto"/>
                      <w:lang w:val="en-US" w:eastAsia="zh-CN"/>
                    </w:rPr>
                  </w:pPr>
                  <w:r>
                    <w:rPr>
                      <w:rFonts w:hint="eastAsia" w:cs="Times New Roman"/>
                      <w:color w:val="auto"/>
                      <w:lang w:val="en-US" w:eastAsia="zh-CN"/>
                    </w:rPr>
                    <w:t>17</w:t>
                  </w:r>
                </w:p>
              </w:tc>
              <w:tc>
                <w:tcPr>
                  <w:tcW w:w="1200" w:type="dxa"/>
                  <w:noWrap w:val="0"/>
                  <w:vAlign w:val="center"/>
                </w:tcPr>
                <w:p>
                  <w:pPr>
                    <w:pStyle w:val="120"/>
                    <w:spacing w:line="240" w:lineRule="atLeast"/>
                    <w:rPr>
                      <w:rFonts w:hint="default" w:ascii="Times New Roman" w:hAnsi="Times New Roman" w:eastAsia="宋体" w:cs="Times New Roman"/>
                      <w:color w:val="auto"/>
                      <w:lang w:val="en-US" w:eastAsia="zh-CN"/>
                    </w:rPr>
                  </w:pPr>
                  <w:r>
                    <w:rPr>
                      <w:rFonts w:hint="eastAsia" w:cs="Times New Roman"/>
                      <w:color w:val="auto"/>
                      <w:lang w:val="en-US" w:eastAsia="zh-CN"/>
                    </w:rPr>
                    <w:t>200</w:t>
                  </w:r>
                </w:p>
              </w:tc>
              <w:tc>
                <w:tcPr>
                  <w:tcW w:w="2870" w:type="dxa"/>
                  <w:vMerge w:val="restart"/>
                  <w:noWrap w:val="0"/>
                  <w:vAlign w:val="center"/>
                </w:tcPr>
                <w:p>
                  <w:pPr>
                    <w:pStyle w:val="120"/>
                    <w:spacing w:line="240" w:lineRule="atLeast"/>
                    <w:rPr>
                      <w:rFonts w:hint="default" w:ascii="Times New Roman" w:hAnsi="Times New Roman"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《环境空气质量标准》（GB3095-2012）二级标准</w:t>
                  </w:r>
                  <w:r>
                    <w:rPr>
                      <w:rFonts w:hint="default" w:ascii="Times New Roman" w:hAnsi="Times New Roman" w:cs="Times New Roman"/>
                      <w:color w:val="000000" w:themeColor="text1"/>
                      <w:lang w:eastAsia="zh-CN"/>
                      <w14:textFill>
                        <w14:solidFill>
                          <w14:schemeClr w14:val="tx1"/>
                        </w14:solidFill>
                      </w14:textFill>
                    </w:rPr>
                    <w:t>及</w:t>
                  </w:r>
                  <w:r>
                    <w:rPr>
                      <w:rFonts w:hint="default" w:ascii="Times New Roman" w:hAnsi="Times New Roman" w:cs="Times New Roman"/>
                      <w:color w:val="000000" w:themeColor="text1"/>
                      <w:lang w:val="en-US" w:eastAsia="zh-CN"/>
                      <w14:textFill>
                        <w14:solidFill>
                          <w14:schemeClr w14:val="tx1"/>
                        </w14:solidFill>
                      </w14:textFill>
                    </w:rPr>
                    <w:t>2018年</w:t>
                  </w:r>
                  <w:r>
                    <w:rPr>
                      <w:rFonts w:hint="default" w:ascii="Times New Roman" w:hAnsi="Times New Roman" w:cs="Times New Roman"/>
                      <w:color w:val="000000" w:themeColor="text1"/>
                      <w:lang w:eastAsia="zh-CN"/>
                      <w14:textFill>
                        <w14:solidFill>
                          <w14:schemeClr w14:val="tx1"/>
                        </w14:solidFill>
                      </w14:textFill>
                    </w:rPr>
                    <w:t>修改单，</w:t>
                  </w:r>
                </w:p>
                <w:p>
                  <w:pPr>
                    <w:pStyle w:val="120"/>
                    <w:spacing w:line="240" w:lineRule="atLeast"/>
                    <w:rPr>
                      <w:rFonts w:hint="default" w:ascii="Times New Roman" w:hAnsi="Times New Roman" w:eastAsia="宋体" w:cs="Times New Roman"/>
                      <w:color w:val="auto"/>
                      <w:lang w:eastAsia="zh-CN"/>
                    </w:rPr>
                  </w:pPr>
                  <w:r>
                    <w:rPr>
                      <w:rFonts w:hint="default" w:ascii="Times New Roman" w:hAnsi="Times New Roman" w:cs="Times New Roman"/>
                      <w:color w:val="000000" w:themeColor="text1"/>
                      <w:lang w:eastAsia="zh-CN"/>
                      <w14:textFill>
                        <w14:solidFill>
                          <w14:schemeClr w14:val="tx1"/>
                        </w14:solidFill>
                      </w14:textFill>
                    </w:rPr>
                    <w:t>《声环境质量标准》</w:t>
                  </w:r>
                  <w:r>
                    <w:rPr>
                      <w:rFonts w:hint="default" w:ascii="Times New Roman" w:hAnsi="Times New Roman" w:cs="Times New Roman"/>
                      <w:color w:val="000000" w:themeColor="text1"/>
                      <w:szCs w:val="21"/>
                      <w14:textFill>
                        <w14:solidFill>
                          <w14:schemeClr w14:val="tx1"/>
                        </w14:solidFill>
                      </w14:textFill>
                    </w:rPr>
                    <w:t>（GB3096-2008）2类标准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40" w:hRule="atLeast"/>
                <w:jc w:val="center"/>
              </w:trPr>
              <w:tc>
                <w:tcPr>
                  <w:tcW w:w="657" w:type="dxa"/>
                  <w:noWrap w:val="0"/>
                  <w:vAlign w:val="center"/>
                </w:tcPr>
                <w:p>
                  <w:pPr>
                    <w:pStyle w:val="120"/>
                    <w:spacing w:line="240" w:lineRule="atLeast"/>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2</w:t>
                  </w:r>
                </w:p>
              </w:tc>
              <w:tc>
                <w:tcPr>
                  <w:tcW w:w="1638" w:type="dxa"/>
                  <w:noWrap w:val="0"/>
                  <w:vAlign w:val="center"/>
                </w:tcPr>
                <w:p>
                  <w:pPr>
                    <w:pStyle w:val="120"/>
                    <w:spacing w:line="240" w:lineRule="atLeast"/>
                    <w:rPr>
                      <w:rFonts w:hint="default" w:ascii="Times New Roman" w:hAnsi="Times New Roman" w:eastAsia="宋体" w:cs="Times New Roman"/>
                      <w:color w:val="auto"/>
                      <w:lang w:eastAsia="zh-CN"/>
                    </w:rPr>
                  </w:pPr>
                  <w:r>
                    <w:rPr>
                      <w:rFonts w:hint="eastAsia" w:cs="Times New Roman"/>
                      <w:color w:val="auto"/>
                      <w:lang w:eastAsia="zh-CN"/>
                    </w:rPr>
                    <w:t>揭东区锡场镇华清小学</w:t>
                  </w:r>
                </w:p>
              </w:tc>
              <w:tc>
                <w:tcPr>
                  <w:tcW w:w="990" w:type="dxa"/>
                  <w:noWrap w:val="0"/>
                  <w:vAlign w:val="center"/>
                </w:tcPr>
                <w:p>
                  <w:pPr>
                    <w:pStyle w:val="120"/>
                    <w:spacing w:line="240" w:lineRule="atLeast"/>
                    <w:rPr>
                      <w:rFonts w:hint="default" w:ascii="Times New Roman" w:hAnsi="Times New Roman" w:eastAsia="宋体" w:cs="Times New Roman"/>
                      <w:color w:val="auto"/>
                      <w:lang w:eastAsia="zh-CN"/>
                    </w:rPr>
                  </w:pPr>
                  <w:r>
                    <w:rPr>
                      <w:rFonts w:hint="eastAsia" w:cs="Times New Roman"/>
                      <w:color w:val="auto"/>
                      <w:lang w:eastAsia="zh-CN"/>
                    </w:rPr>
                    <w:t>学校</w:t>
                  </w:r>
                </w:p>
              </w:tc>
              <w:tc>
                <w:tcPr>
                  <w:tcW w:w="1065" w:type="dxa"/>
                  <w:noWrap w:val="0"/>
                  <w:vAlign w:val="center"/>
                </w:tcPr>
                <w:p>
                  <w:pPr>
                    <w:pStyle w:val="120"/>
                    <w:spacing w:line="240" w:lineRule="atLeast"/>
                    <w:rPr>
                      <w:rFonts w:hint="default" w:ascii="Times New Roman" w:hAnsi="Times New Roman" w:eastAsia="宋体" w:cs="Times New Roman"/>
                      <w:color w:val="auto"/>
                      <w:lang w:val="en-US" w:eastAsia="zh-CN"/>
                    </w:rPr>
                  </w:pPr>
                  <w:r>
                    <w:rPr>
                      <w:rFonts w:hint="eastAsia" w:cs="Times New Roman"/>
                      <w:color w:val="auto"/>
                      <w:lang w:val="en-US" w:eastAsia="zh-CN"/>
                    </w:rPr>
                    <w:t>北</w:t>
                  </w:r>
                </w:p>
              </w:tc>
              <w:tc>
                <w:tcPr>
                  <w:tcW w:w="1050" w:type="dxa"/>
                  <w:noWrap w:val="0"/>
                  <w:vAlign w:val="center"/>
                </w:tcPr>
                <w:p>
                  <w:pPr>
                    <w:pStyle w:val="120"/>
                    <w:spacing w:line="240" w:lineRule="atLeast"/>
                    <w:rPr>
                      <w:rFonts w:hint="default" w:ascii="Times New Roman" w:hAnsi="Times New Roman" w:eastAsia="宋体" w:cs="Times New Roman"/>
                      <w:color w:val="auto"/>
                      <w:lang w:val="en-US" w:eastAsia="zh-CN"/>
                    </w:rPr>
                  </w:pPr>
                  <w:r>
                    <w:rPr>
                      <w:rFonts w:hint="eastAsia" w:cs="Times New Roman"/>
                      <w:color w:val="auto"/>
                      <w:lang w:val="en-US" w:eastAsia="zh-CN"/>
                    </w:rPr>
                    <w:t>697</w:t>
                  </w:r>
                </w:p>
              </w:tc>
              <w:tc>
                <w:tcPr>
                  <w:tcW w:w="1200" w:type="dxa"/>
                  <w:noWrap w:val="0"/>
                  <w:vAlign w:val="center"/>
                </w:tcPr>
                <w:p>
                  <w:pPr>
                    <w:pStyle w:val="120"/>
                    <w:spacing w:line="240" w:lineRule="atLeast"/>
                    <w:rPr>
                      <w:rFonts w:hint="default" w:ascii="Times New Roman" w:hAnsi="Times New Roman" w:eastAsia="宋体" w:cs="Times New Roman"/>
                      <w:color w:val="auto"/>
                      <w:lang w:val="en-US" w:eastAsia="zh-CN"/>
                    </w:rPr>
                  </w:pPr>
                  <w:r>
                    <w:rPr>
                      <w:rFonts w:hint="eastAsia" w:cs="Times New Roman"/>
                      <w:color w:val="auto"/>
                      <w:lang w:val="en-US" w:eastAsia="zh-CN"/>
                    </w:rPr>
                    <w:t>2000</w:t>
                  </w:r>
                </w:p>
              </w:tc>
              <w:tc>
                <w:tcPr>
                  <w:tcW w:w="2870" w:type="dxa"/>
                  <w:vMerge w:val="continue"/>
                  <w:noWrap w:val="0"/>
                  <w:vAlign w:val="center"/>
                </w:tcPr>
                <w:p>
                  <w:pPr>
                    <w:pStyle w:val="120"/>
                    <w:spacing w:line="240" w:lineRule="atLeast"/>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40" w:hRule="atLeast"/>
                <w:jc w:val="center"/>
              </w:trPr>
              <w:tc>
                <w:tcPr>
                  <w:tcW w:w="657" w:type="dxa"/>
                  <w:noWrap w:val="0"/>
                  <w:vAlign w:val="center"/>
                </w:tcPr>
                <w:p>
                  <w:pPr>
                    <w:pStyle w:val="120"/>
                    <w:spacing w:line="240" w:lineRule="atLeast"/>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3</w:t>
                  </w:r>
                </w:p>
              </w:tc>
              <w:tc>
                <w:tcPr>
                  <w:tcW w:w="1638" w:type="dxa"/>
                  <w:noWrap w:val="0"/>
                  <w:vAlign w:val="center"/>
                </w:tcPr>
                <w:p>
                  <w:pPr>
                    <w:pStyle w:val="120"/>
                    <w:spacing w:line="240" w:lineRule="atLeast"/>
                    <w:rPr>
                      <w:rFonts w:hint="eastAsia" w:ascii="Times New Roman" w:hAnsi="Times New Roman" w:eastAsia="宋体" w:cs="Times New Roman"/>
                      <w:color w:val="auto"/>
                      <w:lang w:eastAsia="zh-CN"/>
                    </w:rPr>
                  </w:pPr>
                  <w:r>
                    <w:rPr>
                      <w:rFonts w:hint="eastAsia" w:cs="Times New Roman"/>
                      <w:color w:val="auto"/>
                      <w:lang w:eastAsia="zh-CN"/>
                    </w:rPr>
                    <w:t>华清中学</w:t>
                  </w:r>
                </w:p>
              </w:tc>
              <w:tc>
                <w:tcPr>
                  <w:tcW w:w="990" w:type="dxa"/>
                  <w:noWrap w:val="0"/>
                  <w:vAlign w:val="center"/>
                </w:tcPr>
                <w:p>
                  <w:pPr>
                    <w:pStyle w:val="120"/>
                    <w:spacing w:line="240" w:lineRule="atLeast"/>
                    <w:rPr>
                      <w:rFonts w:hint="eastAsia" w:ascii="Times New Roman" w:hAnsi="Times New Roman" w:eastAsia="宋体" w:cs="Times New Roman"/>
                      <w:color w:val="auto"/>
                      <w:lang w:eastAsia="zh-CN"/>
                    </w:rPr>
                  </w:pPr>
                  <w:r>
                    <w:rPr>
                      <w:rFonts w:hint="eastAsia" w:cs="Times New Roman"/>
                      <w:color w:val="auto"/>
                      <w:lang w:eastAsia="zh-CN"/>
                    </w:rPr>
                    <w:t>学校</w:t>
                  </w:r>
                </w:p>
              </w:tc>
              <w:tc>
                <w:tcPr>
                  <w:tcW w:w="1065" w:type="dxa"/>
                  <w:noWrap w:val="0"/>
                  <w:vAlign w:val="center"/>
                </w:tcPr>
                <w:p>
                  <w:pPr>
                    <w:pStyle w:val="120"/>
                    <w:spacing w:line="240" w:lineRule="atLeast"/>
                    <w:rPr>
                      <w:rFonts w:hint="eastAsia" w:ascii="Times New Roman" w:hAnsi="Times New Roman" w:eastAsia="宋体" w:cs="Times New Roman"/>
                      <w:color w:val="auto"/>
                      <w:lang w:eastAsia="zh-CN"/>
                    </w:rPr>
                  </w:pPr>
                  <w:r>
                    <w:rPr>
                      <w:rFonts w:hint="eastAsia" w:cs="Times New Roman"/>
                      <w:color w:val="auto"/>
                      <w:lang w:eastAsia="zh-CN"/>
                    </w:rPr>
                    <w:t>北</w:t>
                  </w:r>
                </w:p>
              </w:tc>
              <w:tc>
                <w:tcPr>
                  <w:tcW w:w="1050" w:type="dxa"/>
                  <w:noWrap w:val="0"/>
                  <w:vAlign w:val="center"/>
                </w:tcPr>
                <w:p>
                  <w:pPr>
                    <w:pStyle w:val="120"/>
                    <w:spacing w:line="240" w:lineRule="atLeast"/>
                    <w:rPr>
                      <w:rFonts w:hint="default" w:ascii="Times New Roman" w:hAnsi="Times New Roman" w:eastAsia="宋体" w:cs="Times New Roman"/>
                      <w:color w:val="auto"/>
                      <w:lang w:val="en-US" w:eastAsia="zh-CN"/>
                    </w:rPr>
                  </w:pPr>
                  <w:r>
                    <w:rPr>
                      <w:rFonts w:hint="eastAsia" w:cs="Times New Roman"/>
                      <w:color w:val="auto"/>
                      <w:lang w:val="en-US" w:eastAsia="zh-CN"/>
                    </w:rPr>
                    <w:t>923</w:t>
                  </w:r>
                </w:p>
              </w:tc>
              <w:tc>
                <w:tcPr>
                  <w:tcW w:w="1200" w:type="dxa"/>
                  <w:noWrap w:val="0"/>
                  <w:vAlign w:val="center"/>
                </w:tcPr>
                <w:p>
                  <w:pPr>
                    <w:pStyle w:val="120"/>
                    <w:spacing w:line="240" w:lineRule="atLeast"/>
                    <w:rPr>
                      <w:rFonts w:hint="default" w:ascii="Times New Roman" w:hAnsi="Times New Roman" w:eastAsia="宋体" w:cs="Times New Roman"/>
                      <w:color w:val="auto"/>
                      <w:lang w:val="en-US" w:eastAsia="zh-CN"/>
                    </w:rPr>
                  </w:pPr>
                  <w:r>
                    <w:rPr>
                      <w:rFonts w:hint="eastAsia" w:cs="Times New Roman"/>
                      <w:color w:val="auto"/>
                      <w:lang w:val="en-US" w:eastAsia="zh-CN"/>
                    </w:rPr>
                    <w:t>2500</w:t>
                  </w:r>
                </w:p>
              </w:tc>
              <w:tc>
                <w:tcPr>
                  <w:tcW w:w="2870" w:type="dxa"/>
                  <w:vMerge w:val="continue"/>
                  <w:noWrap w:val="0"/>
                  <w:vAlign w:val="center"/>
                </w:tcPr>
                <w:p>
                  <w:pPr>
                    <w:pStyle w:val="120"/>
                    <w:spacing w:line="240" w:lineRule="atLeast"/>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40" w:hRule="atLeast"/>
                <w:jc w:val="center"/>
              </w:trPr>
              <w:tc>
                <w:tcPr>
                  <w:tcW w:w="657" w:type="dxa"/>
                  <w:noWrap w:val="0"/>
                  <w:vAlign w:val="center"/>
                </w:tcPr>
                <w:p>
                  <w:pPr>
                    <w:pStyle w:val="120"/>
                    <w:spacing w:line="240" w:lineRule="atLeast"/>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4</w:t>
                  </w:r>
                </w:p>
              </w:tc>
              <w:tc>
                <w:tcPr>
                  <w:tcW w:w="1638" w:type="dxa"/>
                  <w:noWrap w:val="0"/>
                  <w:vAlign w:val="center"/>
                </w:tcPr>
                <w:p>
                  <w:pPr>
                    <w:pStyle w:val="120"/>
                    <w:spacing w:line="240" w:lineRule="atLeast"/>
                    <w:rPr>
                      <w:rFonts w:hint="eastAsia" w:ascii="Times New Roman" w:hAnsi="Times New Roman" w:eastAsia="宋体" w:cs="Times New Roman"/>
                      <w:color w:val="auto"/>
                      <w:lang w:eastAsia="zh-CN"/>
                    </w:rPr>
                  </w:pPr>
                  <w:r>
                    <w:rPr>
                      <w:rFonts w:hint="eastAsia" w:cs="Times New Roman"/>
                      <w:color w:val="auto"/>
                      <w:lang w:eastAsia="zh-CN"/>
                    </w:rPr>
                    <w:t>揭阳市揭东区锡场镇军埔电子商务村</w:t>
                  </w:r>
                </w:p>
              </w:tc>
              <w:tc>
                <w:tcPr>
                  <w:tcW w:w="990" w:type="dxa"/>
                  <w:noWrap w:val="0"/>
                  <w:vAlign w:val="center"/>
                </w:tcPr>
                <w:p>
                  <w:pPr>
                    <w:pStyle w:val="120"/>
                    <w:spacing w:line="240" w:lineRule="atLeast"/>
                    <w:rPr>
                      <w:rFonts w:hint="default" w:ascii="Times New Roman" w:hAnsi="Times New Roman" w:cs="Times New Roman"/>
                      <w:color w:val="auto"/>
                    </w:rPr>
                  </w:pPr>
                  <w:r>
                    <w:rPr>
                      <w:rFonts w:hint="eastAsia" w:cs="Times New Roman"/>
                      <w:color w:val="auto"/>
                      <w:lang w:eastAsia="zh-CN"/>
                    </w:rPr>
                    <w:t>商业</w:t>
                  </w:r>
                  <w:r>
                    <w:rPr>
                      <w:rFonts w:hint="default" w:ascii="Times New Roman" w:hAnsi="Times New Roman" w:cs="Times New Roman"/>
                      <w:color w:val="auto"/>
                    </w:rPr>
                    <w:t>区</w:t>
                  </w:r>
                </w:p>
              </w:tc>
              <w:tc>
                <w:tcPr>
                  <w:tcW w:w="1065" w:type="dxa"/>
                  <w:noWrap w:val="0"/>
                  <w:vAlign w:val="center"/>
                </w:tcPr>
                <w:p>
                  <w:pPr>
                    <w:pStyle w:val="120"/>
                    <w:spacing w:line="240" w:lineRule="atLeast"/>
                    <w:rPr>
                      <w:rFonts w:hint="eastAsia" w:ascii="Times New Roman" w:hAnsi="Times New Roman" w:eastAsia="宋体" w:cs="Times New Roman"/>
                      <w:color w:val="auto"/>
                      <w:lang w:eastAsia="zh-CN"/>
                    </w:rPr>
                  </w:pPr>
                  <w:r>
                    <w:rPr>
                      <w:rFonts w:hint="eastAsia" w:cs="Times New Roman"/>
                      <w:color w:val="auto"/>
                      <w:lang w:eastAsia="zh-CN"/>
                    </w:rPr>
                    <w:t>西</w:t>
                  </w:r>
                </w:p>
              </w:tc>
              <w:tc>
                <w:tcPr>
                  <w:tcW w:w="1050" w:type="dxa"/>
                  <w:noWrap w:val="0"/>
                  <w:vAlign w:val="center"/>
                </w:tcPr>
                <w:p>
                  <w:pPr>
                    <w:pStyle w:val="120"/>
                    <w:spacing w:line="240" w:lineRule="atLeast"/>
                    <w:rPr>
                      <w:rFonts w:hint="default" w:ascii="Times New Roman" w:hAnsi="Times New Roman" w:cs="Times New Roman"/>
                      <w:color w:val="auto"/>
                      <w:lang w:val="en-US"/>
                    </w:rPr>
                  </w:pPr>
                  <w:r>
                    <w:rPr>
                      <w:rFonts w:hint="eastAsia" w:cs="Times New Roman"/>
                      <w:color w:val="auto"/>
                      <w:lang w:val="en-US" w:eastAsia="zh-CN"/>
                    </w:rPr>
                    <w:t>963</w:t>
                  </w:r>
                </w:p>
              </w:tc>
              <w:tc>
                <w:tcPr>
                  <w:tcW w:w="1200" w:type="dxa"/>
                  <w:noWrap w:val="0"/>
                  <w:vAlign w:val="center"/>
                </w:tcPr>
                <w:p>
                  <w:pPr>
                    <w:pStyle w:val="120"/>
                    <w:spacing w:line="240" w:lineRule="atLeast"/>
                    <w:rPr>
                      <w:rFonts w:hint="default" w:ascii="Times New Roman" w:hAnsi="Times New Roman" w:eastAsia="宋体" w:cs="Times New Roman"/>
                      <w:color w:val="auto"/>
                      <w:lang w:val="en-US" w:eastAsia="zh-CN"/>
                    </w:rPr>
                  </w:pPr>
                  <w:r>
                    <w:rPr>
                      <w:rFonts w:hint="eastAsia" w:cs="Times New Roman"/>
                      <w:color w:val="auto"/>
                      <w:lang w:val="en-US" w:eastAsia="zh-CN"/>
                    </w:rPr>
                    <w:t>3000</w:t>
                  </w:r>
                </w:p>
              </w:tc>
              <w:tc>
                <w:tcPr>
                  <w:tcW w:w="2870" w:type="dxa"/>
                  <w:vMerge w:val="continue"/>
                  <w:noWrap w:val="0"/>
                  <w:vAlign w:val="center"/>
                </w:tcPr>
                <w:p>
                  <w:pPr>
                    <w:pStyle w:val="120"/>
                    <w:spacing w:line="240" w:lineRule="atLeast"/>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40" w:hRule="atLeast"/>
                <w:jc w:val="center"/>
              </w:trPr>
              <w:tc>
                <w:tcPr>
                  <w:tcW w:w="657" w:type="dxa"/>
                  <w:noWrap w:val="0"/>
                  <w:vAlign w:val="center"/>
                </w:tcPr>
                <w:p>
                  <w:pPr>
                    <w:pStyle w:val="120"/>
                    <w:spacing w:line="240" w:lineRule="atLeast"/>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5</w:t>
                  </w:r>
                </w:p>
              </w:tc>
              <w:tc>
                <w:tcPr>
                  <w:tcW w:w="1638" w:type="dxa"/>
                  <w:noWrap w:val="0"/>
                  <w:vAlign w:val="center"/>
                </w:tcPr>
                <w:p>
                  <w:pPr>
                    <w:pStyle w:val="120"/>
                    <w:spacing w:line="240" w:lineRule="atLeast"/>
                    <w:rPr>
                      <w:rFonts w:hint="eastAsia" w:ascii="Times New Roman" w:hAnsi="Times New Roman" w:eastAsia="宋体" w:cs="Times New Roman"/>
                      <w:color w:val="auto"/>
                      <w:lang w:eastAsia="zh-CN"/>
                    </w:rPr>
                  </w:pPr>
                  <w:r>
                    <w:rPr>
                      <w:rFonts w:hint="eastAsia" w:cs="Times New Roman"/>
                      <w:color w:val="auto"/>
                      <w:lang w:eastAsia="zh-CN"/>
                    </w:rPr>
                    <w:t>广东省揭阳市技术学校蓝田分教处</w:t>
                  </w:r>
                </w:p>
              </w:tc>
              <w:tc>
                <w:tcPr>
                  <w:tcW w:w="990" w:type="dxa"/>
                  <w:noWrap w:val="0"/>
                  <w:vAlign w:val="center"/>
                </w:tcPr>
                <w:p>
                  <w:pPr>
                    <w:pStyle w:val="120"/>
                    <w:spacing w:line="240" w:lineRule="atLeast"/>
                    <w:rPr>
                      <w:rFonts w:hint="eastAsia" w:ascii="Times New Roman" w:hAnsi="Times New Roman" w:eastAsia="宋体" w:cs="Times New Roman"/>
                      <w:color w:val="auto"/>
                      <w:lang w:eastAsia="zh-CN"/>
                    </w:rPr>
                  </w:pPr>
                  <w:r>
                    <w:rPr>
                      <w:rFonts w:hint="eastAsia" w:cs="Times New Roman"/>
                      <w:color w:val="auto"/>
                      <w:lang w:eastAsia="zh-CN"/>
                    </w:rPr>
                    <w:t>学校</w:t>
                  </w:r>
                </w:p>
              </w:tc>
              <w:tc>
                <w:tcPr>
                  <w:tcW w:w="1065" w:type="dxa"/>
                  <w:noWrap w:val="0"/>
                  <w:vAlign w:val="center"/>
                </w:tcPr>
                <w:p>
                  <w:pPr>
                    <w:pStyle w:val="120"/>
                    <w:spacing w:line="240" w:lineRule="atLeast"/>
                    <w:rPr>
                      <w:rFonts w:hint="eastAsia" w:ascii="Times New Roman" w:hAnsi="Times New Roman" w:eastAsia="宋体" w:cs="Times New Roman"/>
                      <w:color w:val="auto"/>
                      <w:lang w:eastAsia="zh-CN"/>
                    </w:rPr>
                  </w:pPr>
                  <w:r>
                    <w:rPr>
                      <w:rFonts w:hint="eastAsia" w:cs="Times New Roman"/>
                      <w:color w:val="auto"/>
                      <w:lang w:eastAsia="zh-CN"/>
                    </w:rPr>
                    <w:t>西</w:t>
                  </w:r>
                </w:p>
              </w:tc>
              <w:tc>
                <w:tcPr>
                  <w:tcW w:w="1050" w:type="dxa"/>
                  <w:noWrap w:val="0"/>
                  <w:vAlign w:val="center"/>
                </w:tcPr>
                <w:p>
                  <w:pPr>
                    <w:pStyle w:val="120"/>
                    <w:spacing w:line="240" w:lineRule="atLeast"/>
                    <w:rPr>
                      <w:rFonts w:hint="default" w:ascii="Times New Roman" w:hAnsi="Times New Roman" w:eastAsia="宋体" w:cs="Times New Roman"/>
                      <w:color w:val="auto"/>
                      <w:lang w:val="en-US" w:eastAsia="zh-CN"/>
                    </w:rPr>
                  </w:pPr>
                  <w:r>
                    <w:rPr>
                      <w:rFonts w:hint="eastAsia" w:cs="Times New Roman"/>
                      <w:color w:val="auto"/>
                      <w:lang w:val="en-US" w:eastAsia="zh-CN"/>
                    </w:rPr>
                    <w:t>1200</w:t>
                  </w:r>
                </w:p>
              </w:tc>
              <w:tc>
                <w:tcPr>
                  <w:tcW w:w="1200" w:type="dxa"/>
                  <w:noWrap w:val="0"/>
                  <w:vAlign w:val="center"/>
                </w:tcPr>
                <w:p>
                  <w:pPr>
                    <w:pStyle w:val="120"/>
                    <w:spacing w:line="240" w:lineRule="atLeast"/>
                    <w:rPr>
                      <w:rFonts w:hint="default" w:ascii="Times New Roman" w:hAnsi="Times New Roman" w:eastAsia="宋体" w:cs="Times New Roman"/>
                      <w:color w:val="auto"/>
                      <w:lang w:val="en-US" w:eastAsia="zh-CN"/>
                    </w:rPr>
                  </w:pPr>
                  <w:r>
                    <w:rPr>
                      <w:rFonts w:hint="eastAsia" w:cs="Times New Roman"/>
                      <w:color w:val="auto"/>
                      <w:lang w:val="en-US" w:eastAsia="zh-CN"/>
                    </w:rPr>
                    <w:t>2000</w:t>
                  </w:r>
                </w:p>
              </w:tc>
              <w:tc>
                <w:tcPr>
                  <w:tcW w:w="2870" w:type="dxa"/>
                  <w:vMerge w:val="continue"/>
                  <w:noWrap w:val="0"/>
                  <w:vAlign w:val="center"/>
                </w:tcPr>
                <w:p>
                  <w:pPr>
                    <w:pStyle w:val="120"/>
                    <w:spacing w:line="240" w:lineRule="atLeast"/>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40" w:hRule="atLeast"/>
                <w:jc w:val="center"/>
              </w:trPr>
              <w:tc>
                <w:tcPr>
                  <w:tcW w:w="657" w:type="dxa"/>
                  <w:noWrap w:val="0"/>
                  <w:vAlign w:val="center"/>
                </w:tcPr>
                <w:p>
                  <w:pPr>
                    <w:pStyle w:val="120"/>
                    <w:spacing w:line="240" w:lineRule="atLeast"/>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8</w:t>
                  </w:r>
                </w:p>
              </w:tc>
              <w:tc>
                <w:tcPr>
                  <w:tcW w:w="1638" w:type="dxa"/>
                  <w:noWrap w:val="0"/>
                  <w:vAlign w:val="center"/>
                </w:tcPr>
                <w:p>
                  <w:pPr>
                    <w:pStyle w:val="120"/>
                    <w:spacing w:line="240" w:lineRule="atLeast"/>
                    <w:rPr>
                      <w:rFonts w:hint="default" w:ascii="Times New Roman" w:hAnsi="Times New Roman" w:eastAsia="宋体" w:cs="Times New Roman"/>
                      <w:color w:val="auto"/>
                      <w:lang w:eastAsia="zh-CN"/>
                    </w:rPr>
                  </w:pPr>
                  <w:r>
                    <w:rPr>
                      <w:rFonts w:hint="eastAsia" w:cs="Times New Roman"/>
                      <w:color w:val="000000" w:themeColor="text1"/>
                      <w:lang w:eastAsia="zh-CN"/>
                      <w14:textFill>
                        <w14:solidFill>
                          <w14:schemeClr w14:val="tx1"/>
                        </w14:solidFill>
                      </w14:textFill>
                    </w:rPr>
                    <w:t>榕江北河</w:t>
                  </w:r>
                </w:p>
              </w:tc>
              <w:tc>
                <w:tcPr>
                  <w:tcW w:w="990" w:type="dxa"/>
                  <w:noWrap w:val="0"/>
                  <w:vAlign w:val="center"/>
                </w:tcPr>
                <w:p>
                  <w:pPr>
                    <w:pStyle w:val="120"/>
                    <w:spacing w:line="240" w:lineRule="atLeast"/>
                    <w:rPr>
                      <w:rFonts w:hint="default" w:ascii="Times New Roman" w:hAnsi="Times New Roman" w:cs="Times New Roman"/>
                      <w:color w:val="auto"/>
                    </w:rPr>
                  </w:pPr>
                  <w:r>
                    <w:rPr>
                      <w:rFonts w:hint="default" w:ascii="Times New Roman" w:hAnsi="Times New Roman" w:cs="Times New Roman"/>
                      <w:color w:val="auto"/>
                    </w:rPr>
                    <w:t>地表水</w:t>
                  </w:r>
                </w:p>
              </w:tc>
              <w:tc>
                <w:tcPr>
                  <w:tcW w:w="1065" w:type="dxa"/>
                  <w:noWrap w:val="0"/>
                  <w:vAlign w:val="center"/>
                </w:tcPr>
                <w:p>
                  <w:pPr>
                    <w:pStyle w:val="120"/>
                    <w:spacing w:line="240" w:lineRule="atLeast"/>
                    <w:rPr>
                      <w:rFonts w:hint="eastAsia" w:ascii="Times New Roman" w:hAnsi="Times New Roman" w:eastAsia="宋体" w:cs="Times New Roman"/>
                      <w:color w:val="auto"/>
                      <w:lang w:eastAsia="zh-CN"/>
                    </w:rPr>
                  </w:pPr>
                  <w:r>
                    <w:rPr>
                      <w:rFonts w:hint="eastAsia" w:cs="Times New Roman"/>
                      <w:color w:val="auto"/>
                      <w:lang w:eastAsia="zh-CN"/>
                    </w:rPr>
                    <w:t>南</w:t>
                  </w:r>
                </w:p>
              </w:tc>
              <w:tc>
                <w:tcPr>
                  <w:tcW w:w="1050" w:type="dxa"/>
                  <w:noWrap w:val="0"/>
                  <w:vAlign w:val="center"/>
                </w:tcPr>
                <w:p>
                  <w:pPr>
                    <w:pStyle w:val="120"/>
                    <w:spacing w:line="240" w:lineRule="atLeast"/>
                    <w:rPr>
                      <w:rFonts w:hint="default" w:ascii="Times New Roman" w:hAnsi="Times New Roman" w:eastAsia="宋体" w:cs="Times New Roman"/>
                      <w:color w:val="auto"/>
                      <w:lang w:val="en-US" w:eastAsia="zh-CN"/>
                    </w:rPr>
                  </w:pPr>
                  <w:r>
                    <w:rPr>
                      <w:rFonts w:hint="eastAsia" w:cs="Times New Roman"/>
                      <w:color w:val="auto"/>
                      <w:lang w:val="en-US" w:eastAsia="zh-CN"/>
                    </w:rPr>
                    <w:t>3000</w:t>
                  </w:r>
                </w:p>
              </w:tc>
              <w:tc>
                <w:tcPr>
                  <w:tcW w:w="1200" w:type="dxa"/>
                  <w:noWrap w:val="0"/>
                  <w:vAlign w:val="center"/>
                </w:tcPr>
                <w:p>
                  <w:pPr>
                    <w:pStyle w:val="120"/>
                    <w:spacing w:line="240" w:lineRule="atLeast"/>
                    <w:rPr>
                      <w:rFonts w:hint="default" w:ascii="Times New Roman" w:hAnsi="Times New Roman" w:cs="Times New Roman"/>
                      <w:color w:val="auto"/>
                    </w:rPr>
                  </w:pPr>
                  <w:r>
                    <w:rPr>
                      <w:rFonts w:hint="default" w:ascii="Times New Roman" w:hAnsi="Times New Roman" w:cs="Times New Roman"/>
                      <w:color w:val="auto"/>
                    </w:rPr>
                    <w:t>/</w:t>
                  </w:r>
                </w:p>
              </w:tc>
              <w:tc>
                <w:tcPr>
                  <w:tcW w:w="2870" w:type="dxa"/>
                  <w:noWrap w:val="0"/>
                  <w:vAlign w:val="center"/>
                </w:tcPr>
                <w:p>
                  <w:pPr>
                    <w:pStyle w:val="120"/>
                    <w:spacing w:line="240" w:lineRule="atLeast"/>
                    <w:rPr>
                      <w:rFonts w:hint="default" w:ascii="Times New Roman" w:hAnsi="Times New Roman" w:cs="Times New Roman"/>
                      <w:color w:val="auto"/>
                    </w:rPr>
                  </w:pPr>
                  <w:r>
                    <w:rPr>
                      <w:rFonts w:hint="default" w:ascii="Times New Roman" w:hAnsi="Times New Roman" w:cs="Times New Roman"/>
                      <w:color w:val="auto"/>
                    </w:rPr>
                    <w:t>《地表水环境质量标准》（GB3838-2002）</w:t>
                  </w:r>
                  <w:r>
                    <w:rPr>
                      <w:rFonts w:hint="eastAsia" w:cs="Times New Roman"/>
                      <w:color w:val="auto"/>
                      <w:lang w:val="en-US" w:eastAsia="zh-CN"/>
                    </w:rPr>
                    <w:t>II</w:t>
                  </w:r>
                  <w:r>
                    <w:rPr>
                      <w:rFonts w:hint="default" w:ascii="Times New Roman" w:hAnsi="Times New Roman" w:cs="Times New Roman"/>
                      <w:color w:val="auto"/>
                    </w:rPr>
                    <w:t>类标准</w:t>
                  </w:r>
                </w:p>
              </w:tc>
            </w:tr>
          </w:tbl>
          <w:p>
            <w:pPr>
              <w:adjustRightInd w:val="0"/>
              <w:snapToGrid w:val="0"/>
              <w:spacing w:line="360" w:lineRule="auto"/>
              <w:rPr>
                <w:rFonts w:hint="default" w:ascii="Times New Roman" w:hAnsi="Times New Roman" w:cs="Times New Roman"/>
                <w:b/>
                <w:bCs/>
                <w:color w:val="auto"/>
                <w:sz w:val="28"/>
              </w:rPr>
            </w:pPr>
          </w:p>
        </w:tc>
      </w:tr>
    </w:tbl>
    <w:p>
      <w:pPr>
        <w:pStyle w:val="3"/>
        <w:jc w:val="left"/>
        <w:rPr>
          <w:rFonts w:hint="default" w:ascii="Times New Roman" w:hAnsi="Times New Roman" w:cs="Times New Roman"/>
          <w:b/>
          <w:bCs/>
          <w:color w:val="auto"/>
          <w:szCs w:val="28"/>
        </w:rPr>
        <w:sectPr>
          <w:footerReference r:id="rId6" w:type="default"/>
          <w:pgSz w:w="11907" w:h="16840"/>
          <w:pgMar w:top="1304" w:right="1134" w:bottom="1134" w:left="1304" w:header="964" w:footer="964" w:gutter="0"/>
          <w:pgBorders>
            <w:top w:val="none" w:sz="0" w:space="0"/>
            <w:left w:val="none" w:sz="0" w:space="0"/>
            <w:bottom w:val="none" w:sz="0" w:space="0"/>
            <w:right w:val="none" w:sz="0" w:space="0"/>
          </w:pgBorders>
          <w:cols w:space="720" w:num="1"/>
          <w:docGrid w:type="lines" w:linePitch="334" w:charSpace="6716"/>
        </w:sectPr>
      </w:pPr>
    </w:p>
    <w:p>
      <w:pPr>
        <w:pStyle w:val="3"/>
        <w:jc w:val="left"/>
        <w:rPr>
          <w:rFonts w:hint="default" w:ascii="Times New Roman" w:hAnsi="Times New Roman" w:cs="Times New Roman"/>
          <w:b/>
          <w:bCs/>
          <w:color w:val="auto"/>
          <w:szCs w:val="28"/>
        </w:rPr>
      </w:pPr>
      <w:r>
        <w:rPr>
          <w:rFonts w:hint="default" w:ascii="Times New Roman" w:hAnsi="Times New Roman" w:cs="Times New Roman"/>
          <w:b/>
          <w:bCs/>
          <w:color w:val="auto"/>
          <w:szCs w:val="28"/>
        </w:rPr>
        <w:t>评价适用标准</w:t>
      </w:r>
    </w:p>
    <w:tbl>
      <w:tblPr>
        <w:tblStyle w:val="31"/>
        <w:tblW w:w="9571"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53"/>
        <w:gridCol w:w="881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286" w:hRule="atLeast"/>
        </w:trPr>
        <w:tc>
          <w:tcPr>
            <w:tcW w:w="753" w:type="dxa"/>
            <w:vAlign w:val="center"/>
          </w:tcPr>
          <w:p>
            <w:pPr>
              <w:pStyle w:val="65"/>
              <w:topLinePunct w:val="0"/>
              <w:autoSpaceDE/>
              <w:autoSpaceDN/>
              <w:adjustRightInd/>
              <w:spacing w:before="120"/>
              <w:textAlignment w:val="auto"/>
              <w:rPr>
                <w:rFonts w:hint="default" w:ascii="Times New Roman" w:hAnsi="Times New Roman" w:cs="Times New Roman"/>
                <w:color w:val="000000" w:themeColor="text1"/>
                <w:kern w:val="2"/>
                <w:highlight w:val="none"/>
                <w14:textFill>
                  <w14:solidFill>
                    <w14:schemeClr w14:val="tx1"/>
                  </w14:solidFill>
                </w14:textFill>
              </w:rPr>
            </w:pPr>
            <w:r>
              <w:rPr>
                <w:rFonts w:hint="default" w:ascii="Times New Roman" w:hAnsi="Times New Roman" w:cs="Times New Roman"/>
                <w:color w:val="000000" w:themeColor="text1"/>
                <w:kern w:val="2"/>
                <w:highlight w:val="none"/>
                <w14:textFill>
                  <w14:solidFill>
                    <w14:schemeClr w14:val="tx1"/>
                  </w14:solidFill>
                </w14:textFill>
              </w:rPr>
              <w:t>环境质量标准</w:t>
            </w:r>
          </w:p>
        </w:tc>
        <w:tc>
          <w:tcPr>
            <w:tcW w:w="8818" w:type="dxa"/>
            <w:vAlign w:val="center"/>
          </w:tcPr>
          <w:p>
            <w:pPr>
              <w:pStyle w:val="47"/>
              <w:numPr>
                <w:ilvl w:val="0"/>
                <w:numId w:val="3"/>
              </w:numPr>
              <w:adjustRightInd w:val="0"/>
              <w:snapToGrid/>
              <w:ind w:firstLine="480" w:firstLineChars="20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项目</w:t>
            </w:r>
            <w:r>
              <w:rPr>
                <w:rFonts w:hint="default" w:ascii="Times New Roman" w:hAnsi="Times New Roman" w:cs="Times New Roman"/>
                <w:color w:val="000000" w:themeColor="text1"/>
                <w:szCs w:val="21"/>
                <w:highlight w:val="none"/>
                <w:lang w:eastAsia="zh-CN"/>
                <w14:textFill>
                  <w14:solidFill>
                    <w14:schemeClr w14:val="tx1"/>
                  </w14:solidFill>
                </w14:textFill>
              </w:rPr>
              <w:t>医疗</w:t>
            </w:r>
            <w:r>
              <w:rPr>
                <w:rFonts w:hint="default" w:ascii="Times New Roman" w:hAnsi="Times New Roman" w:cs="Times New Roman"/>
                <w:color w:val="000000" w:themeColor="text1"/>
                <w:szCs w:val="21"/>
                <w:highlight w:val="none"/>
                <w14:textFill>
                  <w14:solidFill>
                    <w14:schemeClr w14:val="tx1"/>
                  </w14:solidFill>
                </w14:textFill>
              </w:rPr>
              <w:t>废水</w:t>
            </w:r>
            <w:r>
              <w:rPr>
                <w:rFonts w:hint="default" w:ascii="Times New Roman" w:hAnsi="Times New Roman" w:cs="Times New Roman"/>
                <w:color w:val="000000" w:themeColor="text1"/>
                <w:szCs w:val="21"/>
                <w:highlight w:val="none"/>
                <w:lang w:eastAsia="zh-CN"/>
                <w14:textFill>
                  <w14:solidFill>
                    <w14:schemeClr w14:val="tx1"/>
                  </w14:solidFill>
                </w14:textFill>
              </w:rPr>
              <w:t>和生活污水</w:t>
            </w:r>
            <w:r>
              <w:rPr>
                <w:rFonts w:hint="default" w:ascii="Times New Roman" w:hAnsi="Times New Roman" w:cs="Times New Roman"/>
                <w:color w:val="000000" w:themeColor="text1"/>
                <w:szCs w:val="21"/>
                <w:highlight w:val="none"/>
                <w14:textFill>
                  <w14:solidFill>
                    <w14:schemeClr w14:val="tx1"/>
                  </w14:solidFill>
                </w14:textFill>
              </w:rPr>
              <w:t>经医院污水处理站处理达标后</w:t>
            </w:r>
            <w:r>
              <w:rPr>
                <w:rFonts w:hint="eastAsia" w:ascii="Times New Roman" w:cs="Times New Roman"/>
                <w:color w:val="000000" w:themeColor="text1"/>
                <w:szCs w:val="21"/>
                <w:highlight w:val="none"/>
                <w:lang w:eastAsia="zh-CN"/>
                <w14:textFill>
                  <w14:solidFill>
                    <w14:schemeClr w14:val="tx1"/>
                  </w14:solidFill>
                </w14:textFill>
              </w:rPr>
              <w:t>回用周边绿化用水</w:t>
            </w:r>
            <w:r>
              <w:rPr>
                <w:rFonts w:hint="default" w:ascii="Times New Roman" w:hAnsi="Times New Roman" w:cs="Times New Roman"/>
                <w:color w:val="000000" w:themeColor="text1"/>
                <w:szCs w:val="21"/>
                <w:highlight w:val="none"/>
                <w14:textFill>
                  <w14:solidFill>
                    <w14:schemeClr w14:val="tx1"/>
                  </w14:solidFill>
                </w14:textFill>
              </w:rPr>
              <w:t>。</w:t>
            </w:r>
            <w:r>
              <w:rPr>
                <w:rFonts w:hint="eastAsia" w:ascii="Times New Roman" w:cs="Times New Roman"/>
                <w:color w:val="000000" w:themeColor="text1"/>
                <w:szCs w:val="21"/>
                <w:highlight w:val="none"/>
                <w:lang w:eastAsia="zh-CN"/>
                <w14:textFill>
                  <w14:solidFill>
                    <w14:schemeClr w14:val="tx1"/>
                  </w14:solidFill>
                </w14:textFill>
              </w:rPr>
              <w:t>附近水体榕江北河（锡中潭边渡至上游</w:t>
            </w:r>
            <w:r>
              <w:rPr>
                <w:rFonts w:hint="eastAsia" w:ascii="Times New Roman" w:cs="Times New Roman"/>
                <w:color w:val="000000" w:themeColor="text1"/>
                <w:szCs w:val="21"/>
                <w:highlight w:val="none"/>
                <w:lang w:val="en-US" w:eastAsia="zh-CN"/>
                <w14:textFill>
                  <w14:solidFill>
                    <w14:schemeClr w14:val="tx1"/>
                  </w14:solidFill>
                </w14:textFill>
              </w:rPr>
              <w:t>2公里广安寺），</w:t>
            </w:r>
            <w:r>
              <w:rPr>
                <w:rFonts w:hint="default" w:ascii="Times New Roman" w:hAnsi="Times New Roman" w:cs="Times New Roman"/>
                <w:color w:val="000000" w:themeColor="text1"/>
                <w:szCs w:val="21"/>
                <w:highlight w:val="none"/>
                <w14:textFill>
                  <w14:solidFill>
                    <w14:schemeClr w14:val="tx1"/>
                  </w14:solidFill>
                </w14:textFill>
              </w:rPr>
              <w:t>根据《关于印发&lt;广东省地表水环境功能区划&gt;的通知》（粤环〔2011〕14 号），</w:t>
            </w:r>
            <w:r>
              <w:rPr>
                <w:rFonts w:hint="default" w:ascii="Times New Roman" w:hAnsi="Times New Roman" w:cs="Times New Roman"/>
                <w:color w:val="000000" w:themeColor="text1"/>
                <w:szCs w:val="21"/>
                <w:highlight w:val="none"/>
                <w:lang w:eastAsia="zh-CN"/>
                <w14:textFill>
                  <w14:solidFill>
                    <w14:schemeClr w14:val="tx1"/>
                  </w14:solidFill>
                </w14:textFill>
              </w:rPr>
              <w:t>榕江北河（锡中潭边渡至上游</w:t>
            </w:r>
            <w:r>
              <w:rPr>
                <w:rFonts w:hint="default" w:ascii="Times New Roman" w:hAnsi="Times New Roman" w:cs="Times New Roman"/>
                <w:color w:val="000000" w:themeColor="text1"/>
                <w:szCs w:val="21"/>
                <w:highlight w:val="none"/>
                <w:lang w:val="en-US" w:eastAsia="zh-CN"/>
                <w14:textFill>
                  <w14:solidFill>
                    <w14:schemeClr w14:val="tx1"/>
                  </w14:solidFill>
                </w14:textFill>
              </w:rPr>
              <w:t>2公里广安寺）</w:t>
            </w:r>
            <w:r>
              <w:rPr>
                <w:rFonts w:hint="default" w:ascii="Times New Roman" w:hAnsi="Times New Roman" w:cs="Times New Roman"/>
                <w:color w:val="000000" w:themeColor="text1"/>
                <w:szCs w:val="21"/>
                <w:highlight w:val="none"/>
                <w14:textFill>
                  <w14:solidFill>
                    <w14:schemeClr w14:val="tx1"/>
                  </w14:solidFill>
                </w14:textFill>
              </w:rPr>
              <w:t>为“</w:t>
            </w:r>
            <w:r>
              <w:rPr>
                <w:rFonts w:hint="eastAsia" w:ascii="Times New Roman" w:cs="Times New Roman"/>
                <w:color w:val="000000" w:themeColor="text1"/>
                <w:szCs w:val="21"/>
                <w:highlight w:val="none"/>
                <w:lang w:eastAsia="zh-CN"/>
                <w14:textFill>
                  <w14:solidFill>
                    <w14:schemeClr w14:val="tx1"/>
                  </w14:solidFill>
                </w14:textFill>
              </w:rPr>
              <w:t>饮用、农业用水</w:t>
            </w:r>
            <w:r>
              <w:rPr>
                <w:rFonts w:hint="default" w:ascii="Times New Roman" w:hAnsi="Times New Roman" w:cs="Times New Roman"/>
                <w:color w:val="000000" w:themeColor="text1"/>
                <w:szCs w:val="21"/>
                <w:highlight w:val="none"/>
                <w14:textFill>
                  <w14:solidFill>
                    <w14:schemeClr w14:val="tx1"/>
                  </w14:solidFill>
                </w14:textFill>
              </w:rPr>
              <w:t>”功能，属地表水环境</w:t>
            </w:r>
            <w:r>
              <w:rPr>
                <w:rFonts w:hint="eastAsia" w:ascii="Times New Roman" w:cs="Times New Roman"/>
                <w:color w:val="000000" w:themeColor="text1"/>
                <w:szCs w:val="21"/>
                <w:highlight w:val="none"/>
                <w:lang w:val="en-US" w:eastAsia="zh-CN"/>
                <w14:textFill>
                  <w14:solidFill>
                    <w14:schemeClr w14:val="tx1"/>
                  </w14:solidFill>
                </w14:textFill>
              </w:rPr>
              <w:t>II</w:t>
            </w:r>
            <w:r>
              <w:rPr>
                <w:rFonts w:hint="default" w:ascii="Times New Roman" w:hAnsi="Times New Roman" w:cs="Times New Roman"/>
                <w:color w:val="000000" w:themeColor="text1"/>
                <w:szCs w:val="21"/>
                <w:highlight w:val="none"/>
                <w14:textFill>
                  <w14:solidFill>
                    <w14:schemeClr w14:val="tx1"/>
                  </w14:solidFill>
                </w14:textFill>
              </w:rPr>
              <w:t>类功能区，其环境质量标准见表</w:t>
            </w:r>
            <w:r>
              <w:rPr>
                <w:rFonts w:hint="default" w:ascii="Times New Roman" w:hAnsi="Times New Roman" w:cs="Times New Roman"/>
                <w:color w:val="000000" w:themeColor="text1"/>
                <w:szCs w:val="21"/>
                <w:highlight w:val="none"/>
                <w:lang w:val="en-US" w:eastAsia="zh-CN"/>
                <w14:textFill>
                  <w14:solidFill>
                    <w14:schemeClr w14:val="tx1"/>
                  </w14:solidFill>
                </w14:textFill>
              </w:rPr>
              <w:t>4-1</w:t>
            </w:r>
            <w:r>
              <w:rPr>
                <w:rFonts w:hint="default" w:ascii="Times New Roman" w:hAnsi="Times New Roman" w:cs="Times New Roman"/>
                <w:color w:val="000000" w:themeColor="text1"/>
                <w:szCs w:val="21"/>
                <w:highlight w:val="none"/>
                <w14:textFill>
                  <w14:solidFill>
                    <w14:schemeClr w14:val="tx1"/>
                  </w14:solidFill>
                </w14:textFill>
              </w:rPr>
              <w:t>。</w:t>
            </w:r>
          </w:p>
          <w:p>
            <w:pPr>
              <w:spacing w:line="360" w:lineRule="auto"/>
              <w:ind w:firstLine="422" w:firstLineChars="20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表</w:t>
            </w:r>
            <w:r>
              <w:rPr>
                <w:rFonts w:hint="default" w:ascii="Times New Roman" w:hAnsi="Times New Roman" w:cs="Times New Roman"/>
                <w:b/>
                <w:bCs/>
                <w:color w:val="000000" w:themeColor="text1"/>
                <w:szCs w:val="21"/>
                <w:highlight w:val="none"/>
                <w:lang w:val="en-US" w:eastAsia="zh-CN"/>
                <w14:textFill>
                  <w14:solidFill>
                    <w14:schemeClr w14:val="tx1"/>
                  </w14:solidFill>
                </w14:textFill>
              </w:rPr>
              <w:t>4</w:t>
            </w:r>
            <w:r>
              <w:rPr>
                <w:rFonts w:hint="default" w:ascii="Times New Roman" w:hAnsi="Times New Roman" w:cs="Times New Roman"/>
                <w:b/>
                <w:bCs/>
                <w:color w:val="000000" w:themeColor="text1"/>
                <w:szCs w:val="21"/>
                <w:highlight w:val="none"/>
                <w14:textFill>
                  <w14:solidFill>
                    <w14:schemeClr w14:val="tx1"/>
                  </w14:solidFill>
                </w14:textFill>
              </w:rPr>
              <w:t>-1  项目地表水环境质量执行标准  单位: mg/L</w:t>
            </w:r>
            <w:r>
              <w:rPr>
                <w:rFonts w:hint="default" w:ascii="Times New Roman" w:hAnsi="Times New Roman" w:cs="Times New Roman"/>
                <w:b/>
                <w:bCs/>
                <w:color w:val="000000" w:themeColor="text1"/>
                <w:szCs w:val="21"/>
                <w:highlight w:val="none"/>
                <w:lang w:eastAsia="zh-CN"/>
                <w14:textFill>
                  <w14:solidFill>
                    <w14:schemeClr w14:val="tx1"/>
                  </w14:solidFill>
                </w14:textFill>
              </w:rPr>
              <w:t>，</w:t>
            </w:r>
            <w:r>
              <w:rPr>
                <w:rFonts w:hint="default" w:ascii="Times New Roman" w:hAnsi="Times New Roman" w:cs="Times New Roman"/>
                <w:b/>
                <w:bCs/>
                <w:color w:val="000000" w:themeColor="text1"/>
                <w:szCs w:val="21"/>
                <w:highlight w:val="none"/>
                <w:lang w:val="en-US" w:eastAsia="zh-CN"/>
                <w14:textFill>
                  <w14:solidFill>
                    <w14:schemeClr w14:val="tx1"/>
                  </w14:solidFill>
                </w14:textFill>
              </w:rPr>
              <w:t>pH除外</w:t>
            </w:r>
          </w:p>
          <w:tbl>
            <w:tblPr>
              <w:tblStyle w:val="32"/>
              <w:tblW w:w="86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860"/>
              <w:gridCol w:w="614"/>
              <w:gridCol w:w="840"/>
              <w:gridCol w:w="915"/>
              <w:gridCol w:w="1071"/>
              <w:gridCol w:w="860"/>
              <w:gridCol w:w="860"/>
              <w:gridCol w:w="861"/>
              <w:gridCol w:w="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0" w:type="dxa"/>
                  <w:vAlign w:val="center"/>
                </w:tcPr>
                <w:p>
                  <w:pPr>
                    <w:adjustRightInd w:val="0"/>
                    <w:snapToGrid w:val="0"/>
                    <w:jc w:val="center"/>
                    <w:rPr>
                      <w:rFonts w:hint="default" w:ascii="Times New Roman" w:hAnsi="Times New Roman" w:cs="Times New Roman"/>
                      <w:color w:val="000000" w:themeColor="text1"/>
                      <w:szCs w:val="21"/>
                      <w:highlight w:val="none"/>
                      <w:vertAlign w:val="baseline"/>
                      <w14:textFill>
                        <w14:solidFill>
                          <w14:schemeClr w14:val="tx1"/>
                        </w14:solidFill>
                      </w14:textFill>
                    </w:rPr>
                  </w:pPr>
                  <w:r>
                    <w:rPr>
                      <w:rFonts w:hint="default" w:ascii="Times New Roman" w:hAnsi="Times New Roman" w:cs="Times New Roman"/>
                      <w:b/>
                      <w:bCs/>
                      <w:color w:val="000000" w:themeColor="text1"/>
                      <w:szCs w:val="21"/>
                      <w:highlight w:val="none"/>
                      <w:lang w:eastAsia="zh-CN"/>
                      <w14:textFill>
                        <w14:solidFill>
                          <w14:schemeClr w14:val="tx1"/>
                        </w14:solidFill>
                      </w14:textFill>
                    </w:rPr>
                    <w:t>污染物</w:t>
                  </w:r>
                </w:p>
              </w:tc>
              <w:tc>
                <w:tcPr>
                  <w:tcW w:w="860" w:type="dxa"/>
                  <w:vAlign w:val="center"/>
                </w:tcPr>
                <w:p>
                  <w:pPr>
                    <w:adjustRightInd w:val="0"/>
                    <w:snapToGrid w:val="0"/>
                    <w:jc w:val="center"/>
                    <w:rPr>
                      <w:rFonts w:hint="default" w:ascii="Times New Roman" w:hAnsi="Times New Roman" w:cs="Times New Roman"/>
                      <w:color w:val="000000" w:themeColor="text1"/>
                      <w:szCs w:val="21"/>
                      <w:highlight w:val="none"/>
                      <w:vertAlign w:val="baseline"/>
                      <w14:textFill>
                        <w14:solidFill>
                          <w14:schemeClr w14:val="tx1"/>
                        </w14:solidFill>
                      </w14:textFill>
                    </w:rPr>
                  </w:pPr>
                  <w:r>
                    <w:rPr>
                      <w:rFonts w:hint="default" w:ascii="Times New Roman" w:hAnsi="Times New Roman" w:cs="Times New Roman"/>
                      <w:b/>
                      <w:bCs/>
                      <w:color w:val="000000" w:themeColor="text1"/>
                      <w:szCs w:val="21"/>
                      <w:highlight w:val="none"/>
                      <w:lang w:val="en-US" w:eastAsia="zh-CN"/>
                      <w14:textFill>
                        <w14:solidFill>
                          <w14:schemeClr w14:val="tx1"/>
                        </w14:solidFill>
                      </w14:textFill>
                    </w:rPr>
                    <w:t>pH值</w:t>
                  </w:r>
                </w:p>
              </w:tc>
              <w:tc>
                <w:tcPr>
                  <w:tcW w:w="614" w:type="dxa"/>
                  <w:vAlign w:val="center"/>
                </w:tcPr>
                <w:p>
                  <w:pPr>
                    <w:adjustRightInd w:val="0"/>
                    <w:snapToGrid w:val="0"/>
                    <w:jc w:val="center"/>
                    <w:rPr>
                      <w:rFonts w:hint="default" w:ascii="Times New Roman" w:hAnsi="Times New Roman" w:cs="Times New Roman"/>
                      <w:color w:val="000000" w:themeColor="text1"/>
                      <w:szCs w:val="21"/>
                      <w:highlight w:val="none"/>
                      <w:vertAlign w:val="baseline"/>
                      <w14:textFill>
                        <w14:solidFill>
                          <w14:schemeClr w14:val="tx1"/>
                        </w14:solidFill>
                      </w14:textFill>
                    </w:rPr>
                  </w:pPr>
                  <w:r>
                    <w:rPr>
                      <w:rFonts w:hint="default" w:ascii="Times New Roman" w:hAnsi="Times New Roman" w:eastAsia="宋体" w:cs="Times New Roman"/>
                      <w:b/>
                      <w:bCs/>
                      <w:color w:val="000000" w:themeColor="text1"/>
                      <w:szCs w:val="21"/>
                      <w:highlight w:val="none"/>
                      <w:lang w:val="en-US" w:eastAsia="zh-CN"/>
                      <w14:textFill>
                        <w14:solidFill>
                          <w14:schemeClr w14:val="tx1"/>
                        </w14:solidFill>
                      </w14:textFill>
                    </w:rPr>
                    <w:t>DO</w:t>
                  </w:r>
                </w:p>
              </w:tc>
              <w:tc>
                <w:tcPr>
                  <w:tcW w:w="840" w:type="dxa"/>
                  <w:vAlign w:val="center"/>
                </w:tcPr>
                <w:p>
                  <w:pPr>
                    <w:adjustRightInd w:val="0"/>
                    <w:snapToGrid w:val="0"/>
                    <w:jc w:val="center"/>
                    <w:rPr>
                      <w:rFonts w:hint="default" w:ascii="Times New Roman" w:hAnsi="Times New Roman" w:cs="Times New Roman"/>
                      <w:color w:val="000000" w:themeColor="text1"/>
                      <w:szCs w:val="21"/>
                      <w:highlight w:val="none"/>
                      <w:vertAlign w:val="baseline"/>
                      <w14:textFill>
                        <w14:solidFill>
                          <w14:schemeClr w14:val="tx1"/>
                        </w14:solidFill>
                      </w14:textFill>
                    </w:rPr>
                  </w:pPr>
                  <w:r>
                    <w:rPr>
                      <w:rFonts w:hint="default" w:ascii="Times New Roman" w:hAnsi="Times New Roman" w:eastAsia="宋体" w:cs="Times New Roman"/>
                      <w:b/>
                      <w:bCs/>
                      <w:color w:val="000000" w:themeColor="text1"/>
                      <w:szCs w:val="21"/>
                      <w:highlight w:val="none"/>
                      <w:lang w:val="en-US" w:eastAsia="zh-CN"/>
                      <w14:textFill>
                        <w14:solidFill>
                          <w14:schemeClr w14:val="tx1"/>
                        </w14:solidFill>
                      </w14:textFill>
                    </w:rPr>
                    <w:t>BOD</w:t>
                  </w:r>
                  <w:r>
                    <w:rPr>
                      <w:rFonts w:hint="default" w:ascii="Times New Roman" w:hAnsi="Times New Roman" w:eastAsia="宋体" w:cs="Times New Roman"/>
                      <w:b/>
                      <w:bCs/>
                      <w:color w:val="000000" w:themeColor="text1"/>
                      <w:szCs w:val="21"/>
                      <w:highlight w:val="none"/>
                      <w:vertAlign w:val="subscript"/>
                      <w:lang w:val="en-US" w:eastAsia="zh-CN"/>
                      <w14:textFill>
                        <w14:solidFill>
                          <w14:schemeClr w14:val="tx1"/>
                        </w14:solidFill>
                      </w14:textFill>
                    </w:rPr>
                    <w:t>5</w:t>
                  </w:r>
                </w:p>
              </w:tc>
              <w:tc>
                <w:tcPr>
                  <w:tcW w:w="915" w:type="dxa"/>
                  <w:vAlign w:val="center"/>
                </w:tcPr>
                <w:p>
                  <w:pPr>
                    <w:adjustRightInd w:val="0"/>
                    <w:snapToGrid w:val="0"/>
                    <w:jc w:val="center"/>
                    <w:rPr>
                      <w:rFonts w:hint="default" w:ascii="Times New Roman" w:hAnsi="Times New Roman" w:cs="Times New Roman"/>
                      <w:color w:val="000000" w:themeColor="text1"/>
                      <w:szCs w:val="21"/>
                      <w:highlight w:val="none"/>
                      <w:vertAlign w:val="baseline"/>
                      <w14:textFill>
                        <w14:solidFill>
                          <w14:schemeClr w14:val="tx1"/>
                        </w14:solidFill>
                      </w14:textFill>
                    </w:rPr>
                  </w:pPr>
                  <w:r>
                    <w:rPr>
                      <w:rFonts w:hint="default" w:ascii="Times New Roman" w:hAnsi="Times New Roman" w:eastAsia="宋体" w:cs="Times New Roman"/>
                      <w:b/>
                      <w:bCs/>
                      <w:color w:val="000000" w:themeColor="text1"/>
                      <w:szCs w:val="21"/>
                      <w:highlight w:val="none"/>
                      <w:lang w:val="en-US" w:eastAsia="zh-CN"/>
                      <w14:textFill>
                        <w14:solidFill>
                          <w14:schemeClr w14:val="tx1"/>
                        </w14:solidFill>
                      </w14:textFill>
                    </w:rPr>
                    <w:t>COD</w:t>
                  </w:r>
                  <w:r>
                    <w:rPr>
                      <w:rFonts w:hint="default" w:ascii="Times New Roman" w:hAnsi="Times New Roman" w:eastAsia="宋体" w:cs="Times New Roman"/>
                      <w:b/>
                      <w:bCs/>
                      <w:color w:val="000000" w:themeColor="text1"/>
                      <w:szCs w:val="21"/>
                      <w:highlight w:val="none"/>
                      <w:vertAlign w:val="subscript"/>
                      <w:lang w:val="en-US" w:eastAsia="zh-CN"/>
                      <w14:textFill>
                        <w14:solidFill>
                          <w14:schemeClr w14:val="tx1"/>
                        </w14:solidFill>
                      </w14:textFill>
                    </w:rPr>
                    <w:t>Cr</w:t>
                  </w:r>
                </w:p>
              </w:tc>
              <w:tc>
                <w:tcPr>
                  <w:tcW w:w="1071" w:type="dxa"/>
                  <w:vAlign w:val="center"/>
                </w:tcPr>
                <w:p>
                  <w:pPr>
                    <w:adjustRightInd w:val="0"/>
                    <w:snapToGrid w:val="0"/>
                    <w:jc w:val="center"/>
                    <w:rPr>
                      <w:rFonts w:hint="default" w:ascii="Times New Roman" w:hAnsi="Times New Roman" w:cs="Times New Roman"/>
                      <w:color w:val="000000" w:themeColor="text1"/>
                      <w:szCs w:val="21"/>
                      <w:highlight w:val="none"/>
                      <w:vertAlign w:val="baseline"/>
                      <w14:textFill>
                        <w14:solidFill>
                          <w14:schemeClr w14:val="tx1"/>
                        </w14:solidFill>
                      </w14:textFill>
                    </w:rPr>
                  </w:pPr>
                  <w:r>
                    <w:rPr>
                      <w:rFonts w:hint="default" w:ascii="Times New Roman" w:hAnsi="Times New Roman" w:eastAsia="宋体" w:cs="Times New Roman"/>
                      <w:b/>
                      <w:bCs/>
                      <w:color w:val="000000" w:themeColor="text1"/>
                      <w:szCs w:val="21"/>
                      <w:highlight w:val="none"/>
                      <w:lang w:val="en-US" w:eastAsia="zh-CN"/>
                      <w14:textFill>
                        <w14:solidFill>
                          <w14:schemeClr w14:val="tx1"/>
                        </w14:solidFill>
                      </w14:textFill>
                    </w:rPr>
                    <w:t>氨氮</w:t>
                  </w:r>
                </w:p>
              </w:tc>
              <w:tc>
                <w:tcPr>
                  <w:tcW w:w="860" w:type="dxa"/>
                  <w:vAlign w:val="center"/>
                </w:tcPr>
                <w:p>
                  <w:pPr>
                    <w:adjustRightInd w:val="0"/>
                    <w:snapToGrid w:val="0"/>
                    <w:jc w:val="center"/>
                    <w:rPr>
                      <w:rFonts w:hint="default" w:ascii="Times New Roman" w:hAnsi="Times New Roman" w:cs="Times New Roman"/>
                      <w:color w:val="000000" w:themeColor="text1"/>
                      <w:szCs w:val="21"/>
                      <w:highlight w:val="none"/>
                      <w:vertAlign w:val="baseline"/>
                      <w14:textFill>
                        <w14:solidFill>
                          <w14:schemeClr w14:val="tx1"/>
                        </w14:solidFill>
                      </w14:textFill>
                    </w:rPr>
                  </w:pPr>
                  <w:r>
                    <w:rPr>
                      <w:rFonts w:hint="default" w:ascii="Times New Roman" w:hAnsi="Times New Roman" w:cs="Times New Roman"/>
                      <w:b/>
                      <w:bCs/>
                      <w:color w:val="000000" w:themeColor="text1"/>
                      <w:szCs w:val="21"/>
                      <w:highlight w:val="none"/>
                      <w:lang w:val="en-US" w:eastAsia="zh-CN"/>
                      <w14:textFill>
                        <w14:solidFill>
                          <w14:schemeClr w14:val="tx1"/>
                        </w14:solidFill>
                      </w14:textFill>
                    </w:rPr>
                    <w:t>总磷</w:t>
                  </w:r>
                </w:p>
              </w:tc>
              <w:tc>
                <w:tcPr>
                  <w:tcW w:w="860" w:type="dxa"/>
                  <w:vAlign w:val="center"/>
                </w:tcPr>
                <w:p>
                  <w:pPr>
                    <w:adjustRightInd w:val="0"/>
                    <w:snapToGrid w:val="0"/>
                    <w:jc w:val="center"/>
                    <w:rPr>
                      <w:rFonts w:hint="default" w:ascii="Times New Roman" w:hAnsi="Times New Roman" w:cs="Times New Roman"/>
                      <w:color w:val="000000" w:themeColor="text1"/>
                      <w:szCs w:val="21"/>
                      <w:highlight w:val="none"/>
                      <w:vertAlign w:val="baseline"/>
                      <w14:textFill>
                        <w14:solidFill>
                          <w14:schemeClr w14:val="tx1"/>
                        </w14:solidFill>
                      </w14:textFill>
                    </w:rPr>
                  </w:pPr>
                  <w:r>
                    <w:rPr>
                      <w:rFonts w:hint="default" w:ascii="Times New Roman" w:hAnsi="Times New Roman" w:cs="Times New Roman"/>
                      <w:b/>
                      <w:bCs/>
                      <w:color w:val="000000" w:themeColor="text1"/>
                      <w:szCs w:val="21"/>
                      <w:highlight w:val="none"/>
                      <w:lang w:eastAsia="zh-CN"/>
                      <w14:textFill>
                        <w14:solidFill>
                          <w14:schemeClr w14:val="tx1"/>
                        </w14:solidFill>
                      </w14:textFill>
                    </w:rPr>
                    <w:t>石油类</w:t>
                  </w:r>
                </w:p>
              </w:tc>
              <w:tc>
                <w:tcPr>
                  <w:tcW w:w="861" w:type="dxa"/>
                  <w:vAlign w:val="center"/>
                </w:tcPr>
                <w:p>
                  <w:pPr>
                    <w:adjustRightInd w:val="0"/>
                    <w:snapToGrid w:val="0"/>
                    <w:jc w:val="center"/>
                    <w:rPr>
                      <w:rFonts w:hint="default" w:ascii="Times New Roman" w:hAnsi="Times New Roman" w:cs="Times New Roman"/>
                      <w:color w:val="000000" w:themeColor="text1"/>
                      <w:szCs w:val="21"/>
                      <w:highlight w:val="none"/>
                      <w:vertAlign w:val="baseline"/>
                      <w14:textFill>
                        <w14:solidFill>
                          <w14:schemeClr w14:val="tx1"/>
                        </w14:solidFill>
                      </w14:textFill>
                    </w:rPr>
                  </w:pPr>
                  <w:r>
                    <w:rPr>
                      <w:rFonts w:hint="default" w:ascii="Times New Roman" w:hAnsi="Times New Roman" w:cs="Times New Roman"/>
                      <w:b/>
                      <w:bCs/>
                      <w:color w:val="000000" w:themeColor="text1"/>
                      <w:szCs w:val="21"/>
                      <w:highlight w:val="none"/>
                      <w:lang w:val="en-US" w:eastAsia="zh-CN"/>
                      <w14:textFill>
                        <w14:solidFill>
                          <w14:schemeClr w14:val="tx1"/>
                        </w14:solidFill>
                      </w14:textFill>
                    </w:rPr>
                    <w:t>LAS</w:t>
                  </w:r>
                </w:p>
              </w:tc>
              <w:tc>
                <w:tcPr>
                  <w:tcW w:w="861" w:type="dxa"/>
                  <w:vAlign w:val="center"/>
                </w:tcPr>
                <w:p>
                  <w:pPr>
                    <w:adjustRightInd w:val="0"/>
                    <w:snapToGrid w:val="0"/>
                    <w:jc w:val="center"/>
                    <w:rPr>
                      <w:rFonts w:hint="default" w:ascii="Times New Roman" w:hAnsi="Times New Roman" w:cs="Times New Roman"/>
                      <w:color w:val="000000" w:themeColor="text1"/>
                      <w:szCs w:val="21"/>
                      <w:highlight w:val="none"/>
                      <w:vertAlign w:val="baseline"/>
                      <w14:textFill>
                        <w14:solidFill>
                          <w14:schemeClr w14:val="tx1"/>
                        </w14:solidFill>
                      </w14:textFill>
                    </w:rPr>
                  </w:pPr>
                  <w:r>
                    <w:rPr>
                      <w:rFonts w:hint="default" w:ascii="Times New Roman" w:hAnsi="Times New Roman" w:cs="Times New Roman"/>
                      <w:b/>
                      <w:bCs/>
                      <w:color w:val="000000" w:themeColor="text1"/>
                      <w:szCs w:val="21"/>
                      <w:highlight w:val="none"/>
                      <w:lang w:eastAsia="zh-CN"/>
                      <w14:textFill>
                        <w14:solidFill>
                          <w14:schemeClr w14:val="tx1"/>
                        </w14:solidFill>
                      </w14:textFill>
                    </w:rPr>
                    <w:t>粪大肠菌群（个</w:t>
                  </w:r>
                  <w:r>
                    <w:rPr>
                      <w:rFonts w:hint="default" w:ascii="Times New Roman" w:hAnsi="Times New Roman" w:cs="Times New Roman"/>
                      <w:b/>
                      <w:bCs/>
                      <w:color w:val="000000" w:themeColor="text1"/>
                      <w:szCs w:val="21"/>
                      <w:highlight w:val="none"/>
                      <w:lang w:val="en-US" w:eastAsia="zh-CN"/>
                      <w14:textFill>
                        <w14:solidFill>
                          <w14:schemeClr w14:val="tx1"/>
                        </w14:solidFill>
                      </w14:textFill>
                    </w:rPr>
                    <w:t>/L</w:t>
                  </w:r>
                  <w:r>
                    <w:rPr>
                      <w:rFonts w:hint="default" w:ascii="Times New Roman" w:hAnsi="Times New Roman" w:cs="Times New Roman"/>
                      <w:b/>
                      <w:bCs/>
                      <w:color w:val="000000" w:themeColor="text1"/>
                      <w:szCs w:val="21"/>
                      <w:highlight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0" w:type="dxa"/>
                  <w:vAlign w:val="center"/>
                </w:tcPr>
                <w:p>
                  <w:pPr>
                    <w:adjustRightInd w:val="0"/>
                    <w:snapToGrid w:val="0"/>
                    <w:jc w:val="center"/>
                    <w:rPr>
                      <w:rFonts w:hint="default" w:ascii="Times New Roman" w:hAnsi="Times New Roman" w:cs="Times New Roman"/>
                      <w:color w:val="000000" w:themeColor="text1"/>
                      <w:szCs w:val="21"/>
                      <w:highlight w:val="none"/>
                      <w:vertAlign w:val="baseline"/>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II</w:t>
                  </w:r>
                  <w:r>
                    <w:rPr>
                      <w:rFonts w:hint="default" w:ascii="Times New Roman" w:hAnsi="Times New Roman" w:cs="Times New Roman"/>
                      <w:color w:val="000000" w:themeColor="text1"/>
                      <w:szCs w:val="21"/>
                      <w:highlight w:val="none"/>
                      <w:lang w:val="en-US" w:eastAsia="zh-CN"/>
                      <w14:textFill>
                        <w14:solidFill>
                          <w14:schemeClr w14:val="tx1"/>
                        </w14:solidFill>
                      </w14:textFill>
                    </w:rPr>
                    <w:t>类标准</w:t>
                  </w:r>
                </w:p>
              </w:tc>
              <w:tc>
                <w:tcPr>
                  <w:tcW w:w="860" w:type="dxa"/>
                  <w:vAlign w:val="center"/>
                </w:tcPr>
                <w:p>
                  <w:pPr>
                    <w:adjustRightInd w:val="0"/>
                    <w:snapToGrid w:val="0"/>
                    <w:jc w:val="center"/>
                    <w:rPr>
                      <w:rFonts w:hint="default" w:ascii="Times New Roman" w:hAnsi="Times New Roman" w:cs="Times New Roman"/>
                      <w:color w:val="000000" w:themeColor="text1"/>
                      <w:szCs w:val="21"/>
                      <w:highlight w:val="none"/>
                      <w:vertAlign w:val="baseli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6~9</w:t>
                  </w:r>
                </w:p>
              </w:tc>
              <w:tc>
                <w:tcPr>
                  <w:tcW w:w="614" w:type="dxa"/>
                  <w:vAlign w:val="center"/>
                </w:tcPr>
                <w:p>
                  <w:pPr>
                    <w:adjustRightInd w:val="0"/>
                    <w:snapToGrid w:val="0"/>
                    <w:jc w:val="center"/>
                    <w:rPr>
                      <w:rFonts w:hint="default" w:ascii="Times New Roman" w:hAnsi="Times New Roman" w:cs="Times New Roman"/>
                      <w:color w:val="000000" w:themeColor="text1"/>
                      <w:szCs w:val="21"/>
                      <w:highlight w:val="none"/>
                      <w:vertAlign w:val="baseline"/>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w:t>
                  </w:r>
                  <w:r>
                    <w:rPr>
                      <w:rFonts w:hint="eastAsia" w:cs="Times New Roman"/>
                      <w:color w:val="000000" w:themeColor="text1"/>
                      <w:szCs w:val="21"/>
                      <w:highlight w:val="none"/>
                      <w:lang w:val="en-US" w:eastAsia="zh-CN"/>
                      <w14:textFill>
                        <w14:solidFill>
                          <w14:schemeClr w14:val="tx1"/>
                        </w14:solidFill>
                      </w14:textFill>
                    </w:rPr>
                    <w:t>6</w:t>
                  </w:r>
                </w:p>
              </w:tc>
              <w:tc>
                <w:tcPr>
                  <w:tcW w:w="840" w:type="dxa"/>
                  <w:vAlign w:val="center"/>
                </w:tcPr>
                <w:p>
                  <w:pPr>
                    <w:adjustRightInd w:val="0"/>
                    <w:snapToGrid w:val="0"/>
                    <w:jc w:val="center"/>
                    <w:rPr>
                      <w:rFonts w:hint="default" w:ascii="Times New Roman" w:hAnsi="Times New Roman" w:cs="Times New Roman"/>
                      <w:color w:val="000000" w:themeColor="text1"/>
                      <w:szCs w:val="21"/>
                      <w:highlight w:val="none"/>
                      <w:vertAlign w:val="baseline"/>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w:t>
                  </w:r>
                  <w:r>
                    <w:rPr>
                      <w:rFonts w:hint="eastAsia" w:cs="Times New Roman"/>
                      <w:color w:val="000000" w:themeColor="text1"/>
                      <w:szCs w:val="21"/>
                      <w:highlight w:val="none"/>
                      <w:lang w:val="en-US" w:eastAsia="zh-CN"/>
                      <w14:textFill>
                        <w14:solidFill>
                          <w14:schemeClr w14:val="tx1"/>
                        </w14:solidFill>
                      </w14:textFill>
                    </w:rPr>
                    <w:t>3</w:t>
                  </w:r>
                </w:p>
              </w:tc>
              <w:tc>
                <w:tcPr>
                  <w:tcW w:w="915" w:type="dxa"/>
                  <w:vAlign w:val="center"/>
                </w:tcPr>
                <w:p>
                  <w:pPr>
                    <w:adjustRightInd w:val="0"/>
                    <w:snapToGrid w:val="0"/>
                    <w:jc w:val="center"/>
                    <w:rPr>
                      <w:rFonts w:hint="default" w:ascii="Times New Roman" w:hAnsi="Times New Roman" w:cs="Times New Roman"/>
                      <w:color w:val="000000" w:themeColor="text1"/>
                      <w:szCs w:val="21"/>
                      <w:highlight w:val="none"/>
                      <w:vertAlign w:val="baseline"/>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w:t>
                  </w:r>
                  <w:r>
                    <w:rPr>
                      <w:rFonts w:hint="eastAsia" w:cs="Times New Roman"/>
                      <w:color w:val="000000" w:themeColor="text1"/>
                      <w:szCs w:val="21"/>
                      <w:highlight w:val="none"/>
                      <w:lang w:val="en-US" w:eastAsia="zh-CN"/>
                      <w14:textFill>
                        <w14:solidFill>
                          <w14:schemeClr w14:val="tx1"/>
                        </w14:solidFill>
                      </w14:textFill>
                    </w:rPr>
                    <w:t>15</w:t>
                  </w:r>
                </w:p>
              </w:tc>
              <w:tc>
                <w:tcPr>
                  <w:tcW w:w="1071" w:type="dxa"/>
                  <w:vAlign w:val="center"/>
                </w:tcPr>
                <w:p>
                  <w:pPr>
                    <w:adjustRightInd w:val="0"/>
                    <w:snapToGrid w:val="0"/>
                    <w:jc w:val="center"/>
                    <w:rPr>
                      <w:rFonts w:hint="default" w:ascii="Times New Roman" w:hAnsi="Times New Roman" w:cs="Times New Roman"/>
                      <w:color w:val="000000" w:themeColor="text1"/>
                      <w:szCs w:val="21"/>
                      <w:highlight w:val="none"/>
                      <w:vertAlign w:val="baseline"/>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w:t>
                  </w:r>
                  <w:r>
                    <w:rPr>
                      <w:rFonts w:hint="eastAsia" w:cs="Times New Roman"/>
                      <w:color w:val="000000" w:themeColor="text1"/>
                      <w:szCs w:val="21"/>
                      <w:highlight w:val="none"/>
                      <w:lang w:val="en-US" w:eastAsia="zh-CN"/>
                      <w14:textFill>
                        <w14:solidFill>
                          <w14:schemeClr w14:val="tx1"/>
                        </w14:solidFill>
                      </w14:textFill>
                    </w:rPr>
                    <w:t>0.5</w:t>
                  </w:r>
                </w:p>
              </w:tc>
              <w:tc>
                <w:tcPr>
                  <w:tcW w:w="860" w:type="dxa"/>
                  <w:vAlign w:val="center"/>
                </w:tcPr>
                <w:p>
                  <w:pPr>
                    <w:adjustRightInd w:val="0"/>
                    <w:snapToGrid w:val="0"/>
                    <w:jc w:val="center"/>
                    <w:rPr>
                      <w:rFonts w:hint="default" w:ascii="Times New Roman" w:hAnsi="Times New Roman" w:cs="Times New Roman"/>
                      <w:color w:val="000000" w:themeColor="text1"/>
                      <w:szCs w:val="21"/>
                      <w:highlight w:val="none"/>
                      <w:vertAlign w:val="baseline"/>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w:t>
                  </w:r>
                  <w:r>
                    <w:rPr>
                      <w:rFonts w:hint="eastAsia" w:cs="Times New Roman"/>
                      <w:color w:val="000000" w:themeColor="text1"/>
                      <w:szCs w:val="21"/>
                      <w:highlight w:val="none"/>
                      <w:lang w:val="en-US" w:eastAsia="zh-CN"/>
                      <w14:textFill>
                        <w14:solidFill>
                          <w14:schemeClr w14:val="tx1"/>
                        </w14:solidFill>
                      </w14:textFill>
                    </w:rPr>
                    <w:t>0.1</w:t>
                  </w:r>
                </w:p>
              </w:tc>
              <w:tc>
                <w:tcPr>
                  <w:tcW w:w="860" w:type="dxa"/>
                  <w:vAlign w:val="center"/>
                </w:tcPr>
                <w:p>
                  <w:pPr>
                    <w:adjustRightInd w:val="0"/>
                    <w:snapToGrid w:val="0"/>
                    <w:jc w:val="center"/>
                    <w:rPr>
                      <w:rFonts w:hint="default" w:ascii="Times New Roman" w:hAnsi="Times New Roman" w:cs="Times New Roman"/>
                      <w:color w:val="000000" w:themeColor="text1"/>
                      <w:szCs w:val="21"/>
                      <w:highlight w:val="none"/>
                      <w:vertAlign w:val="baseline"/>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w:t>
                  </w:r>
                  <w:r>
                    <w:rPr>
                      <w:rFonts w:hint="eastAsia" w:cs="Times New Roman"/>
                      <w:color w:val="000000" w:themeColor="text1"/>
                      <w:szCs w:val="21"/>
                      <w:highlight w:val="none"/>
                      <w:lang w:val="en-US" w:eastAsia="zh-CN"/>
                      <w14:textFill>
                        <w14:solidFill>
                          <w14:schemeClr w14:val="tx1"/>
                        </w14:solidFill>
                      </w14:textFill>
                    </w:rPr>
                    <w:t>0.05</w:t>
                  </w:r>
                </w:p>
              </w:tc>
              <w:tc>
                <w:tcPr>
                  <w:tcW w:w="861" w:type="dxa"/>
                  <w:vAlign w:val="center"/>
                </w:tcPr>
                <w:p>
                  <w:pPr>
                    <w:adjustRightInd w:val="0"/>
                    <w:snapToGrid w:val="0"/>
                    <w:jc w:val="center"/>
                    <w:rPr>
                      <w:rFonts w:hint="default" w:ascii="Times New Roman" w:hAnsi="Times New Roman" w:cs="Times New Roman"/>
                      <w:color w:val="000000" w:themeColor="text1"/>
                      <w:szCs w:val="21"/>
                      <w:highlight w:val="none"/>
                      <w:vertAlign w:val="baseline"/>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w:t>
                  </w:r>
                  <w:r>
                    <w:rPr>
                      <w:rFonts w:hint="eastAsia" w:cs="Times New Roman"/>
                      <w:color w:val="000000" w:themeColor="text1"/>
                      <w:szCs w:val="21"/>
                      <w:highlight w:val="none"/>
                      <w:lang w:val="en-US" w:eastAsia="zh-CN"/>
                      <w14:textFill>
                        <w14:solidFill>
                          <w14:schemeClr w14:val="tx1"/>
                        </w14:solidFill>
                      </w14:textFill>
                    </w:rPr>
                    <w:t>0.2</w:t>
                  </w:r>
                </w:p>
              </w:tc>
              <w:tc>
                <w:tcPr>
                  <w:tcW w:w="861" w:type="dxa"/>
                  <w:vAlign w:val="center"/>
                </w:tcPr>
                <w:p>
                  <w:pPr>
                    <w:adjustRightInd w:val="0"/>
                    <w:snapToGrid w:val="0"/>
                    <w:jc w:val="center"/>
                    <w:rPr>
                      <w:rFonts w:hint="default" w:ascii="Times New Roman" w:hAnsi="Times New Roman" w:cs="Times New Roman"/>
                      <w:color w:val="000000" w:themeColor="text1"/>
                      <w:szCs w:val="21"/>
                      <w:highlight w:val="none"/>
                      <w:vertAlign w:val="baseline"/>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w:t>
                  </w:r>
                  <w:r>
                    <w:rPr>
                      <w:rFonts w:hint="eastAsia" w:cs="Times New Roman"/>
                      <w:color w:val="000000" w:themeColor="text1"/>
                      <w:szCs w:val="21"/>
                      <w:highlight w:val="none"/>
                      <w:lang w:val="en-US" w:eastAsia="zh-CN"/>
                      <w14:textFill>
                        <w14:solidFill>
                          <w14:schemeClr w14:val="tx1"/>
                        </w14:solidFill>
                      </w14:textFill>
                    </w:rPr>
                    <w:t>2000</w:t>
                  </w:r>
                </w:p>
              </w:tc>
            </w:tr>
          </w:tbl>
          <w:p>
            <w:pPr>
              <w:pStyle w:val="47"/>
              <w:numPr>
                <w:ilvl w:val="0"/>
                <w:numId w:val="0"/>
              </w:numPr>
              <w:adjustRightInd w:val="0"/>
              <w:snapToGrid/>
              <w:rPr>
                <w:rFonts w:hint="default" w:ascii="Times New Roman" w:hAnsi="Times New Roman" w:cs="Times New Roman"/>
                <w:color w:val="000000" w:themeColor="text1"/>
                <w:szCs w:val="21"/>
                <w:highlight w:val="none"/>
                <w14:textFill>
                  <w14:solidFill>
                    <w14:schemeClr w14:val="tx1"/>
                  </w14:solidFill>
                </w14:textFill>
              </w:rPr>
            </w:pPr>
          </w:p>
          <w:p>
            <w:pPr>
              <w:spacing w:line="360" w:lineRule="auto"/>
              <w:ind w:firstLine="42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本项目所在区域属环境空气质量二类功能区，环境空气质量标准执行《环境空气质量标准》（GB3095-2012）</w:t>
            </w:r>
            <w:r>
              <w:rPr>
                <w:rFonts w:hint="default" w:ascii="Times New Roman" w:hAnsi="Times New Roman" w:cs="Times New Roman"/>
                <w:bCs/>
                <w:color w:val="000000" w:themeColor="text1"/>
                <w:sz w:val="24"/>
                <w:szCs w:val="24"/>
                <w:lang w:eastAsia="zh-CN"/>
                <w14:textFill>
                  <w14:solidFill>
                    <w14:schemeClr w14:val="tx1"/>
                  </w14:solidFill>
                </w14:textFill>
              </w:rPr>
              <w:t>及</w:t>
            </w:r>
            <w:r>
              <w:rPr>
                <w:rFonts w:hint="default" w:ascii="Times New Roman" w:hAnsi="Times New Roman" w:cs="Times New Roman"/>
                <w:bCs/>
                <w:color w:val="000000" w:themeColor="text1"/>
                <w:sz w:val="24"/>
                <w:szCs w:val="24"/>
                <w:lang w:val="en-US" w:eastAsia="zh-CN"/>
                <w14:textFill>
                  <w14:solidFill>
                    <w14:schemeClr w14:val="tx1"/>
                  </w14:solidFill>
                </w14:textFill>
              </w:rPr>
              <w:t>2018年</w:t>
            </w:r>
            <w:r>
              <w:rPr>
                <w:rFonts w:hint="default" w:ascii="Times New Roman" w:hAnsi="Times New Roman" w:cs="Times New Roman"/>
                <w:bCs/>
                <w:color w:val="000000" w:themeColor="text1"/>
                <w:sz w:val="24"/>
                <w:szCs w:val="24"/>
                <w:lang w:eastAsia="zh-CN"/>
                <w14:textFill>
                  <w14:solidFill>
                    <w14:schemeClr w14:val="tx1"/>
                  </w14:solidFill>
                </w14:textFill>
              </w:rPr>
              <w:t>修改单</w:t>
            </w:r>
            <w:r>
              <w:rPr>
                <w:rFonts w:hint="default" w:ascii="Times New Roman" w:hAnsi="Times New Roman" w:cs="Times New Roman"/>
                <w:color w:val="000000" w:themeColor="text1"/>
                <w:sz w:val="24"/>
                <w:highlight w:val="none"/>
                <w14:textFill>
                  <w14:solidFill>
                    <w14:schemeClr w14:val="tx1"/>
                  </w14:solidFill>
                </w14:textFill>
              </w:rPr>
              <w:t>二级标准，</w:t>
            </w:r>
            <w:r>
              <w:rPr>
                <w:rFonts w:hint="default" w:ascii="Times New Roman" w:hAnsi="Times New Roman" w:cs="Times New Roman"/>
                <w:color w:val="000000" w:themeColor="text1"/>
                <w:sz w:val="24"/>
                <w:szCs w:val="24"/>
                <w:highlight w:val="none"/>
                <w:lang w:eastAsia="zh-CN"/>
                <w14:textFill>
                  <w14:solidFill>
                    <w14:schemeClr w14:val="tx1"/>
                  </w14:solidFill>
                </w14:textFill>
              </w:rPr>
              <w:t>硫化氢、氨参照</w:t>
            </w:r>
            <w:r>
              <w:rPr>
                <w:rFonts w:hint="default" w:ascii="Times New Roman" w:hAnsi="Times New Roman" w:cs="Times New Roman"/>
                <w:color w:val="000000" w:themeColor="text1"/>
                <w:sz w:val="24"/>
                <w:szCs w:val="24"/>
                <w:highlight w:val="none"/>
                <w14:textFill>
                  <w14:solidFill>
                    <w14:schemeClr w14:val="tx1"/>
                  </w14:solidFill>
                </w14:textFill>
              </w:rPr>
              <w:t>执行《工业企业设计卫生标准》（TJ36-79）</w:t>
            </w:r>
            <w:r>
              <w:rPr>
                <w:rFonts w:hint="default" w:ascii="Times New Roman" w:hAnsi="Times New Roman" w:cs="Times New Roman"/>
                <w:color w:val="000000" w:themeColor="text1"/>
                <w:sz w:val="24"/>
                <w:szCs w:val="24"/>
                <w:highlight w:val="none"/>
                <w:lang w:eastAsia="zh-CN"/>
                <w14:textFill>
                  <w14:solidFill>
                    <w14:schemeClr w14:val="tx1"/>
                  </w14:solidFill>
                </w14:textFill>
              </w:rPr>
              <w:t>中</w:t>
            </w:r>
            <w:r>
              <w:rPr>
                <w:rFonts w:hint="default" w:ascii="Times New Roman" w:hAnsi="Times New Roman" w:cs="Times New Roman"/>
                <w:color w:val="000000" w:themeColor="text1"/>
                <w:sz w:val="24"/>
                <w:szCs w:val="24"/>
                <w:highlight w:val="none"/>
                <w14:textFill>
                  <w14:solidFill>
                    <w14:schemeClr w14:val="tx1"/>
                  </w14:solidFill>
                </w14:textFill>
              </w:rPr>
              <w:t>居住区大气中有害物质最高允许浓度</w:t>
            </w:r>
            <w:r>
              <w:rPr>
                <w:rFonts w:hint="default" w:ascii="Times New Roman" w:hAnsi="Times New Roman" w:cs="Times New Roman"/>
                <w:color w:val="000000" w:themeColor="text1"/>
                <w:sz w:val="24"/>
                <w:szCs w:val="24"/>
                <w:highlight w:val="none"/>
                <w:lang w:eastAsia="zh-CN"/>
                <w14:textFill>
                  <w14:solidFill>
                    <w14:schemeClr w14:val="tx1"/>
                  </w14:solidFill>
                </w14:textFill>
              </w:rPr>
              <w:t>；臭气浓度参照执行《恶臭污染物排放标准》（</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GB14554-93</w:t>
            </w:r>
            <w:r>
              <w:rPr>
                <w:rFonts w:hint="default" w:ascii="Times New Roman" w:hAnsi="Times New Roman" w:cs="Times New Roman"/>
                <w:color w:val="000000" w:themeColor="text1"/>
                <w:sz w:val="24"/>
                <w:szCs w:val="24"/>
                <w:highlight w:val="none"/>
                <w:lang w:eastAsia="zh-CN"/>
                <w14:textFill>
                  <w14:solidFill>
                    <w14:schemeClr w14:val="tx1"/>
                  </w14:solidFill>
                </w14:textFill>
              </w:rPr>
              <w:t>）中臭气浓度厂界标准值。</w:t>
            </w:r>
            <w:r>
              <w:rPr>
                <w:rFonts w:hint="default" w:ascii="Times New Roman" w:hAnsi="Times New Roman" w:cs="Times New Roman"/>
                <w:color w:val="000000" w:themeColor="text1"/>
                <w:sz w:val="24"/>
                <w:highlight w:val="none"/>
                <w:lang w:eastAsia="zh-CN"/>
                <w14:textFill>
                  <w14:solidFill>
                    <w14:schemeClr w14:val="tx1"/>
                  </w14:solidFill>
                </w14:textFill>
              </w:rPr>
              <w:t>具体标准</w:t>
            </w:r>
            <w:r>
              <w:rPr>
                <w:rFonts w:hint="default" w:ascii="Times New Roman" w:hAnsi="Times New Roman" w:cs="Times New Roman"/>
                <w:color w:val="000000" w:themeColor="text1"/>
                <w:sz w:val="24"/>
                <w:highlight w:val="none"/>
                <w14:textFill>
                  <w14:solidFill>
                    <w14:schemeClr w14:val="tx1"/>
                  </w14:solidFill>
                </w14:textFill>
              </w:rPr>
              <w:t>值见表</w:t>
            </w:r>
            <w:r>
              <w:rPr>
                <w:rFonts w:hint="default" w:ascii="Times New Roman" w:hAnsi="Times New Roman" w:cs="Times New Roman"/>
                <w:color w:val="000000" w:themeColor="text1"/>
                <w:sz w:val="24"/>
                <w:highlight w:val="none"/>
                <w:lang w:val="en-US" w:eastAsia="zh-CN"/>
                <w14:textFill>
                  <w14:solidFill>
                    <w14:schemeClr w14:val="tx1"/>
                  </w14:solidFill>
                </w14:textFill>
              </w:rPr>
              <w:t>4</w:t>
            </w:r>
            <w:r>
              <w:rPr>
                <w:rFonts w:hint="default" w:ascii="Times New Roman" w:hAnsi="Times New Roman" w:cs="Times New Roman"/>
                <w:color w:val="000000" w:themeColor="text1"/>
                <w:sz w:val="24"/>
                <w:highlight w:val="none"/>
                <w14:textFill>
                  <w14:solidFill>
                    <w14:schemeClr w14:val="tx1"/>
                  </w14:solidFill>
                </w14:textFill>
              </w:rPr>
              <w:t>-2。</w:t>
            </w:r>
          </w:p>
          <w:p>
            <w:pPr>
              <w:adjustRightInd w:val="0"/>
              <w:snapToGrid w:val="0"/>
              <w:jc w:val="center"/>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表</w:t>
            </w:r>
            <w:r>
              <w:rPr>
                <w:rFonts w:hint="default" w:ascii="Times New Roman" w:hAnsi="Times New Roman" w:cs="Times New Roman"/>
                <w:b/>
                <w:color w:val="000000" w:themeColor="text1"/>
                <w:sz w:val="21"/>
                <w:szCs w:val="21"/>
                <w:highlight w:val="none"/>
                <w:lang w:val="en-US" w:eastAsia="zh-CN"/>
                <w14:textFill>
                  <w14:solidFill>
                    <w14:schemeClr w14:val="tx1"/>
                  </w14:solidFill>
                </w14:textFill>
              </w:rPr>
              <w:t>4</w:t>
            </w:r>
            <w:r>
              <w:rPr>
                <w:rFonts w:hint="default" w:ascii="Times New Roman" w:hAnsi="Times New Roman" w:cs="Times New Roman"/>
                <w:b/>
                <w:color w:val="000000" w:themeColor="text1"/>
                <w:sz w:val="21"/>
                <w:szCs w:val="21"/>
                <w:highlight w:val="none"/>
                <w14:textFill>
                  <w14:solidFill>
                    <w14:schemeClr w14:val="tx1"/>
                  </w14:solidFill>
                </w14:textFill>
              </w:rPr>
              <w:t>-2 环境空气质量评价标准 单位：μg/m</w:t>
            </w:r>
            <w:r>
              <w:rPr>
                <w:rFonts w:hint="default" w:ascii="Times New Roman" w:hAnsi="Times New Roman" w:cs="Times New Roman"/>
                <w:b/>
                <w:color w:val="000000" w:themeColor="text1"/>
                <w:sz w:val="21"/>
                <w:szCs w:val="21"/>
                <w:highlight w:val="none"/>
                <w:vertAlign w:val="superscript"/>
                <w14:textFill>
                  <w14:solidFill>
                    <w14:schemeClr w14:val="tx1"/>
                  </w14:solidFill>
                </w14:textFill>
              </w:rPr>
              <w:t>3</w:t>
            </w:r>
          </w:p>
          <w:tbl>
            <w:tblPr>
              <w:tblStyle w:val="31"/>
              <w:tblW w:w="7050"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91"/>
              <w:gridCol w:w="1477"/>
              <w:gridCol w:w="1737"/>
              <w:gridCol w:w="234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83" w:hRule="atLeast"/>
                <w:jc w:val="center"/>
              </w:trPr>
              <w:tc>
                <w:tcPr>
                  <w:tcW w:w="1491" w:type="dxa"/>
                  <w:tcBorders>
                    <w:tl2br w:val="nil"/>
                    <w:tr2bl w:val="nil"/>
                  </w:tcBorders>
                  <w:noWrap w:val="0"/>
                  <w:vAlign w:val="center"/>
                </w:tcPr>
                <w:p>
                  <w:pPr>
                    <w:adjustRightInd w:val="0"/>
                    <w:snapToGrid w:val="0"/>
                    <w:jc w:val="center"/>
                    <w:rPr>
                      <w:rFonts w:hint="default" w:ascii="Times New Roman" w:hAnsi="Times New Roman" w:eastAsia="宋体" w:cs="Times New Roman"/>
                      <w:b/>
                      <w:color w:val="000000" w:themeColor="text1"/>
                      <w:szCs w:val="21"/>
                      <w:highlight w:val="none"/>
                      <w:lang w:eastAsia="zh-CN"/>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污染物</w:t>
                  </w:r>
                  <w:r>
                    <w:rPr>
                      <w:rFonts w:hint="default" w:ascii="Times New Roman" w:hAnsi="Times New Roman" w:cs="Times New Roman"/>
                      <w:b/>
                      <w:bCs/>
                      <w:color w:val="000000" w:themeColor="text1"/>
                      <w:szCs w:val="21"/>
                      <w:highlight w:val="none"/>
                      <w:lang w:eastAsia="zh-CN"/>
                      <w14:textFill>
                        <w14:solidFill>
                          <w14:schemeClr w14:val="tx1"/>
                        </w14:solidFill>
                      </w14:textFill>
                    </w:rPr>
                    <w:t>项目</w:t>
                  </w:r>
                </w:p>
              </w:tc>
              <w:tc>
                <w:tcPr>
                  <w:tcW w:w="1477" w:type="dxa"/>
                  <w:tcBorders>
                    <w:tl2br w:val="nil"/>
                    <w:tr2bl w:val="nil"/>
                  </w:tcBorders>
                  <w:noWrap w:val="0"/>
                  <w:vAlign w:val="center"/>
                </w:tcPr>
                <w:p>
                  <w:pPr>
                    <w:pStyle w:val="119"/>
                    <w:rPr>
                      <w:rFonts w:hint="default" w:ascii="Times New Roman" w:hAnsi="Times New Roman" w:eastAsia="宋体" w:cs="Times New Roman"/>
                      <w:b/>
                      <w:color w:val="000000" w:themeColor="text1"/>
                      <w:spacing w:val="0"/>
                      <w:sz w:val="21"/>
                      <w:szCs w:val="21"/>
                      <w:highlight w:val="none"/>
                      <w:lang w:eastAsia="zh-CN"/>
                      <w14:textFill>
                        <w14:solidFill>
                          <w14:schemeClr w14:val="tx1"/>
                        </w14:solidFill>
                      </w14:textFill>
                    </w:rPr>
                  </w:pPr>
                  <w:r>
                    <w:rPr>
                      <w:rFonts w:hint="default" w:ascii="Times New Roman" w:hAnsi="Times New Roman" w:eastAsia="宋体" w:cs="Times New Roman"/>
                      <w:b/>
                      <w:color w:val="000000" w:themeColor="text1"/>
                      <w:spacing w:val="0"/>
                      <w:sz w:val="21"/>
                      <w:szCs w:val="21"/>
                      <w:highlight w:val="none"/>
                      <w14:textFill>
                        <w14:solidFill>
                          <w14:schemeClr w14:val="tx1"/>
                        </w14:solidFill>
                      </w14:textFill>
                    </w:rPr>
                    <w:t>平均</w:t>
                  </w:r>
                  <w:r>
                    <w:rPr>
                      <w:rFonts w:hint="default" w:ascii="Times New Roman" w:hAnsi="Times New Roman" w:eastAsia="宋体" w:cs="Times New Roman"/>
                      <w:b/>
                      <w:color w:val="000000" w:themeColor="text1"/>
                      <w:spacing w:val="0"/>
                      <w:sz w:val="21"/>
                      <w:szCs w:val="21"/>
                      <w:highlight w:val="none"/>
                      <w:lang w:eastAsia="zh-CN"/>
                      <w14:textFill>
                        <w14:solidFill>
                          <w14:schemeClr w14:val="tx1"/>
                        </w14:solidFill>
                      </w14:textFill>
                    </w:rPr>
                    <w:t>时间</w:t>
                  </w:r>
                </w:p>
              </w:tc>
              <w:tc>
                <w:tcPr>
                  <w:tcW w:w="1737" w:type="dxa"/>
                  <w:tcBorders>
                    <w:tl2br w:val="nil"/>
                    <w:tr2bl w:val="nil"/>
                  </w:tcBorders>
                  <w:noWrap w:val="0"/>
                  <w:vAlign w:val="center"/>
                </w:tcPr>
                <w:p>
                  <w:pPr>
                    <w:pStyle w:val="119"/>
                    <w:rPr>
                      <w:rFonts w:hint="default" w:ascii="Times New Roman" w:hAnsi="Times New Roman" w:eastAsia="宋体" w:cs="Times New Roman"/>
                      <w:b/>
                      <w:color w:val="000000" w:themeColor="text1"/>
                      <w:spacing w:val="0"/>
                      <w:sz w:val="21"/>
                      <w:szCs w:val="21"/>
                      <w:highlight w:val="none"/>
                      <w:lang w:eastAsia="zh-CN"/>
                      <w14:textFill>
                        <w14:solidFill>
                          <w14:schemeClr w14:val="tx1"/>
                        </w14:solidFill>
                      </w14:textFill>
                    </w:rPr>
                  </w:pPr>
                  <w:r>
                    <w:rPr>
                      <w:rFonts w:hint="default" w:ascii="Times New Roman" w:hAnsi="Times New Roman" w:eastAsia="宋体" w:cs="Times New Roman"/>
                      <w:b/>
                      <w:color w:val="000000" w:themeColor="text1"/>
                      <w:spacing w:val="0"/>
                      <w:sz w:val="21"/>
                      <w:szCs w:val="21"/>
                      <w:highlight w:val="none"/>
                      <w:lang w:eastAsia="zh-CN"/>
                      <w14:textFill>
                        <w14:solidFill>
                          <w14:schemeClr w14:val="tx1"/>
                        </w14:solidFill>
                      </w14:textFill>
                    </w:rPr>
                    <w:t>二级浓度限值</w:t>
                  </w:r>
                </w:p>
              </w:tc>
              <w:tc>
                <w:tcPr>
                  <w:tcW w:w="2345" w:type="dxa"/>
                  <w:tcBorders>
                    <w:tl2br w:val="nil"/>
                    <w:tr2bl w:val="nil"/>
                  </w:tcBorders>
                  <w:noWrap w:val="0"/>
                  <w:vAlign w:val="center"/>
                </w:tcPr>
                <w:p>
                  <w:pPr>
                    <w:adjustRightInd w:val="0"/>
                    <w:snapToGrid w:val="0"/>
                    <w:jc w:val="center"/>
                    <w:rPr>
                      <w:rFonts w:hint="default" w:ascii="Times New Roman" w:hAnsi="Times New Roman" w:eastAsia="宋体" w:cs="Times New Roman"/>
                      <w:b/>
                      <w:color w:val="000000" w:themeColor="text1"/>
                      <w:szCs w:val="21"/>
                      <w:highlight w:val="none"/>
                      <w:lang w:eastAsia="zh-CN"/>
                      <w14:textFill>
                        <w14:solidFill>
                          <w14:schemeClr w14:val="tx1"/>
                        </w14:solidFill>
                      </w14:textFill>
                    </w:rPr>
                  </w:pPr>
                  <w:r>
                    <w:rPr>
                      <w:rFonts w:hint="default" w:ascii="Times New Roman" w:hAnsi="Times New Roman" w:cs="Times New Roman"/>
                      <w:b/>
                      <w:color w:val="000000" w:themeColor="text1"/>
                      <w:szCs w:val="21"/>
                      <w:highlight w:val="none"/>
                      <w:lang w:eastAsia="zh-CN"/>
                      <w14:textFill>
                        <w14:solidFill>
                          <w14:schemeClr w14:val="tx1"/>
                        </w14:solidFill>
                      </w14:textFill>
                    </w:rPr>
                    <w:t>执行标准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491" w:type="dxa"/>
                  <w:vMerge w:val="restart"/>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SO</w:t>
                  </w:r>
                  <w:r>
                    <w:rPr>
                      <w:rFonts w:hint="default" w:ascii="Times New Roman" w:hAnsi="Times New Roman" w:eastAsia="宋体" w:cs="Times New Roman"/>
                      <w:color w:val="000000" w:themeColor="text1"/>
                      <w:spacing w:val="0"/>
                      <w:sz w:val="21"/>
                      <w:szCs w:val="21"/>
                      <w:highlight w:val="none"/>
                      <w:vertAlign w:val="subscript"/>
                      <w14:textFill>
                        <w14:solidFill>
                          <w14:schemeClr w14:val="tx1"/>
                        </w14:solidFill>
                      </w14:textFill>
                    </w:rPr>
                    <w:t>2</w:t>
                  </w:r>
                </w:p>
              </w:tc>
              <w:tc>
                <w:tcPr>
                  <w:tcW w:w="147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年平均</w:t>
                  </w:r>
                </w:p>
              </w:tc>
              <w:tc>
                <w:tcPr>
                  <w:tcW w:w="173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60</w:t>
                  </w:r>
                </w:p>
              </w:tc>
              <w:tc>
                <w:tcPr>
                  <w:tcW w:w="2345" w:type="dxa"/>
                  <w:vMerge w:val="restart"/>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《环境空气质量标准》(GB3095-2012)二级标准</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及</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2018年</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修改单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491" w:type="dxa"/>
                  <w:vMerge w:val="continue"/>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p>
              </w:tc>
              <w:tc>
                <w:tcPr>
                  <w:tcW w:w="147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24小时平均</w:t>
                  </w:r>
                </w:p>
              </w:tc>
              <w:tc>
                <w:tcPr>
                  <w:tcW w:w="173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150</w:t>
                  </w:r>
                </w:p>
              </w:tc>
              <w:tc>
                <w:tcPr>
                  <w:tcW w:w="2345" w:type="dxa"/>
                  <w:vMerge w:val="continue"/>
                  <w:tcBorders>
                    <w:tl2br w:val="nil"/>
                    <w:tr2bl w:val="nil"/>
                  </w:tcBorders>
                  <w:noWrap w:val="0"/>
                  <w:vAlign w:val="center"/>
                </w:tcPr>
                <w:p>
                  <w:pPr>
                    <w:pStyle w:val="119"/>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90" w:hRule="atLeast"/>
                <w:jc w:val="center"/>
              </w:trPr>
              <w:tc>
                <w:tcPr>
                  <w:tcW w:w="1491" w:type="dxa"/>
                  <w:vMerge w:val="continue"/>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p>
              </w:tc>
              <w:tc>
                <w:tcPr>
                  <w:tcW w:w="147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1小时平均</w:t>
                  </w:r>
                </w:p>
              </w:tc>
              <w:tc>
                <w:tcPr>
                  <w:tcW w:w="173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200</w:t>
                  </w:r>
                </w:p>
              </w:tc>
              <w:tc>
                <w:tcPr>
                  <w:tcW w:w="2345" w:type="dxa"/>
                  <w:vMerge w:val="continue"/>
                  <w:tcBorders>
                    <w:tl2br w:val="nil"/>
                    <w:tr2bl w:val="nil"/>
                  </w:tcBorders>
                  <w:noWrap w:val="0"/>
                  <w:vAlign w:val="center"/>
                </w:tcPr>
                <w:p>
                  <w:pPr>
                    <w:pStyle w:val="119"/>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491" w:type="dxa"/>
                  <w:vMerge w:val="restart"/>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NO</w:t>
                  </w:r>
                  <w:r>
                    <w:rPr>
                      <w:rFonts w:hint="default" w:ascii="Times New Roman" w:hAnsi="Times New Roman" w:eastAsia="宋体" w:cs="Times New Roman"/>
                      <w:color w:val="000000" w:themeColor="text1"/>
                      <w:spacing w:val="0"/>
                      <w:sz w:val="21"/>
                      <w:szCs w:val="21"/>
                      <w:highlight w:val="none"/>
                      <w:vertAlign w:val="subscript"/>
                      <w14:textFill>
                        <w14:solidFill>
                          <w14:schemeClr w14:val="tx1"/>
                        </w14:solidFill>
                      </w14:textFill>
                    </w:rPr>
                    <w:t>2</w:t>
                  </w:r>
                </w:p>
              </w:tc>
              <w:tc>
                <w:tcPr>
                  <w:tcW w:w="147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年平均</w:t>
                  </w:r>
                </w:p>
              </w:tc>
              <w:tc>
                <w:tcPr>
                  <w:tcW w:w="173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40</w:t>
                  </w:r>
                </w:p>
              </w:tc>
              <w:tc>
                <w:tcPr>
                  <w:tcW w:w="2345" w:type="dxa"/>
                  <w:vMerge w:val="continue"/>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491" w:type="dxa"/>
                  <w:vMerge w:val="continue"/>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p>
              </w:tc>
              <w:tc>
                <w:tcPr>
                  <w:tcW w:w="147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24小时平均</w:t>
                  </w:r>
                </w:p>
              </w:tc>
              <w:tc>
                <w:tcPr>
                  <w:tcW w:w="173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80</w:t>
                  </w:r>
                </w:p>
              </w:tc>
              <w:tc>
                <w:tcPr>
                  <w:tcW w:w="2345" w:type="dxa"/>
                  <w:vMerge w:val="continue"/>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491" w:type="dxa"/>
                  <w:vMerge w:val="continue"/>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p>
              </w:tc>
              <w:tc>
                <w:tcPr>
                  <w:tcW w:w="147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1小时平均</w:t>
                  </w:r>
                </w:p>
              </w:tc>
              <w:tc>
                <w:tcPr>
                  <w:tcW w:w="173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200</w:t>
                  </w:r>
                </w:p>
              </w:tc>
              <w:tc>
                <w:tcPr>
                  <w:tcW w:w="2345" w:type="dxa"/>
                  <w:vMerge w:val="continue"/>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491" w:type="dxa"/>
                  <w:vMerge w:val="restart"/>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TSP</w:t>
                  </w:r>
                </w:p>
              </w:tc>
              <w:tc>
                <w:tcPr>
                  <w:tcW w:w="147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年平均</w:t>
                  </w:r>
                </w:p>
              </w:tc>
              <w:tc>
                <w:tcPr>
                  <w:tcW w:w="173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200</w:t>
                  </w:r>
                </w:p>
              </w:tc>
              <w:tc>
                <w:tcPr>
                  <w:tcW w:w="2345" w:type="dxa"/>
                  <w:vMerge w:val="continue"/>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90" w:hRule="atLeast"/>
                <w:jc w:val="center"/>
              </w:trPr>
              <w:tc>
                <w:tcPr>
                  <w:tcW w:w="1491" w:type="dxa"/>
                  <w:vMerge w:val="continue"/>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p>
              </w:tc>
              <w:tc>
                <w:tcPr>
                  <w:tcW w:w="147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24小时平均</w:t>
                  </w:r>
                </w:p>
              </w:tc>
              <w:tc>
                <w:tcPr>
                  <w:tcW w:w="173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300</w:t>
                  </w:r>
                </w:p>
              </w:tc>
              <w:tc>
                <w:tcPr>
                  <w:tcW w:w="2345" w:type="dxa"/>
                  <w:vMerge w:val="continue"/>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90" w:hRule="atLeast"/>
                <w:jc w:val="center"/>
              </w:trPr>
              <w:tc>
                <w:tcPr>
                  <w:tcW w:w="1491" w:type="dxa"/>
                  <w:vMerge w:val="restart"/>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PM</w:t>
                  </w:r>
                  <w:r>
                    <w:rPr>
                      <w:rFonts w:hint="default" w:ascii="Times New Roman" w:hAnsi="Times New Roman" w:eastAsia="宋体" w:cs="Times New Roman"/>
                      <w:color w:val="000000" w:themeColor="text1"/>
                      <w:spacing w:val="0"/>
                      <w:sz w:val="21"/>
                      <w:szCs w:val="21"/>
                      <w:highlight w:val="none"/>
                      <w:vertAlign w:val="subscript"/>
                      <w14:textFill>
                        <w14:solidFill>
                          <w14:schemeClr w14:val="tx1"/>
                        </w14:solidFill>
                      </w14:textFill>
                    </w:rPr>
                    <w:t>10</w:t>
                  </w:r>
                </w:p>
              </w:tc>
              <w:tc>
                <w:tcPr>
                  <w:tcW w:w="147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年平均</w:t>
                  </w:r>
                </w:p>
              </w:tc>
              <w:tc>
                <w:tcPr>
                  <w:tcW w:w="173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70</w:t>
                  </w:r>
                </w:p>
              </w:tc>
              <w:tc>
                <w:tcPr>
                  <w:tcW w:w="2345" w:type="dxa"/>
                  <w:vMerge w:val="continue"/>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491" w:type="dxa"/>
                  <w:vMerge w:val="continue"/>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p>
              </w:tc>
              <w:tc>
                <w:tcPr>
                  <w:tcW w:w="147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24小时平均</w:t>
                  </w:r>
                </w:p>
              </w:tc>
              <w:tc>
                <w:tcPr>
                  <w:tcW w:w="173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150</w:t>
                  </w:r>
                </w:p>
              </w:tc>
              <w:tc>
                <w:tcPr>
                  <w:tcW w:w="2345" w:type="dxa"/>
                  <w:vMerge w:val="continue"/>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491" w:type="dxa"/>
                  <w:vMerge w:val="restart"/>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PM</w:t>
                  </w:r>
                  <w:r>
                    <w:rPr>
                      <w:rFonts w:hint="default" w:ascii="Times New Roman" w:hAnsi="Times New Roman" w:eastAsia="宋体" w:cs="Times New Roman"/>
                      <w:color w:val="000000" w:themeColor="text1"/>
                      <w:spacing w:val="0"/>
                      <w:sz w:val="21"/>
                      <w:szCs w:val="21"/>
                      <w:highlight w:val="none"/>
                      <w:vertAlign w:val="subscript"/>
                      <w:lang w:val="en-US" w:eastAsia="zh-CN"/>
                      <w14:textFill>
                        <w14:solidFill>
                          <w14:schemeClr w14:val="tx1"/>
                        </w14:solidFill>
                      </w14:textFill>
                    </w:rPr>
                    <w:t>2.5</w:t>
                  </w:r>
                </w:p>
              </w:tc>
              <w:tc>
                <w:tcPr>
                  <w:tcW w:w="147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年平均</w:t>
                  </w:r>
                </w:p>
              </w:tc>
              <w:tc>
                <w:tcPr>
                  <w:tcW w:w="173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35</w:t>
                  </w:r>
                </w:p>
              </w:tc>
              <w:tc>
                <w:tcPr>
                  <w:tcW w:w="2345" w:type="dxa"/>
                  <w:vMerge w:val="continue"/>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491" w:type="dxa"/>
                  <w:vMerge w:val="continue"/>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p>
              </w:tc>
              <w:tc>
                <w:tcPr>
                  <w:tcW w:w="147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24小时平均</w:t>
                  </w:r>
                </w:p>
              </w:tc>
              <w:tc>
                <w:tcPr>
                  <w:tcW w:w="173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75</w:t>
                  </w:r>
                </w:p>
              </w:tc>
              <w:tc>
                <w:tcPr>
                  <w:tcW w:w="2345" w:type="dxa"/>
                  <w:vMerge w:val="continue"/>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491" w:type="dxa"/>
                  <w:tcBorders>
                    <w:tl2br w:val="nil"/>
                    <w:tr2bl w:val="nil"/>
                  </w:tcBorders>
                  <w:noWrap w:val="0"/>
                  <w:vAlign w:val="center"/>
                </w:tcPr>
                <w:p>
                  <w:pPr>
                    <w:pStyle w:val="119"/>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NH</w:t>
                  </w:r>
                  <w:r>
                    <w:rPr>
                      <w:rFonts w:hint="default" w:ascii="Times New Roman" w:hAnsi="Times New Roman" w:eastAsia="宋体" w:cs="Times New Roman"/>
                      <w:color w:val="000000" w:themeColor="text1"/>
                      <w:sz w:val="21"/>
                      <w:szCs w:val="21"/>
                      <w:highlight w:val="none"/>
                      <w:vertAlign w:val="subscript"/>
                      <w14:textFill>
                        <w14:solidFill>
                          <w14:schemeClr w14:val="tx1"/>
                        </w14:solidFill>
                      </w14:textFill>
                    </w:rPr>
                    <w:t>3</w:t>
                  </w:r>
                </w:p>
              </w:tc>
              <w:tc>
                <w:tcPr>
                  <w:tcW w:w="147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一次</w:t>
                  </w:r>
                </w:p>
              </w:tc>
              <w:tc>
                <w:tcPr>
                  <w:tcW w:w="173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0.2</w:t>
                  </w:r>
                  <w:r>
                    <w:rPr>
                      <w:rFonts w:hint="default" w:ascii="Times New Roman" w:hAnsi="Times New Roman" w:eastAsia="宋体" w:cs="Times New Roman"/>
                      <w:b/>
                      <w:color w:val="000000" w:themeColor="text1"/>
                      <w:spacing w:val="0"/>
                      <w:sz w:val="21"/>
                      <w:szCs w:val="21"/>
                      <w:highlight w:val="none"/>
                      <w14:textFill>
                        <w14:solidFill>
                          <w14:schemeClr w14:val="tx1"/>
                        </w14:solidFill>
                      </w14:textFill>
                    </w:rPr>
                    <w:t xml:space="preserve"> </w:t>
                  </w: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mg/m</w:t>
                  </w:r>
                  <w:r>
                    <w:rPr>
                      <w:rFonts w:hint="default" w:ascii="Times New Roman" w:hAnsi="Times New Roman" w:eastAsia="宋体" w:cs="Times New Roman"/>
                      <w:color w:val="000000" w:themeColor="text1"/>
                      <w:spacing w:val="0"/>
                      <w:sz w:val="21"/>
                      <w:szCs w:val="21"/>
                      <w:highlight w:val="none"/>
                      <w:vertAlign w:val="superscript"/>
                      <w14:textFill>
                        <w14:solidFill>
                          <w14:schemeClr w14:val="tx1"/>
                        </w14:solidFill>
                      </w14:textFill>
                    </w:rPr>
                    <w:t>3</w:t>
                  </w:r>
                </w:p>
              </w:tc>
              <w:tc>
                <w:tcPr>
                  <w:tcW w:w="2345" w:type="dxa"/>
                  <w:vMerge w:val="restart"/>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《工业企业设计卫生标准》（TJ36-79）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491" w:type="dxa"/>
                  <w:tcBorders>
                    <w:tl2br w:val="nil"/>
                    <w:tr2bl w:val="nil"/>
                  </w:tcBorders>
                  <w:noWrap w:val="0"/>
                  <w:vAlign w:val="center"/>
                </w:tcPr>
                <w:p>
                  <w:pPr>
                    <w:pStyle w:val="119"/>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H</w:t>
                  </w:r>
                  <w:r>
                    <w:rPr>
                      <w:rFonts w:hint="default" w:ascii="Times New Roman" w:hAnsi="Times New Roman" w:eastAsia="宋体" w:cs="Times New Roman"/>
                      <w:color w:val="000000" w:themeColor="text1"/>
                      <w:sz w:val="21"/>
                      <w:szCs w:val="21"/>
                      <w:highlight w:val="none"/>
                      <w:vertAlign w:val="subscript"/>
                      <w14:textFill>
                        <w14:solidFill>
                          <w14:schemeClr w14:val="tx1"/>
                        </w14:solidFill>
                      </w14:textFill>
                    </w:rPr>
                    <w:t>2</w:t>
                  </w:r>
                  <w:r>
                    <w:rPr>
                      <w:rFonts w:hint="default" w:ascii="Times New Roman" w:hAnsi="Times New Roman" w:eastAsia="宋体" w:cs="Times New Roman"/>
                      <w:color w:val="000000" w:themeColor="text1"/>
                      <w:sz w:val="21"/>
                      <w:szCs w:val="21"/>
                      <w:highlight w:val="none"/>
                      <w14:textFill>
                        <w14:solidFill>
                          <w14:schemeClr w14:val="tx1"/>
                        </w14:solidFill>
                      </w14:textFill>
                    </w:rPr>
                    <w:t>S</w:t>
                  </w:r>
                </w:p>
              </w:tc>
              <w:tc>
                <w:tcPr>
                  <w:tcW w:w="147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一次</w:t>
                  </w:r>
                </w:p>
              </w:tc>
              <w:tc>
                <w:tcPr>
                  <w:tcW w:w="173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0.01</w:t>
                  </w:r>
                  <w:r>
                    <w:rPr>
                      <w:rFonts w:hint="default" w:ascii="Times New Roman" w:hAnsi="Times New Roman" w:eastAsia="宋体" w:cs="Times New Roman"/>
                      <w:b/>
                      <w:color w:val="000000" w:themeColor="text1"/>
                      <w:spacing w:val="0"/>
                      <w:sz w:val="21"/>
                      <w:szCs w:val="21"/>
                      <w:highlight w:val="none"/>
                      <w14:textFill>
                        <w14:solidFill>
                          <w14:schemeClr w14:val="tx1"/>
                        </w14:solidFill>
                      </w14:textFill>
                    </w:rPr>
                    <w:t xml:space="preserve"> </w:t>
                  </w: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mg/m</w:t>
                  </w:r>
                  <w:r>
                    <w:rPr>
                      <w:rFonts w:hint="default" w:ascii="Times New Roman" w:hAnsi="Times New Roman" w:eastAsia="宋体" w:cs="Times New Roman"/>
                      <w:color w:val="000000" w:themeColor="text1"/>
                      <w:spacing w:val="0"/>
                      <w:sz w:val="21"/>
                      <w:szCs w:val="21"/>
                      <w:highlight w:val="none"/>
                      <w:vertAlign w:val="superscript"/>
                      <w14:textFill>
                        <w14:solidFill>
                          <w14:schemeClr w14:val="tx1"/>
                        </w14:solidFill>
                      </w14:textFill>
                    </w:rPr>
                    <w:t>3</w:t>
                  </w:r>
                </w:p>
              </w:tc>
              <w:tc>
                <w:tcPr>
                  <w:tcW w:w="2345" w:type="dxa"/>
                  <w:vMerge w:val="continue"/>
                  <w:tcBorders>
                    <w:tl2br w:val="nil"/>
                    <w:tr2bl w:val="nil"/>
                  </w:tcBorders>
                  <w:noWrap w:val="0"/>
                  <w:vAlign w:val="center"/>
                </w:tcPr>
                <w:p>
                  <w:pPr>
                    <w:pStyle w:val="119"/>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491" w:type="dxa"/>
                  <w:tcBorders>
                    <w:tl2br w:val="nil"/>
                    <w:tr2bl w:val="nil"/>
                  </w:tcBorders>
                  <w:noWrap w:val="0"/>
                  <w:vAlign w:val="center"/>
                </w:tcPr>
                <w:p>
                  <w:pPr>
                    <w:pStyle w:val="119"/>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臭气浓度</w:t>
                  </w:r>
                </w:p>
              </w:tc>
              <w:tc>
                <w:tcPr>
                  <w:tcW w:w="147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一次值</w:t>
                  </w:r>
                </w:p>
              </w:tc>
              <w:tc>
                <w:tcPr>
                  <w:tcW w:w="173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20（无量纲）</w:t>
                  </w:r>
                </w:p>
              </w:tc>
              <w:tc>
                <w:tcPr>
                  <w:tcW w:w="2345" w:type="dxa"/>
                  <w:tcBorders>
                    <w:tl2br w:val="nil"/>
                    <w:tr2bl w:val="nil"/>
                  </w:tcBorders>
                  <w:noWrap w:val="0"/>
                  <w:vAlign w:val="center"/>
                </w:tcPr>
                <w:p>
                  <w:pPr>
                    <w:pStyle w:val="119"/>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《恶臭污染物排放标准》（</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GB14554-93</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p>
              </w:tc>
            </w:tr>
          </w:tbl>
          <w:p>
            <w:pPr>
              <w:pStyle w:val="47"/>
              <w:adjustRightInd w:val="0"/>
              <w:snapToGrid/>
              <w:ind w:firstLine="480" w:firstLineChars="200"/>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r>
              <w:rPr>
                <w:rFonts w:hint="default" w:ascii="Times New Roman" w:hAnsi="Times New Roman" w:cs="Times New Roman"/>
                <w:color w:val="000000" w:themeColor="text1"/>
                <w:sz w:val="24"/>
                <w:highlight w:val="none"/>
                <w:lang w:eastAsia="zh-CN"/>
                <w14:textFill>
                  <w14:solidFill>
                    <w14:schemeClr w14:val="tx1"/>
                  </w14:solidFill>
                </w14:textFill>
              </w:rPr>
              <w:t>根据《揭阳市环境保护规划（</w:t>
            </w:r>
            <w:r>
              <w:rPr>
                <w:rFonts w:hint="default" w:ascii="Times New Roman" w:hAnsi="Times New Roman" w:cs="Times New Roman"/>
                <w:color w:val="000000" w:themeColor="text1"/>
                <w:sz w:val="24"/>
                <w:highlight w:val="none"/>
                <w:lang w:val="en-US" w:eastAsia="zh-CN"/>
                <w14:textFill>
                  <w14:solidFill>
                    <w14:schemeClr w14:val="tx1"/>
                  </w14:solidFill>
                </w14:textFill>
              </w:rPr>
              <w:t>2007年~2020年</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项目所在区域</w:t>
            </w:r>
            <w:r>
              <w:rPr>
                <w:rFonts w:hint="default" w:ascii="Times New Roman" w:hAnsi="Times New Roman" w:cs="Times New Roman"/>
                <w:color w:val="000000" w:themeColor="text1"/>
                <w:sz w:val="24"/>
                <w:highlight w:val="none"/>
                <w:lang w:eastAsia="zh-CN"/>
                <w14:textFill>
                  <w14:solidFill>
                    <w14:schemeClr w14:val="tx1"/>
                  </w14:solidFill>
                </w14:textFill>
              </w:rPr>
              <w:t>属于</w:t>
            </w:r>
            <w:r>
              <w:rPr>
                <w:rFonts w:hint="default" w:ascii="Times New Roman" w:hAnsi="Times New Roman" w:cs="Times New Roman"/>
                <w:color w:val="000000" w:themeColor="text1"/>
                <w:sz w:val="24"/>
                <w:highlight w:val="none"/>
                <w:lang w:val="en-US" w:eastAsia="zh-CN"/>
                <w14:textFill>
                  <w14:solidFill>
                    <w14:schemeClr w14:val="tx1"/>
                  </w14:solidFill>
                </w14:textFill>
              </w:rPr>
              <w:t>2类声环境功能区，</w:t>
            </w:r>
            <w:r>
              <w:rPr>
                <w:rFonts w:hint="default" w:ascii="Times New Roman" w:hAnsi="Times New Roman" w:cs="Times New Roman"/>
                <w:color w:val="000000" w:themeColor="text1"/>
                <w:sz w:val="24"/>
                <w:lang w:val="en-US" w:eastAsia="zh-CN"/>
                <w14:textFill>
                  <w14:solidFill>
                    <w14:schemeClr w14:val="tx1"/>
                  </w14:solidFill>
                </w14:textFill>
              </w:rPr>
              <w:t>执行2类标准。因项目</w:t>
            </w:r>
            <w:r>
              <w:rPr>
                <w:rFonts w:hint="eastAsia" w:ascii="Times New Roman" w:cs="Times New Roman"/>
                <w:color w:val="000000" w:themeColor="text1"/>
                <w:sz w:val="24"/>
                <w:lang w:val="en-US" w:eastAsia="zh-CN"/>
                <w14:textFill>
                  <w14:solidFill>
                    <w14:schemeClr w14:val="tx1"/>
                  </w14:solidFill>
                </w14:textFill>
              </w:rPr>
              <w:t>北</w:t>
            </w:r>
            <w:r>
              <w:rPr>
                <w:rFonts w:hint="default" w:ascii="Times New Roman" w:hAnsi="Times New Roman" w:cs="Times New Roman"/>
                <w:color w:val="000000" w:themeColor="text1"/>
                <w:sz w:val="24"/>
                <w:lang w:val="en-US" w:eastAsia="zh-CN"/>
                <w14:textFill>
                  <w14:solidFill>
                    <w14:schemeClr w14:val="tx1"/>
                  </w14:solidFill>
                </w14:textFill>
              </w:rPr>
              <w:t>侧为</w:t>
            </w:r>
            <w:r>
              <w:rPr>
                <w:rFonts w:hint="eastAsia" w:ascii="Times New Roman" w:cs="Times New Roman"/>
                <w:color w:val="000000" w:themeColor="text1"/>
                <w:sz w:val="24"/>
                <w:lang w:val="en-US" w:eastAsia="zh-CN"/>
                <w14:textFill>
                  <w14:solidFill>
                    <w14:schemeClr w14:val="tx1"/>
                  </w14:solidFill>
                </w14:textFill>
              </w:rPr>
              <w:t>公路</w:t>
            </w:r>
            <w:r>
              <w:rPr>
                <w:rFonts w:hint="default" w:ascii="Times New Roman" w:hAnsi="Times New Roman" w:cs="Times New Roman"/>
                <w:color w:val="000000" w:themeColor="text1"/>
                <w:sz w:val="24"/>
                <w:lang w:val="en-US" w:eastAsia="zh-CN"/>
                <w14:textFill>
                  <w14:solidFill>
                    <w14:schemeClr w14:val="tx1"/>
                  </w14:solidFill>
                </w14:textFill>
              </w:rPr>
              <w:t>，根据《声环境功能区划分技术规范》（GB/T15190-2014），区域执行</w:t>
            </w:r>
            <w:r>
              <w:rPr>
                <w:rFonts w:hint="default" w:ascii="Times New Roman" w:hAnsi="Times New Roman" w:cs="Times New Roman"/>
                <w:color w:val="000000" w:themeColor="text1"/>
                <w:sz w:val="24"/>
                <w:highlight w:val="none"/>
                <w:lang w:val="en-US" w:eastAsia="zh-CN"/>
                <w14:textFill>
                  <w14:solidFill>
                    <w14:schemeClr w14:val="tx1"/>
                  </w14:solidFill>
                </w14:textFill>
              </w:rPr>
              <w:t>《声环境质量标准》（GB3096-2008）4a类标准，但由于本项目为医院，属于特殊敏感建筑物，参考《关于公路、铁路（含轻轨）等建设项目环境影响评价中环境噪声有关问题的通知》（环发[2003]94号）的相关要求，公路、铁路（含轻轨）评价范围内的学校、医院（疗养院、敬老院）等特殊敏感建筑物，其室外昼间按60分贝、夜间按50分贝执行</w:t>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highlight w:val="none"/>
                <w:lang w:eastAsia="zh-CN"/>
                <w14:textFill>
                  <w14:solidFill>
                    <w14:schemeClr w14:val="tx1"/>
                  </w14:solidFill>
                </w14:textFill>
              </w:rPr>
              <w:t>项目具体执行标准见表</w:t>
            </w:r>
            <w:r>
              <w:rPr>
                <w:rFonts w:hint="default" w:ascii="Times New Roman" w:hAnsi="Times New Roman" w:cs="Times New Roman"/>
                <w:color w:val="000000" w:themeColor="text1"/>
                <w:sz w:val="24"/>
                <w:highlight w:val="none"/>
                <w:lang w:val="en-US" w:eastAsia="zh-CN"/>
                <w14:textFill>
                  <w14:solidFill>
                    <w14:schemeClr w14:val="tx1"/>
                  </w14:solidFill>
                </w14:textFill>
              </w:rPr>
              <w:t>4-3。</w:t>
            </w:r>
          </w:p>
          <w:p>
            <w:pPr>
              <w:adjustRightInd w:val="0"/>
              <w:snapToGrid w:val="0"/>
              <w:jc w:val="center"/>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表</w:t>
            </w:r>
            <w:r>
              <w:rPr>
                <w:rFonts w:hint="default" w:ascii="Times New Roman" w:hAnsi="Times New Roman" w:cs="Times New Roman"/>
                <w:b/>
                <w:color w:val="000000" w:themeColor="text1"/>
                <w:sz w:val="21"/>
                <w:szCs w:val="21"/>
                <w:highlight w:val="none"/>
                <w:lang w:val="en-US" w:eastAsia="zh-CN"/>
                <w14:textFill>
                  <w14:solidFill>
                    <w14:schemeClr w14:val="tx1"/>
                  </w14:solidFill>
                </w14:textFill>
              </w:rPr>
              <w:t>4</w:t>
            </w:r>
            <w:r>
              <w:rPr>
                <w:rFonts w:hint="default" w:ascii="Times New Roman" w:hAnsi="Times New Roman" w:cs="Times New Roman"/>
                <w:b/>
                <w:color w:val="000000" w:themeColor="text1"/>
                <w:sz w:val="21"/>
                <w:szCs w:val="21"/>
                <w:highlight w:val="none"/>
                <w14:textFill>
                  <w14:solidFill>
                    <w14:schemeClr w14:val="tx1"/>
                  </w14:solidFill>
                </w14:textFill>
              </w:rPr>
              <w:t>-3 《声环境质量标准》（GB3096-2008） 单位：dB(A)</w:t>
            </w:r>
          </w:p>
          <w:tbl>
            <w:tblPr>
              <w:tblStyle w:val="31"/>
              <w:tblW w:w="8365" w:type="dxa"/>
              <w:jc w:val="center"/>
              <w:tblInd w:w="-415"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607"/>
              <w:gridCol w:w="2774"/>
              <w:gridCol w:w="709"/>
              <w:gridCol w:w="654"/>
              <w:gridCol w:w="262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1607" w:type="dxa"/>
                  <w:tcBorders>
                    <w:tl2br w:val="nil"/>
                    <w:tr2bl w:val="nil"/>
                  </w:tcBorders>
                  <w:noWrap w:val="0"/>
                  <w:vAlign w:val="center"/>
                </w:tcPr>
                <w:p>
                  <w:pPr>
                    <w:adjustRightIn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lang w:eastAsia="zh-CN"/>
                      <w14:textFill>
                        <w14:solidFill>
                          <w14:schemeClr w14:val="tx1"/>
                        </w14:solidFill>
                      </w14:textFill>
                    </w:rPr>
                    <w:t>声功能区</w:t>
                  </w:r>
                  <w:r>
                    <w:rPr>
                      <w:rFonts w:hint="default" w:ascii="Times New Roman" w:hAnsi="Times New Roman" w:cs="Times New Roman"/>
                      <w:b/>
                      <w:color w:val="000000" w:themeColor="text1"/>
                      <w:szCs w:val="21"/>
                      <w:highlight w:val="none"/>
                      <w14:textFill>
                        <w14:solidFill>
                          <w14:schemeClr w14:val="tx1"/>
                        </w14:solidFill>
                      </w14:textFill>
                    </w:rPr>
                    <w:t>类别</w:t>
                  </w:r>
                </w:p>
              </w:tc>
              <w:tc>
                <w:tcPr>
                  <w:tcW w:w="2774" w:type="dxa"/>
                  <w:tcBorders>
                    <w:tl2br w:val="nil"/>
                    <w:tr2bl w:val="nil"/>
                  </w:tcBorders>
                  <w:noWrap w:val="0"/>
                  <w:vAlign w:val="center"/>
                </w:tcPr>
                <w:p>
                  <w:pPr>
                    <w:adjustRightInd w:val="0"/>
                    <w:jc w:val="center"/>
                    <w:rPr>
                      <w:rFonts w:hint="default" w:ascii="Times New Roman" w:hAnsi="Times New Roman" w:eastAsia="宋体" w:cs="Times New Roman"/>
                      <w:b/>
                      <w:color w:val="000000" w:themeColor="text1"/>
                      <w:szCs w:val="21"/>
                      <w:highlight w:val="none"/>
                      <w:lang w:eastAsia="zh-CN"/>
                      <w14:textFill>
                        <w14:solidFill>
                          <w14:schemeClr w14:val="tx1"/>
                        </w14:solidFill>
                      </w14:textFill>
                    </w:rPr>
                  </w:pPr>
                  <w:r>
                    <w:rPr>
                      <w:rFonts w:hint="default" w:ascii="Times New Roman" w:hAnsi="Times New Roman" w:cs="Times New Roman"/>
                      <w:b/>
                      <w:color w:val="000000" w:themeColor="text1"/>
                      <w:szCs w:val="21"/>
                      <w:highlight w:val="none"/>
                      <w:lang w:eastAsia="zh-CN"/>
                      <w14:textFill>
                        <w14:solidFill>
                          <w14:schemeClr w14:val="tx1"/>
                        </w14:solidFill>
                      </w14:textFill>
                    </w:rPr>
                    <w:t>适用地带范围</w:t>
                  </w:r>
                </w:p>
              </w:tc>
              <w:tc>
                <w:tcPr>
                  <w:tcW w:w="709" w:type="dxa"/>
                  <w:tcBorders>
                    <w:tl2br w:val="nil"/>
                    <w:tr2bl w:val="nil"/>
                  </w:tcBorders>
                  <w:noWrap w:val="0"/>
                  <w:vAlign w:val="center"/>
                </w:tcPr>
                <w:p>
                  <w:pPr>
                    <w:adjustRightIn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昼间</w:t>
                  </w:r>
                </w:p>
              </w:tc>
              <w:tc>
                <w:tcPr>
                  <w:tcW w:w="654" w:type="dxa"/>
                  <w:tcBorders>
                    <w:tl2br w:val="nil"/>
                    <w:tr2bl w:val="nil"/>
                  </w:tcBorders>
                  <w:noWrap w:val="0"/>
                  <w:vAlign w:val="center"/>
                </w:tcPr>
                <w:p>
                  <w:pPr>
                    <w:adjustRightIn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夜间</w:t>
                  </w:r>
                </w:p>
              </w:tc>
              <w:tc>
                <w:tcPr>
                  <w:tcW w:w="2621" w:type="dxa"/>
                  <w:tcBorders>
                    <w:tl2br w:val="nil"/>
                    <w:tr2bl w:val="nil"/>
                  </w:tcBorders>
                  <w:noWrap w:val="0"/>
                  <w:vAlign w:val="center"/>
                </w:tcPr>
                <w:p>
                  <w:pPr>
                    <w:adjustRightInd w:val="0"/>
                    <w:jc w:val="center"/>
                    <w:rPr>
                      <w:rFonts w:hint="default" w:ascii="Times New Roman" w:hAnsi="Times New Roman" w:eastAsia="宋体" w:cs="Times New Roman"/>
                      <w:b/>
                      <w:color w:val="000000" w:themeColor="text1"/>
                      <w:szCs w:val="21"/>
                      <w:highlight w:val="none"/>
                      <w:lang w:eastAsia="zh-CN"/>
                      <w14:textFill>
                        <w14:solidFill>
                          <w14:schemeClr w14:val="tx1"/>
                        </w14:solidFill>
                      </w14:textFill>
                    </w:rPr>
                  </w:pPr>
                  <w:r>
                    <w:rPr>
                      <w:rFonts w:hint="default" w:ascii="Times New Roman" w:hAnsi="Times New Roman" w:cs="Times New Roman"/>
                      <w:b/>
                      <w:color w:val="000000" w:themeColor="text1"/>
                      <w:szCs w:val="21"/>
                      <w:highlight w:val="none"/>
                      <w:lang w:eastAsia="zh-CN"/>
                      <w14:textFill>
                        <w14:solidFill>
                          <w14:schemeClr w14:val="tx1"/>
                        </w14:solidFill>
                      </w14:textFill>
                    </w:rPr>
                    <w:t>执行标准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1607" w:type="dxa"/>
                  <w:tcBorders>
                    <w:tl2br w:val="nil"/>
                    <w:tr2bl w:val="nil"/>
                  </w:tcBorders>
                  <w:noWrap w:val="0"/>
                  <w:vAlign w:val="center"/>
                </w:tcPr>
                <w:p>
                  <w:pPr>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2</w:t>
                  </w:r>
                  <w:r>
                    <w:rPr>
                      <w:rFonts w:hint="default" w:ascii="Times New Roman" w:hAnsi="Times New Roman" w:cs="Times New Roman"/>
                      <w:color w:val="000000" w:themeColor="text1"/>
                      <w:szCs w:val="21"/>
                      <w:highlight w:val="none"/>
                      <w14:textFill>
                        <w14:solidFill>
                          <w14:schemeClr w14:val="tx1"/>
                        </w14:solidFill>
                      </w14:textFill>
                    </w:rPr>
                    <w:t>类</w:t>
                  </w:r>
                </w:p>
              </w:tc>
              <w:tc>
                <w:tcPr>
                  <w:tcW w:w="2774" w:type="dxa"/>
                  <w:tcBorders>
                    <w:tl2br w:val="nil"/>
                    <w:tr2bl w:val="nil"/>
                  </w:tcBorders>
                  <w:noWrap w:val="0"/>
                  <w:vAlign w:val="center"/>
                </w:tcPr>
                <w:p>
                  <w:pPr>
                    <w:adjustRightInd w:val="0"/>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居住、商业、工业混杂</w:t>
                  </w:r>
                </w:p>
              </w:tc>
              <w:tc>
                <w:tcPr>
                  <w:tcW w:w="709" w:type="dxa"/>
                  <w:tcBorders>
                    <w:tl2br w:val="nil"/>
                    <w:tr2bl w:val="nil"/>
                  </w:tcBorders>
                  <w:noWrap w:val="0"/>
                  <w:vAlign w:val="center"/>
                </w:tcPr>
                <w:p>
                  <w:pPr>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w:t>
                  </w:r>
                  <w:r>
                    <w:rPr>
                      <w:rFonts w:hint="default" w:ascii="Times New Roman" w:hAnsi="Times New Roman" w:cs="Times New Roman"/>
                      <w:color w:val="000000" w:themeColor="text1"/>
                      <w:szCs w:val="21"/>
                      <w:highlight w:val="none"/>
                      <w:lang w:val="en-US" w:eastAsia="zh-CN"/>
                      <w14:textFill>
                        <w14:solidFill>
                          <w14:schemeClr w14:val="tx1"/>
                        </w14:solidFill>
                      </w14:textFill>
                    </w:rPr>
                    <w:t>0</w:t>
                  </w:r>
                </w:p>
              </w:tc>
              <w:tc>
                <w:tcPr>
                  <w:tcW w:w="654" w:type="dxa"/>
                  <w:tcBorders>
                    <w:tl2br w:val="nil"/>
                    <w:tr2bl w:val="nil"/>
                  </w:tcBorders>
                  <w:noWrap w:val="0"/>
                  <w:vAlign w:val="center"/>
                </w:tcPr>
                <w:p>
                  <w:pPr>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w:t>
                  </w:r>
                  <w:r>
                    <w:rPr>
                      <w:rFonts w:hint="default" w:ascii="Times New Roman" w:hAnsi="Times New Roman" w:cs="Times New Roman"/>
                      <w:color w:val="000000" w:themeColor="text1"/>
                      <w:szCs w:val="21"/>
                      <w:highlight w:val="none"/>
                      <w:lang w:val="en-US" w:eastAsia="zh-CN"/>
                      <w14:textFill>
                        <w14:solidFill>
                          <w14:schemeClr w14:val="tx1"/>
                        </w14:solidFill>
                      </w14:textFill>
                    </w:rPr>
                    <w:t>0</w:t>
                  </w:r>
                </w:p>
              </w:tc>
              <w:tc>
                <w:tcPr>
                  <w:tcW w:w="2621" w:type="dxa"/>
                  <w:vMerge w:val="restart"/>
                  <w:tcBorders>
                    <w:tl2br w:val="nil"/>
                    <w:tr2bl w:val="nil"/>
                  </w:tcBorders>
                  <w:noWrap w:val="0"/>
                  <w:vAlign w:val="center"/>
                </w:tcPr>
                <w:p>
                  <w:pPr>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《声环境质量标准》（GB3096-2008）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1607" w:type="dxa"/>
                  <w:tcBorders>
                    <w:tl2br w:val="nil"/>
                    <w:tr2bl w:val="nil"/>
                  </w:tcBorders>
                  <w:noWrap w:val="0"/>
                  <w:vAlign w:val="center"/>
                </w:tcPr>
                <w:p>
                  <w:pPr>
                    <w:adjustRightInd w:val="0"/>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w:t>
                  </w:r>
                </w:p>
              </w:tc>
              <w:tc>
                <w:tcPr>
                  <w:tcW w:w="2774" w:type="dxa"/>
                  <w:tcBorders>
                    <w:tl2br w:val="nil"/>
                    <w:tr2bl w:val="nil"/>
                  </w:tcBorders>
                  <w:noWrap w:val="0"/>
                  <w:vAlign w:val="center"/>
                </w:tcPr>
                <w:p>
                  <w:pPr>
                    <w:adjustRightInd w:val="0"/>
                    <w:jc w:val="center"/>
                    <w:rPr>
                      <w:rFonts w:hint="default" w:ascii="Times New Roman" w:hAnsi="Times New Roman"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交通干线两侧特殊敏感建筑</w:t>
                  </w:r>
                </w:p>
              </w:tc>
              <w:tc>
                <w:tcPr>
                  <w:tcW w:w="709" w:type="dxa"/>
                  <w:tcBorders>
                    <w:tl2br w:val="nil"/>
                    <w:tr2bl w:val="nil"/>
                  </w:tcBorders>
                  <w:noWrap w:val="0"/>
                  <w:vAlign w:val="center"/>
                </w:tcPr>
                <w:p>
                  <w:pPr>
                    <w:adjustRightInd w:val="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60</w:t>
                  </w:r>
                </w:p>
              </w:tc>
              <w:tc>
                <w:tcPr>
                  <w:tcW w:w="654" w:type="dxa"/>
                  <w:tcBorders>
                    <w:tl2br w:val="nil"/>
                    <w:tr2bl w:val="nil"/>
                  </w:tcBorders>
                  <w:noWrap w:val="0"/>
                  <w:vAlign w:val="center"/>
                </w:tcPr>
                <w:p>
                  <w:pPr>
                    <w:adjustRightInd w:val="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50</w:t>
                  </w:r>
                </w:p>
              </w:tc>
              <w:tc>
                <w:tcPr>
                  <w:tcW w:w="2621" w:type="dxa"/>
                  <w:vMerge w:val="continue"/>
                  <w:tcBorders>
                    <w:tl2br w:val="nil"/>
                    <w:tr2bl w:val="nil"/>
                  </w:tcBorders>
                  <w:noWrap w:val="0"/>
                  <w:vAlign w:val="center"/>
                </w:tcPr>
                <w:p>
                  <w:pPr>
                    <w:adjustRightInd w:val="0"/>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p>
              </w:tc>
            </w:tr>
          </w:tbl>
          <w:p>
            <w:pPr>
              <w:tabs>
                <w:tab w:val="left" w:pos="297"/>
              </w:tabs>
              <w:adjustRightInd w:val="0"/>
              <w:snapToGrid w:val="0"/>
              <w:spacing w:line="360" w:lineRule="auto"/>
              <w:rPr>
                <w:rFonts w:hint="default" w:ascii="Times New Roman" w:hAnsi="Times New Roman" w:cs="Times New Roman"/>
                <w:color w:val="000000" w:themeColor="text1"/>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90" w:hRule="atLeast"/>
        </w:trPr>
        <w:tc>
          <w:tcPr>
            <w:tcW w:w="753" w:type="dxa"/>
            <w:vAlign w:val="center"/>
          </w:tcPr>
          <w:p>
            <w:pPr>
              <w:pStyle w:val="65"/>
              <w:topLinePunct w:val="0"/>
              <w:autoSpaceDE/>
              <w:autoSpaceDN/>
              <w:adjustRightInd/>
              <w:spacing w:before="120"/>
              <w:textAlignment w:val="auto"/>
              <w:rPr>
                <w:rFonts w:hint="default" w:ascii="Times New Roman" w:hAnsi="Times New Roman" w:cs="Times New Roman"/>
                <w:color w:val="000000" w:themeColor="text1"/>
                <w:kern w:val="2"/>
                <w:szCs w:val="24"/>
                <w:highlight w:val="none"/>
                <w14:textFill>
                  <w14:solidFill>
                    <w14:schemeClr w14:val="tx1"/>
                  </w14:solidFill>
                </w14:textFill>
              </w:rPr>
            </w:pPr>
            <w:r>
              <w:rPr>
                <w:rFonts w:hint="default" w:ascii="Times New Roman" w:hAnsi="Times New Roman" w:cs="Times New Roman"/>
                <w:color w:val="000000" w:themeColor="text1"/>
                <w:kern w:val="2"/>
                <w:szCs w:val="24"/>
                <w:highlight w:val="none"/>
                <w14:textFill>
                  <w14:solidFill>
                    <w14:schemeClr w14:val="tx1"/>
                  </w14:solidFill>
                </w14:textFill>
              </w:rPr>
              <w:t>污染物排放标准</w:t>
            </w:r>
          </w:p>
        </w:tc>
        <w:tc>
          <w:tcPr>
            <w:tcW w:w="8818" w:type="dxa"/>
            <w:vAlign w:val="center"/>
          </w:tcPr>
          <w:p>
            <w:pPr>
              <w:pStyle w:val="47"/>
              <w:adjustRightInd w:val="0"/>
              <w:snapToGrid/>
              <w:ind w:firstLine="480" w:firstLineChars="20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 xml:space="preserve">1. </w:t>
            </w:r>
            <w:r>
              <w:rPr>
                <w:rFonts w:hint="default" w:ascii="Times New Roman" w:hAnsi="Times New Roman" w:cs="Times New Roman"/>
                <w:color w:val="auto"/>
                <w:spacing w:val="8"/>
                <w:sz w:val="24"/>
                <w:lang w:eastAsia="zh-CN"/>
              </w:rPr>
              <w:t>医疗废水、</w:t>
            </w:r>
            <w:r>
              <w:rPr>
                <w:rFonts w:hint="default" w:ascii="Times New Roman" w:hAnsi="Times New Roman" w:cs="Times New Roman"/>
                <w:color w:val="auto"/>
                <w:spacing w:val="8"/>
                <w:sz w:val="24"/>
              </w:rPr>
              <w:t>生活污水经污水处理设施处理达</w:t>
            </w:r>
            <w:r>
              <w:rPr>
                <w:rFonts w:hint="default" w:ascii="Times New Roman" w:hAnsi="Times New Roman" w:cs="Times New Roman"/>
                <w:color w:val="auto"/>
                <w:spacing w:val="8"/>
                <w:sz w:val="24"/>
                <w:highlight w:val="none"/>
                <w:lang w:eastAsia="zh-CN"/>
              </w:rPr>
              <w:t>《城市污水再生利用</w:t>
            </w:r>
            <w:r>
              <w:rPr>
                <w:rFonts w:hint="default" w:ascii="Times New Roman" w:hAnsi="Times New Roman" w:cs="Times New Roman"/>
                <w:color w:val="auto"/>
                <w:spacing w:val="8"/>
                <w:sz w:val="24"/>
                <w:highlight w:val="none"/>
                <w:lang w:val="en-US" w:eastAsia="zh-CN"/>
              </w:rPr>
              <w:t xml:space="preserve"> 城市杂用水水质》（GB/T18920-2002）</w:t>
            </w:r>
            <w:r>
              <w:rPr>
                <w:rFonts w:hint="default" w:ascii="Times New Roman" w:hAnsi="Times New Roman" w:cs="Times New Roman"/>
                <w:color w:val="auto"/>
                <w:spacing w:val="8"/>
                <w:sz w:val="24"/>
                <w:lang w:val="en-US" w:eastAsia="zh-CN"/>
              </w:rPr>
              <w:t>中“城市绿化”标准后回用项目周边绿化用水；远期经污水处理设施处理达</w:t>
            </w:r>
            <w:r>
              <w:rPr>
                <w:rFonts w:hint="default" w:ascii="Times New Roman" w:hAnsi="Times New Roman" w:cs="Times New Roman"/>
                <w:color w:val="auto"/>
                <w:spacing w:val="8"/>
                <w:sz w:val="24"/>
              </w:rPr>
              <w:t>《医疗机构水污染物排放标准》（GB18466-2005）综合医疗机构水污染物排放限值（日均值）预处理标准后</w:t>
            </w:r>
            <w:r>
              <w:rPr>
                <w:rFonts w:hint="default" w:ascii="Times New Roman" w:hAnsi="Times New Roman" w:cs="Times New Roman"/>
                <w:color w:val="auto"/>
                <w:spacing w:val="8"/>
                <w:sz w:val="24"/>
                <w:lang w:eastAsia="zh-CN"/>
              </w:rPr>
              <w:t>排入揭东区污水处理厂处理</w:t>
            </w:r>
            <w:r>
              <w:rPr>
                <w:rFonts w:hint="default" w:ascii="Times New Roman" w:hAnsi="Times New Roman" w:cs="Times New Roman"/>
                <w:color w:val="auto"/>
                <w:spacing w:val="8"/>
                <w:sz w:val="24"/>
              </w:rPr>
              <w:t>。</w:t>
            </w:r>
            <w:r>
              <w:rPr>
                <w:rFonts w:hint="default" w:ascii="Times New Roman" w:hAnsi="Times New Roman" w:cs="Times New Roman"/>
                <w:color w:val="000000" w:themeColor="text1"/>
                <w:sz w:val="24"/>
                <w:highlight w:val="none"/>
                <w14:textFill>
                  <w14:solidFill>
                    <w14:schemeClr w14:val="tx1"/>
                  </w14:solidFill>
                </w14:textFill>
              </w:rPr>
              <w:t>具体标准值见表</w:t>
            </w:r>
            <w:r>
              <w:rPr>
                <w:rFonts w:hint="default" w:ascii="Times New Roman" w:hAnsi="Times New Roman" w:cs="Times New Roman"/>
                <w:color w:val="000000" w:themeColor="text1"/>
                <w:sz w:val="24"/>
                <w:highlight w:val="none"/>
                <w:lang w:val="en-US" w:eastAsia="zh-CN"/>
                <w14:textFill>
                  <w14:solidFill>
                    <w14:schemeClr w14:val="tx1"/>
                  </w14:solidFill>
                </w14:textFill>
              </w:rPr>
              <w:t>4</w:t>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4</w:t>
            </w:r>
            <w:r>
              <w:rPr>
                <w:rFonts w:hint="default" w:ascii="Times New Roman" w:hAnsi="Times New Roman" w:cs="Times New Roman"/>
                <w:color w:val="000000" w:themeColor="text1"/>
                <w:sz w:val="24"/>
                <w:highlight w:val="none"/>
                <w14:textFill>
                  <w14:solidFill>
                    <w14:schemeClr w14:val="tx1"/>
                  </w14:solidFill>
                </w14:textFill>
              </w:rPr>
              <w:t>。</w:t>
            </w:r>
          </w:p>
          <w:p>
            <w:pPr>
              <w:pStyle w:val="117"/>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表4-</w:t>
            </w:r>
            <w:r>
              <w:rPr>
                <w:rFonts w:hint="default" w:ascii="Times New Roman" w:hAnsi="Times New Roman" w:cs="Times New Roman"/>
                <w:color w:val="000000" w:themeColor="text1"/>
                <w:highlight w:val="none"/>
                <w:lang w:val="en-US" w:eastAsia="zh-CN"/>
                <w14:textFill>
                  <w14:solidFill>
                    <w14:schemeClr w14:val="tx1"/>
                  </w14:solidFill>
                </w14:textFill>
              </w:rPr>
              <w:t>4</w:t>
            </w:r>
            <w:r>
              <w:rPr>
                <w:rFonts w:hint="default" w:ascii="Times New Roman" w:hAnsi="Times New Roman" w:cs="Times New Roman"/>
                <w:color w:val="000000" w:themeColor="text1"/>
                <w:highlight w:val="none"/>
                <w14:textFill>
                  <w14:solidFill>
                    <w14:schemeClr w14:val="tx1"/>
                  </w14:solidFill>
                </w14:textFill>
              </w:rPr>
              <w:t xml:space="preserve">  项目污水</w:t>
            </w:r>
            <w:r>
              <w:rPr>
                <w:rFonts w:hint="default" w:ascii="Times New Roman" w:hAnsi="Times New Roman" w:cs="Times New Roman"/>
                <w:color w:val="000000" w:themeColor="text1"/>
                <w:highlight w:val="none"/>
                <w:lang w:val="zh-CN"/>
                <w14:textFill>
                  <w14:solidFill>
                    <w14:schemeClr w14:val="tx1"/>
                  </w14:solidFill>
                </w14:textFill>
              </w:rPr>
              <w:t>排放标准</w:t>
            </w:r>
            <w:r>
              <w:rPr>
                <w:rFonts w:hint="default" w:ascii="Times New Roman" w:hAnsi="Times New Roman" w:cs="Times New Roman"/>
                <w:color w:val="000000" w:themeColor="text1"/>
                <w:highlight w:val="none"/>
                <w14:textFill>
                  <w14:solidFill>
                    <w14:schemeClr w14:val="tx1"/>
                  </w14:solidFill>
                </w14:textFill>
              </w:rPr>
              <w:t>值  单位：mg/L</w:t>
            </w:r>
          </w:p>
          <w:tbl>
            <w:tblPr>
              <w:tblStyle w:val="31"/>
              <w:tblW w:w="8651" w:type="dxa"/>
              <w:jc w:val="center"/>
              <w:tblInd w:w="-118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49"/>
              <w:gridCol w:w="1002"/>
              <w:gridCol w:w="846"/>
              <w:gridCol w:w="849"/>
              <w:gridCol w:w="630"/>
              <w:gridCol w:w="923"/>
              <w:gridCol w:w="13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6" w:hRule="atLeast"/>
                <w:jc w:val="center"/>
              </w:trPr>
              <w:tc>
                <w:tcPr>
                  <w:tcW w:w="3049" w:type="dxa"/>
                  <w:tcBorders>
                    <w:top w:val="single" w:color="auto" w:sz="4" w:space="0"/>
                    <w:left w:val="single" w:color="auto" w:sz="4" w:space="0"/>
                    <w:bottom w:val="single" w:color="auto" w:sz="4" w:space="0"/>
                    <w:right w:val="single" w:color="auto" w:sz="4" w:space="0"/>
                  </w:tcBorders>
                  <w:vAlign w:val="center"/>
                </w:tcPr>
                <w:p>
                  <w:pPr>
                    <w:pStyle w:val="118"/>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项目</w:t>
                  </w:r>
                </w:p>
              </w:tc>
              <w:tc>
                <w:tcPr>
                  <w:tcW w:w="1002" w:type="dxa"/>
                  <w:tcBorders>
                    <w:top w:val="single" w:color="auto" w:sz="4" w:space="0"/>
                    <w:left w:val="single" w:color="auto" w:sz="4" w:space="0"/>
                    <w:bottom w:val="single" w:color="auto" w:sz="4" w:space="0"/>
                    <w:right w:val="single" w:color="auto" w:sz="4" w:space="0"/>
                  </w:tcBorders>
                  <w:vAlign w:val="center"/>
                </w:tcPr>
                <w:p>
                  <w:pPr>
                    <w:pStyle w:val="118"/>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lang w:val="en-US" w:eastAsia="zh-CN"/>
                      <w14:textFill>
                        <w14:solidFill>
                          <w14:schemeClr w14:val="tx1"/>
                        </w14:solidFill>
                      </w14:textFill>
                    </w:rPr>
                    <w:t>p</w:t>
                  </w:r>
                  <w:r>
                    <w:rPr>
                      <w:rFonts w:hint="default" w:ascii="Times New Roman" w:hAnsi="Times New Roman" w:cs="Times New Roman"/>
                      <w:b/>
                      <w:bCs/>
                      <w:color w:val="000000" w:themeColor="text1"/>
                      <w:highlight w:val="none"/>
                      <w14:textFill>
                        <w14:solidFill>
                          <w14:schemeClr w14:val="tx1"/>
                        </w14:solidFill>
                      </w14:textFill>
                    </w:rPr>
                    <w:t>H</w:t>
                  </w:r>
                </w:p>
              </w:tc>
              <w:tc>
                <w:tcPr>
                  <w:tcW w:w="846" w:type="dxa"/>
                  <w:tcBorders>
                    <w:top w:val="single" w:color="auto" w:sz="4" w:space="0"/>
                    <w:left w:val="single" w:color="auto" w:sz="4" w:space="0"/>
                    <w:bottom w:val="single" w:color="auto" w:sz="4" w:space="0"/>
                    <w:right w:val="single" w:color="auto" w:sz="4" w:space="0"/>
                  </w:tcBorders>
                  <w:vAlign w:val="center"/>
                </w:tcPr>
                <w:p>
                  <w:pPr>
                    <w:pStyle w:val="118"/>
                    <w:jc w:val="center"/>
                    <w:rPr>
                      <w:rFonts w:hint="default" w:ascii="Times New Roman" w:hAnsi="Times New Roman" w:eastAsia="宋体" w:cs="Times New Roman"/>
                      <w:b/>
                      <w:bCs/>
                      <w:color w:val="000000" w:themeColor="text1"/>
                      <w:highlight w:val="none"/>
                      <w:lang w:val="en-US" w:eastAsia="zh-CN"/>
                      <w14:textFill>
                        <w14:solidFill>
                          <w14:schemeClr w14:val="tx1"/>
                        </w14:solidFill>
                      </w14:textFill>
                    </w:rPr>
                  </w:pPr>
                  <w:r>
                    <w:rPr>
                      <w:rFonts w:hint="eastAsia" w:cs="Times New Roman"/>
                      <w:b/>
                      <w:bCs/>
                      <w:color w:val="000000" w:themeColor="text1"/>
                      <w:highlight w:val="none"/>
                      <w:lang w:val="en-US" w:eastAsia="zh-CN"/>
                      <w14:textFill>
                        <w14:solidFill>
                          <w14:schemeClr w14:val="tx1"/>
                        </w14:solidFill>
                      </w14:textFill>
                    </w:rPr>
                    <w:t>DO</w:t>
                  </w:r>
                </w:p>
              </w:tc>
              <w:tc>
                <w:tcPr>
                  <w:tcW w:w="849" w:type="dxa"/>
                  <w:tcBorders>
                    <w:top w:val="single" w:color="auto" w:sz="4" w:space="0"/>
                    <w:left w:val="single" w:color="auto" w:sz="4" w:space="0"/>
                    <w:bottom w:val="single" w:color="auto" w:sz="4" w:space="0"/>
                    <w:right w:val="single" w:color="auto" w:sz="4" w:space="0"/>
                  </w:tcBorders>
                  <w:vAlign w:val="center"/>
                </w:tcPr>
                <w:p>
                  <w:pPr>
                    <w:pStyle w:val="118"/>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BOD</w:t>
                  </w:r>
                  <w:r>
                    <w:rPr>
                      <w:rFonts w:hint="default" w:ascii="Times New Roman" w:hAnsi="Times New Roman" w:cs="Times New Roman"/>
                      <w:b/>
                      <w:bCs/>
                      <w:color w:val="000000" w:themeColor="text1"/>
                      <w:highlight w:val="none"/>
                      <w:vertAlign w:val="subscript"/>
                      <w14:textFill>
                        <w14:solidFill>
                          <w14:schemeClr w14:val="tx1"/>
                        </w14:solidFill>
                      </w14:textFill>
                    </w:rPr>
                    <w:t>5</w:t>
                  </w:r>
                </w:p>
              </w:tc>
              <w:tc>
                <w:tcPr>
                  <w:tcW w:w="630" w:type="dxa"/>
                  <w:tcBorders>
                    <w:top w:val="single" w:color="auto" w:sz="4" w:space="0"/>
                    <w:left w:val="single" w:color="auto" w:sz="4" w:space="0"/>
                    <w:bottom w:val="single" w:color="auto" w:sz="4" w:space="0"/>
                    <w:right w:val="single" w:color="auto" w:sz="4" w:space="0"/>
                  </w:tcBorders>
                  <w:vAlign w:val="center"/>
                </w:tcPr>
                <w:p>
                  <w:pPr>
                    <w:pStyle w:val="118"/>
                    <w:jc w:val="center"/>
                    <w:rPr>
                      <w:rFonts w:hint="default" w:ascii="Times New Roman" w:hAnsi="Times New Roman" w:eastAsia="宋体" w:cs="Times New Roman"/>
                      <w:b/>
                      <w:bCs/>
                      <w:color w:val="000000" w:themeColor="text1"/>
                      <w:highlight w:val="none"/>
                      <w:lang w:val="en-US" w:eastAsia="zh-CN"/>
                      <w14:textFill>
                        <w14:solidFill>
                          <w14:schemeClr w14:val="tx1"/>
                        </w14:solidFill>
                      </w14:textFill>
                    </w:rPr>
                  </w:pPr>
                  <w:r>
                    <w:rPr>
                      <w:rFonts w:hint="eastAsia" w:cs="Times New Roman"/>
                      <w:b/>
                      <w:bCs/>
                      <w:color w:val="000000" w:themeColor="text1"/>
                      <w:highlight w:val="none"/>
                      <w:lang w:val="en-US" w:eastAsia="zh-CN"/>
                      <w14:textFill>
                        <w14:solidFill>
                          <w14:schemeClr w14:val="tx1"/>
                        </w14:solidFill>
                      </w14:textFill>
                    </w:rPr>
                    <w:t>LAS</w:t>
                  </w:r>
                </w:p>
              </w:tc>
              <w:tc>
                <w:tcPr>
                  <w:tcW w:w="923" w:type="dxa"/>
                  <w:tcBorders>
                    <w:top w:val="single" w:color="auto" w:sz="4" w:space="0"/>
                    <w:left w:val="single" w:color="auto" w:sz="4" w:space="0"/>
                    <w:bottom w:val="single" w:color="auto" w:sz="4" w:space="0"/>
                    <w:right w:val="single" w:color="auto" w:sz="4" w:space="0"/>
                  </w:tcBorders>
                  <w:vAlign w:val="center"/>
                </w:tcPr>
                <w:p>
                  <w:pPr>
                    <w:pStyle w:val="118"/>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NH</w:t>
                  </w:r>
                  <w:r>
                    <w:rPr>
                      <w:rFonts w:hint="default" w:ascii="Times New Roman" w:hAnsi="Times New Roman" w:cs="Times New Roman"/>
                      <w:b/>
                      <w:bCs/>
                      <w:color w:val="000000" w:themeColor="text1"/>
                      <w:highlight w:val="none"/>
                      <w:vertAlign w:val="subscript"/>
                      <w14:textFill>
                        <w14:solidFill>
                          <w14:schemeClr w14:val="tx1"/>
                        </w14:solidFill>
                      </w14:textFill>
                    </w:rPr>
                    <w:t>3</w:t>
                  </w:r>
                  <w:r>
                    <w:rPr>
                      <w:rFonts w:hint="default" w:ascii="Times New Roman" w:hAnsi="Times New Roman" w:cs="Times New Roman"/>
                      <w:b/>
                      <w:bCs/>
                      <w:color w:val="000000" w:themeColor="text1"/>
                      <w:highlight w:val="none"/>
                      <w14:textFill>
                        <w14:solidFill>
                          <w14:schemeClr w14:val="tx1"/>
                        </w14:solidFill>
                      </w14:textFill>
                    </w:rPr>
                    <w:t>-N</w:t>
                  </w:r>
                </w:p>
              </w:tc>
              <w:tc>
                <w:tcPr>
                  <w:tcW w:w="1352" w:type="dxa"/>
                  <w:tcBorders>
                    <w:top w:val="single" w:color="auto" w:sz="4" w:space="0"/>
                    <w:left w:val="single" w:color="auto" w:sz="4" w:space="0"/>
                    <w:bottom w:val="single" w:color="auto" w:sz="4" w:space="0"/>
                    <w:right w:val="single" w:color="auto" w:sz="4" w:space="0"/>
                  </w:tcBorders>
                  <w:vAlign w:val="center"/>
                </w:tcPr>
                <w:p>
                  <w:pPr>
                    <w:pStyle w:val="118"/>
                    <w:jc w:val="center"/>
                    <w:rPr>
                      <w:rFonts w:hint="default" w:ascii="Times New Roman" w:hAnsi="Times New Roman" w:cs="Times New Roman"/>
                      <w:b/>
                      <w:bCs/>
                      <w:color w:val="000000" w:themeColor="text1"/>
                      <w:highlight w:val="none"/>
                      <w14:textFill>
                        <w14:solidFill>
                          <w14:schemeClr w14:val="tx1"/>
                        </w14:solidFill>
                      </w14:textFill>
                    </w:rPr>
                  </w:pPr>
                  <w:r>
                    <w:rPr>
                      <w:rFonts w:hint="eastAsia" w:cs="Times New Roman"/>
                      <w:b/>
                      <w:bCs/>
                      <w:color w:val="000000" w:themeColor="text1"/>
                      <w:highlight w:val="none"/>
                      <w:lang w:eastAsia="zh-CN"/>
                      <w14:textFill>
                        <w14:solidFill>
                          <w14:schemeClr w14:val="tx1"/>
                        </w14:solidFill>
                      </w14:textFill>
                    </w:rPr>
                    <w:t>总</w:t>
                  </w:r>
                  <w:r>
                    <w:rPr>
                      <w:rFonts w:hint="default" w:ascii="Times New Roman" w:hAnsi="Times New Roman" w:cs="Times New Roman"/>
                      <w:b/>
                      <w:bCs/>
                      <w:color w:val="000000" w:themeColor="text1"/>
                      <w:highlight w:val="none"/>
                      <w14:textFill>
                        <w14:solidFill>
                          <w14:schemeClr w14:val="tx1"/>
                        </w14:solidFill>
                      </w14:textFill>
                    </w:rPr>
                    <w:t>大肠菌群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jc w:val="center"/>
              </w:trPr>
              <w:tc>
                <w:tcPr>
                  <w:tcW w:w="3049" w:type="dxa"/>
                  <w:tcBorders>
                    <w:top w:val="single" w:color="auto" w:sz="4" w:space="0"/>
                    <w:left w:val="single" w:color="auto" w:sz="4" w:space="0"/>
                    <w:bottom w:val="single" w:color="auto" w:sz="4" w:space="0"/>
                    <w:right w:val="single" w:color="auto" w:sz="4" w:space="0"/>
                  </w:tcBorders>
                  <w:vAlign w:val="center"/>
                </w:tcPr>
                <w:p>
                  <w:pPr>
                    <w:pStyle w:val="118"/>
                    <w:jc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（GB/T18920-2002）</w:t>
                  </w:r>
                </w:p>
                <w:p>
                  <w:pPr>
                    <w:pStyle w:val="118"/>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中“城市绿化”标准</w:t>
                  </w:r>
                </w:p>
              </w:tc>
              <w:tc>
                <w:tcPr>
                  <w:tcW w:w="1002" w:type="dxa"/>
                  <w:tcBorders>
                    <w:top w:val="single" w:color="auto" w:sz="4" w:space="0"/>
                    <w:left w:val="single" w:color="auto" w:sz="4" w:space="0"/>
                    <w:bottom w:val="single" w:color="auto" w:sz="4" w:space="0"/>
                    <w:right w:val="single" w:color="auto" w:sz="4" w:space="0"/>
                  </w:tcBorders>
                  <w:vAlign w:val="center"/>
                </w:tcPr>
                <w:p>
                  <w:pPr>
                    <w:pStyle w:val="118"/>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6-9</w:t>
                  </w:r>
                </w:p>
              </w:tc>
              <w:tc>
                <w:tcPr>
                  <w:tcW w:w="846" w:type="dxa"/>
                  <w:tcBorders>
                    <w:top w:val="single" w:color="auto" w:sz="4" w:space="0"/>
                    <w:left w:val="single" w:color="auto" w:sz="4" w:space="0"/>
                    <w:bottom w:val="single" w:color="auto" w:sz="4" w:space="0"/>
                    <w:right w:val="single" w:color="auto" w:sz="4" w:space="0"/>
                  </w:tcBorders>
                  <w:vAlign w:val="center"/>
                </w:tcPr>
                <w:p>
                  <w:pPr>
                    <w:pStyle w:val="118"/>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1.0</w:t>
                  </w:r>
                </w:p>
              </w:tc>
              <w:tc>
                <w:tcPr>
                  <w:tcW w:w="849" w:type="dxa"/>
                  <w:tcBorders>
                    <w:top w:val="single" w:color="auto" w:sz="4" w:space="0"/>
                    <w:left w:val="single" w:color="auto" w:sz="4" w:space="0"/>
                    <w:bottom w:val="single" w:color="auto" w:sz="4" w:space="0"/>
                    <w:right w:val="single" w:color="auto" w:sz="4" w:space="0"/>
                  </w:tcBorders>
                  <w:vAlign w:val="center"/>
                </w:tcPr>
                <w:p>
                  <w:pPr>
                    <w:pStyle w:val="118"/>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20</w:t>
                  </w:r>
                </w:p>
              </w:tc>
              <w:tc>
                <w:tcPr>
                  <w:tcW w:w="630" w:type="dxa"/>
                  <w:tcBorders>
                    <w:top w:val="single" w:color="auto" w:sz="4" w:space="0"/>
                    <w:left w:val="single" w:color="auto" w:sz="4" w:space="0"/>
                    <w:bottom w:val="single" w:color="auto" w:sz="4" w:space="0"/>
                    <w:right w:val="single" w:color="auto" w:sz="4" w:space="0"/>
                  </w:tcBorders>
                  <w:vAlign w:val="center"/>
                </w:tcPr>
                <w:p>
                  <w:pPr>
                    <w:pStyle w:val="118"/>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1.0</w:t>
                  </w:r>
                </w:p>
              </w:tc>
              <w:tc>
                <w:tcPr>
                  <w:tcW w:w="923" w:type="dxa"/>
                  <w:tcBorders>
                    <w:top w:val="single" w:color="auto" w:sz="4" w:space="0"/>
                    <w:left w:val="single" w:color="auto" w:sz="4" w:space="0"/>
                    <w:bottom w:val="single" w:color="auto" w:sz="4" w:space="0"/>
                    <w:right w:val="single" w:color="auto" w:sz="4" w:space="0"/>
                  </w:tcBorders>
                  <w:vAlign w:val="center"/>
                </w:tcPr>
                <w:p>
                  <w:pPr>
                    <w:pStyle w:val="118"/>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20</w:t>
                  </w:r>
                </w:p>
              </w:tc>
              <w:tc>
                <w:tcPr>
                  <w:tcW w:w="1352" w:type="dxa"/>
                  <w:tcBorders>
                    <w:top w:val="single" w:color="auto" w:sz="4" w:space="0"/>
                    <w:left w:val="single" w:color="auto" w:sz="4" w:space="0"/>
                    <w:bottom w:val="single" w:color="auto" w:sz="4" w:space="0"/>
                    <w:right w:val="single" w:color="auto" w:sz="4" w:space="0"/>
                  </w:tcBorders>
                  <w:vAlign w:val="center"/>
                </w:tcPr>
                <w:p>
                  <w:pPr>
                    <w:pStyle w:val="118"/>
                    <w:jc w:val="center"/>
                    <w:rPr>
                      <w:rFonts w:hint="default" w:ascii="Times New Roman" w:hAnsi="Times New Roman" w:cs="Times New Roman"/>
                      <w:color w:val="000000" w:themeColor="text1"/>
                      <w:highlight w:val="none"/>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3个</w:t>
                  </w:r>
                  <w:r>
                    <w:rPr>
                      <w:rFonts w:hint="default" w:ascii="Times New Roman" w:hAnsi="Times New Roman" w:cs="Times New Roman"/>
                      <w:color w:val="000000" w:themeColor="text1"/>
                      <w:highlight w:val="none"/>
                      <w14:textFill>
                        <w14:solidFill>
                          <w14:schemeClr w14:val="tx1"/>
                        </w14:solidFill>
                      </w14:textFill>
                    </w:rPr>
                    <w:t>/L</w:t>
                  </w:r>
                </w:p>
              </w:tc>
            </w:tr>
          </w:tbl>
          <w:p>
            <w:pPr>
              <w:spacing w:line="360" w:lineRule="auto"/>
              <w:ind w:firstLine="420" w:firstLineChars="200"/>
              <w:rPr>
                <w:rFonts w:hint="default" w:ascii="Times New Roman" w:hAnsi="Times New Roman" w:cs="Times New Roman"/>
                <w:color w:val="000000" w:themeColor="text1"/>
                <w:sz w:val="24"/>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项目主要大气污染源为食堂油烟、备用发电机尾气</w:t>
            </w:r>
            <w:r>
              <w:rPr>
                <w:rFonts w:hint="default" w:ascii="Times New Roman" w:hAnsi="Times New Roman" w:cs="Times New Roman"/>
                <w:color w:val="000000" w:themeColor="text1"/>
                <w:sz w:val="24"/>
                <w:highlight w:val="none"/>
                <w:lang w:eastAsia="zh-CN"/>
                <w14:textFill>
                  <w14:solidFill>
                    <w14:schemeClr w14:val="tx1"/>
                  </w14:solidFill>
                </w14:textFill>
              </w:rPr>
              <w:t>、污水处理设施</w:t>
            </w:r>
            <w:r>
              <w:rPr>
                <w:rFonts w:hint="default" w:ascii="Times New Roman" w:hAnsi="Times New Roman" w:cs="Times New Roman"/>
                <w:color w:val="000000" w:themeColor="text1"/>
                <w:sz w:val="24"/>
                <w:highlight w:val="none"/>
                <w14:textFill>
                  <w14:solidFill>
                    <w14:schemeClr w14:val="tx1"/>
                  </w14:solidFill>
                </w14:textFill>
              </w:rPr>
              <w:t>臭气</w:t>
            </w:r>
            <w:r>
              <w:rPr>
                <w:rFonts w:hint="default" w:ascii="Times New Roman" w:hAnsi="Times New Roman" w:cs="Times New Roman"/>
                <w:color w:val="000000" w:themeColor="text1"/>
                <w:sz w:val="24"/>
                <w:highlight w:val="none"/>
                <w:lang w:eastAsia="zh-CN"/>
                <w14:textFill>
                  <w14:solidFill>
                    <w14:schemeClr w14:val="tx1"/>
                  </w14:solidFill>
                </w14:textFill>
              </w:rPr>
              <w:t>、机动车尾气及垃圾房臭气</w:t>
            </w:r>
            <w:r>
              <w:rPr>
                <w:rFonts w:hint="default" w:ascii="Times New Roman" w:hAnsi="Times New Roman" w:cs="Times New Roman"/>
                <w:color w:val="000000" w:themeColor="text1"/>
                <w:sz w:val="24"/>
                <w:highlight w:val="none"/>
                <w14:textFill>
                  <w14:solidFill>
                    <w14:schemeClr w14:val="tx1"/>
                  </w14:solidFill>
                </w14:textFill>
              </w:rPr>
              <w:t>等</w:t>
            </w:r>
            <w:r>
              <w:rPr>
                <w:rFonts w:hint="default" w:ascii="Times New Roman" w:hAnsi="Times New Roman" w:cs="Times New Roman"/>
                <w:color w:val="000000" w:themeColor="text1"/>
                <w:sz w:val="24"/>
                <w:highlight w:val="none"/>
                <w:lang w:eastAsia="zh-CN"/>
                <w14:textFill>
                  <w14:solidFill>
                    <w14:schemeClr w14:val="tx1"/>
                  </w14:solidFill>
                </w14:textFill>
              </w:rPr>
              <w:t>。</w:t>
            </w:r>
          </w:p>
          <w:p>
            <w:pPr>
              <w:spacing w:line="360" w:lineRule="auto"/>
              <w:ind w:firstLine="480" w:firstLineChars="200"/>
              <w:rPr>
                <w:rFonts w:hint="default" w:ascii="Times New Roman" w:hAnsi="Times New Roman" w:cs="Times New Roman"/>
                <w:color w:val="000000" w:themeColor="text1"/>
                <w:sz w:val="24"/>
                <w:szCs w:val="24"/>
                <w:highlight w:val="none"/>
                <w14:textFill>
                  <w14:solidFill>
                    <w14:schemeClr w14:val="tx1"/>
                  </w14:solidFill>
                </w14:textFill>
              </w:rPr>
            </w:pPr>
            <w:r>
              <w:rPr>
                <w:rFonts w:hint="eastAsia" w:cs="Times New Roman"/>
                <w:color w:val="000000" w:themeColor="text1"/>
                <w:sz w:val="24"/>
                <w:szCs w:val="24"/>
                <w:highlight w:val="none"/>
                <w:lang w:eastAsia="zh-CN"/>
                <w14:textFill>
                  <w14:solidFill>
                    <w14:schemeClr w14:val="tx1"/>
                  </w14:solidFill>
                </w14:textFill>
              </w:rPr>
              <w:t>项目采用地埋式污水处理设施，污水处理站臭气无组织排放量极少</w:t>
            </w:r>
            <w:r>
              <w:rPr>
                <w:rFonts w:hint="default" w:ascii="Times New Roman" w:hAnsi="Times New Roman" w:cs="Times New Roman"/>
                <w:color w:val="000000" w:themeColor="text1"/>
                <w:sz w:val="24"/>
                <w:szCs w:val="24"/>
                <w:highlight w:val="none"/>
                <w:lang w:eastAsia="zh-CN"/>
                <w14:textFill>
                  <w14:solidFill>
                    <w14:schemeClr w14:val="tx1"/>
                  </w14:solidFill>
                </w14:textFill>
              </w:rPr>
              <w:t>，执行《恶臭污染物排放标准》（</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GB14554-93）厂界二级标准</w:t>
            </w:r>
            <w:r>
              <w:rPr>
                <w:rFonts w:hint="eastAsia"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周</w:t>
            </w:r>
            <w:r>
              <w:rPr>
                <w:rFonts w:hint="default" w:ascii="Times New Roman" w:hAnsi="Times New Roman" w:cs="Times New Roman"/>
                <w:color w:val="000000" w:themeColor="text1"/>
                <w:sz w:val="24"/>
                <w:szCs w:val="24"/>
                <w:highlight w:val="none"/>
                <w:lang w:eastAsia="zh-CN"/>
                <w14:textFill>
                  <w14:solidFill>
                    <w14:schemeClr w14:val="tx1"/>
                  </w14:solidFill>
                </w14:textFill>
              </w:rPr>
              <w:t>边大气污染物</w:t>
            </w:r>
            <w:r>
              <w:rPr>
                <w:rFonts w:hint="default" w:ascii="Times New Roman" w:hAnsi="Times New Roman" w:cs="Times New Roman"/>
                <w:color w:val="000000" w:themeColor="text1"/>
                <w:sz w:val="24"/>
                <w:szCs w:val="24"/>
                <w:highlight w:val="none"/>
                <w14:textFill>
                  <w14:solidFill>
                    <w14:schemeClr w14:val="tx1"/>
                  </w14:solidFill>
                </w14:textFill>
              </w:rPr>
              <w:t>执行《</w:t>
            </w:r>
            <w:r>
              <w:rPr>
                <w:rFonts w:hint="default" w:ascii="Times New Roman" w:hAnsi="Times New Roman" w:cs="Times New Roman"/>
                <w:color w:val="000000" w:themeColor="text1"/>
                <w:sz w:val="24"/>
                <w:szCs w:val="24"/>
                <w:highlight w:val="none"/>
                <w:lang w:eastAsia="zh-CN"/>
                <w14:textFill>
                  <w14:solidFill>
                    <w14:schemeClr w14:val="tx1"/>
                  </w14:solidFill>
                </w14:textFill>
              </w:rPr>
              <w:t>医疗机构水</w:t>
            </w:r>
            <w:r>
              <w:rPr>
                <w:rFonts w:hint="default" w:ascii="Times New Roman" w:hAnsi="Times New Roman" w:cs="Times New Roman"/>
                <w:color w:val="000000" w:themeColor="text1"/>
                <w:sz w:val="24"/>
                <w:szCs w:val="24"/>
                <w:highlight w:val="none"/>
                <w14:textFill>
                  <w14:solidFill>
                    <w14:schemeClr w14:val="tx1"/>
                  </w14:solidFill>
                </w14:textFill>
              </w:rPr>
              <w:t>污染物排放标准》（GB1</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8466-2005</w:t>
            </w:r>
            <w:r>
              <w:rPr>
                <w:rFonts w:hint="default" w:ascii="Times New Roman" w:hAnsi="Times New Roman" w:cs="Times New Roman"/>
                <w:color w:val="000000" w:themeColor="text1"/>
                <w:sz w:val="24"/>
                <w:szCs w:val="24"/>
                <w:highlight w:val="none"/>
                <w14:textFill>
                  <w14:solidFill>
                    <w14:schemeClr w14:val="tx1"/>
                  </w14:solidFill>
                </w14:textFill>
              </w:rPr>
              <w:t>）</w:t>
            </w:r>
            <w:r>
              <w:rPr>
                <w:rFonts w:hint="default" w:ascii="Times New Roman" w:hAnsi="Times New Roman" w:cs="Times New Roman"/>
                <w:color w:val="000000" w:themeColor="text1"/>
                <w:sz w:val="24"/>
                <w:szCs w:val="24"/>
                <w:highlight w:val="none"/>
                <w:lang w:eastAsia="zh-CN"/>
                <w14:textFill>
                  <w14:solidFill>
                    <w14:schemeClr w14:val="tx1"/>
                  </w14:solidFill>
                </w14:textFill>
              </w:rPr>
              <w:t>污水处理设施周边大气污染物最高允许浓度要求，食堂油烟废气执行《饮食业油烟排放标准（试行）》（</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GB18483-2001</w:t>
            </w:r>
            <w:r>
              <w:rPr>
                <w:rFonts w:hint="default" w:ascii="Times New Roman" w:hAnsi="Times New Roman" w:cs="Times New Roman"/>
                <w:color w:val="000000" w:themeColor="text1"/>
                <w:sz w:val="24"/>
                <w:szCs w:val="24"/>
                <w:highlight w:val="none"/>
                <w:lang w:eastAsia="zh-CN"/>
                <w14:textFill>
                  <w14:solidFill>
                    <w14:schemeClr w14:val="tx1"/>
                  </w14:solidFill>
                </w14:textFill>
              </w:rPr>
              <w:t>），备用发电机废气执行广东省《大气污染物排放限值》（DB44/27-2001）中二级标准</w:t>
            </w:r>
            <w:r>
              <w:rPr>
                <w:rFonts w:hint="default" w:ascii="Times New Roman" w:hAnsi="Times New Roman" w:cs="Times New Roman"/>
                <w:color w:val="000000" w:themeColor="text1"/>
                <w:sz w:val="24"/>
                <w:szCs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具体排放限值</w:t>
            </w:r>
            <w:r>
              <w:rPr>
                <w:rFonts w:hint="default" w:ascii="Times New Roman" w:hAnsi="Times New Roman" w:cs="Times New Roman"/>
                <w:color w:val="000000" w:themeColor="text1"/>
                <w:sz w:val="24"/>
                <w:highlight w:val="none"/>
                <w:lang w:eastAsia="zh-CN"/>
                <w14:textFill>
                  <w14:solidFill>
                    <w14:schemeClr w14:val="tx1"/>
                  </w14:solidFill>
                </w14:textFill>
              </w:rPr>
              <w:t>见</w:t>
            </w:r>
            <w:r>
              <w:rPr>
                <w:rFonts w:hint="default" w:ascii="Times New Roman" w:hAnsi="Times New Roman" w:cs="Times New Roman"/>
                <w:color w:val="000000" w:themeColor="text1"/>
                <w:sz w:val="24"/>
                <w:highlight w:val="none"/>
                <w14:textFill>
                  <w14:solidFill>
                    <w14:schemeClr w14:val="tx1"/>
                  </w14:solidFill>
                </w14:textFill>
              </w:rPr>
              <w:t>表</w:t>
            </w:r>
            <w:r>
              <w:rPr>
                <w:rFonts w:hint="default" w:ascii="Times New Roman" w:hAnsi="Times New Roman" w:cs="Times New Roman"/>
                <w:color w:val="000000" w:themeColor="text1"/>
                <w:sz w:val="24"/>
                <w:highlight w:val="none"/>
                <w:lang w:val="en-US" w:eastAsia="zh-CN"/>
                <w14:textFill>
                  <w14:solidFill>
                    <w14:schemeClr w14:val="tx1"/>
                  </w14:solidFill>
                </w14:textFill>
              </w:rPr>
              <w:t>4-5~表4-8。</w:t>
            </w:r>
          </w:p>
          <w:p>
            <w:pPr>
              <w:spacing w:line="360" w:lineRule="auto"/>
              <w:ind w:firstLine="422" w:firstLineChars="200"/>
              <w:jc w:val="center"/>
              <w:rPr>
                <w:rFonts w:hint="default" w:ascii="Times New Roman" w:hAnsi="Times New Roman" w:cs="Times New Roman"/>
                <w:b/>
                <w:bCs/>
                <w:color w:val="000000" w:themeColor="text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Cs w:val="21"/>
                <w:highlight w:val="none"/>
                <w:lang w:eastAsia="zh-CN"/>
                <w14:textFill>
                  <w14:solidFill>
                    <w14:schemeClr w14:val="tx1"/>
                  </w14:solidFill>
                </w14:textFill>
              </w:rPr>
              <w:t>表</w:t>
            </w:r>
            <w:r>
              <w:rPr>
                <w:rFonts w:hint="default" w:ascii="Times New Roman" w:hAnsi="Times New Roman" w:cs="Times New Roman"/>
                <w:b/>
                <w:bCs/>
                <w:color w:val="000000" w:themeColor="text1"/>
                <w:szCs w:val="21"/>
                <w:highlight w:val="none"/>
                <w:lang w:val="en-US" w:eastAsia="zh-CN"/>
                <w14:textFill>
                  <w14:solidFill>
                    <w14:schemeClr w14:val="tx1"/>
                  </w14:solidFill>
                </w14:textFill>
              </w:rPr>
              <w:t>4-5 GB14554-93恶臭污染物排放标准值</w:t>
            </w:r>
          </w:p>
          <w:tbl>
            <w:tblPr>
              <w:tblStyle w:val="31"/>
              <w:tblW w:w="8517"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22"/>
              <w:gridCol w:w="3587"/>
              <w:gridCol w:w="1739"/>
              <w:gridCol w:w="236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223" w:hRule="atLeast"/>
                <w:jc w:val="center"/>
              </w:trPr>
              <w:tc>
                <w:tcPr>
                  <w:tcW w:w="822" w:type="dxa"/>
                  <w:tcBorders>
                    <w:tl2br w:val="nil"/>
                    <w:tr2bl w:val="nil"/>
                  </w:tcBorders>
                  <w:noWrap w:val="0"/>
                  <w:vAlign w:val="center"/>
                </w:tcPr>
                <w:p>
                  <w:pPr>
                    <w:adjustRightInd w:val="0"/>
                    <w:snapToGrid w:val="0"/>
                    <w:jc w:val="center"/>
                    <w:rPr>
                      <w:rFonts w:hint="default" w:ascii="Times New Roman" w:hAnsi="Times New Roman" w:eastAsia="宋体" w:cs="Times New Roman"/>
                      <w:b/>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color w:val="000000" w:themeColor="text1"/>
                      <w:szCs w:val="21"/>
                      <w:highlight w:val="none"/>
                      <w:lang w:eastAsia="zh-CN"/>
                      <w14:textFill>
                        <w14:solidFill>
                          <w14:schemeClr w14:val="tx1"/>
                        </w14:solidFill>
                      </w14:textFill>
                    </w:rPr>
                    <w:t>序号</w:t>
                  </w:r>
                </w:p>
              </w:tc>
              <w:tc>
                <w:tcPr>
                  <w:tcW w:w="3587" w:type="dxa"/>
                  <w:tcBorders>
                    <w:tl2br w:val="nil"/>
                    <w:tr2bl w:val="nil"/>
                  </w:tcBorders>
                  <w:noWrap w:val="0"/>
                  <w:vAlign w:val="center"/>
                </w:tcPr>
                <w:p>
                  <w:pPr>
                    <w:adjustRightInd w:val="0"/>
                    <w:snapToGrid w:val="0"/>
                    <w:jc w:val="center"/>
                    <w:rPr>
                      <w:rFonts w:hint="default" w:ascii="Times New Roman" w:hAnsi="Times New Roman" w:eastAsia="宋体" w:cs="Times New Roman"/>
                      <w:b/>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color w:val="000000" w:themeColor="text1"/>
                      <w:szCs w:val="21"/>
                      <w:highlight w:val="none"/>
                      <w:lang w:eastAsia="zh-CN"/>
                      <w14:textFill>
                        <w14:solidFill>
                          <w14:schemeClr w14:val="tx1"/>
                        </w14:solidFill>
                      </w14:textFill>
                    </w:rPr>
                    <w:t>控制项目</w:t>
                  </w:r>
                </w:p>
              </w:tc>
              <w:tc>
                <w:tcPr>
                  <w:tcW w:w="1739" w:type="dxa"/>
                  <w:tcBorders>
                    <w:tl2br w:val="nil"/>
                    <w:tr2bl w:val="nil"/>
                  </w:tcBorders>
                  <w:noWrap w:val="0"/>
                  <w:vAlign w:val="center"/>
                </w:tcPr>
                <w:p>
                  <w:pPr>
                    <w:adjustRightInd w:val="0"/>
                    <w:snapToGrid w:val="0"/>
                    <w:jc w:val="center"/>
                    <w:rPr>
                      <w:rFonts w:hint="default" w:ascii="Times New Roman" w:hAnsi="Times New Roman" w:eastAsia="宋体" w:cs="Times New Roman"/>
                      <w:b/>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color w:val="000000" w:themeColor="text1"/>
                      <w:szCs w:val="21"/>
                      <w:highlight w:val="none"/>
                      <w:lang w:eastAsia="zh-CN"/>
                      <w14:textFill>
                        <w14:solidFill>
                          <w14:schemeClr w14:val="tx1"/>
                        </w14:solidFill>
                      </w14:textFill>
                    </w:rPr>
                    <w:t>标准值</w:t>
                  </w:r>
                </w:p>
              </w:tc>
              <w:tc>
                <w:tcPr>
                  <w:tcW w:w="2369" w:type="dxa"/>
                  <w:tcBorders>
                    <w:tl2br w:val="nil"/>
                    <w:tr2bl w:val="nil"/>
                  </w:tcBorders>
                  <w:noWrap w:val="0"/>
                  <w:vAlign w:val="center"/>
                </w:tcPr>
                <w:p>
                  <w:pPr>
                    <w:adjustRightInd w:val="0"/>
                    <w:snapToGrid w:val="0"/>
                    <w:jc w:val="center"/>
                    <w:rPr>
                      <w:rFonts w:hint="default" w:ascii="Times New Roman" w:hAnsi="Times New Roman" w:eastAsia="宋体" w:cs="Times New Roman"/>
                      <w:b/>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color w:val="000000" w:themeColor="text1"/>
                      <w:szCs w:val="21"/>
                      <w:highlight w:val="none"/>
                      <w:lang w:eastAsia="zh-CN"/>
                      <w14:textFill>
                        <w14:solidFill>
                          <w14:schemeClr w14:val="tx1"/>
                        </w14:solidFill>
                      </w14:textFill>
                    </w:rPr>
                    <w:t>执行标准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822"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1</w:t>
                  </w:r>
                </w:p>
              </w:tc>
              <w:tc>
                <w:tcPr>
                  <w:tcW w:w="358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氨（kg/h）</w:t>
                  </w:r>
                </w:p>
              </w:tc>
              <w:tc>
                <w:tcPr>
                  <w:tcW w:w="1739" w:type="dxa"/>
                  <w:tcBorders>
                    <w:tl2br w:val="nil"/>
                    <w:tr2bl w:val="nil"/>
                  </w:tcBorders>
                  <w:noWrap w:val="0"/>
                  <w:vAlign w:val="center"/>
                </w:tcPr>
                <w:p>
                  <w:pPr>
                    <w:pStyle w:val="119"/>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4.9</w:t>
                  </w:r>
                </w:p>
              </w:tc>
              <w:tc>
                <w:tcPr>
                  <w:tcW w:w="2369" w:type="dxa"/>
                  <w:vMerge w:val="restart"/>
                  <w:tcBorders>
                    <w:tl2br w:val="nil"/>
                    <w:tr2bl w:val="nil"/>
                  </w:tcBorders>
                  <w:noWrap w:val="0"/>
                  <w:vAlign w:val="center"/>
                </w:tcPr>
                <w:p>
                  <w:pPr>
                    <w:pStyle w:val="119"/>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GB14554-93表2恶臭污染物排放标准值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822"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2</w:t>
                  </w:r>
                </w:p>
              </w:tc>
              <w:tc>
                <w:tcPr>
                  <w:tcW w:w="358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硫化氢（kg/h）</w:t>
                  </w:r>
                </w:p>
              </w:tc>
              <w:tc>
                <w:tcPr>
                  <w:tcW w:w="1739"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0.33</w:t>
                  </w:r>
                </w:p>
              </w:tc>
              <w:tc>
                <w:tcPr>
                  <w:tcW w:w="2369" w:type="dxa"/>
                  <w:vMerge w:val="continue"/>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822"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3</w:t>
                  </w:r>
                </w:p>
              </w:tc>
              <w:tc>
                <w:tcPr>
                  <w:tcW w:w="358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臭气浓度（无量纲）</w:t>
                  </w:r>
                </w:p>
              </w:tc>
              <w:tc>
                <w:tcPr>
                  <w:tcW w:w="1739"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2000</w:t>
                  </w:r>
                </w:p>
              </w:tc>
              <w:tc>
                <w:tcPr>
                  <w:tcW w:w="2369" w:type="dxa"/>
                  <w:vMerge w:val="continue"/>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p>
              </w:tc>
            </w:tr>
          </w:tbl>
          <w:p>
            <w:pPr>
              <w:spacing w:line="360" w:lineRule="auto"/>
              <w:ind w:firstLine="422" w:firstLineChars="200"/>
              <w:jc w:val="center"/>
              <w:rPr>
                <w:rFonts w:hint="default" w:ascii="Times New Roman" w:hAnsi="Times New Roman" w:cs="Times New Roman"/>
                <w:b/>
                <w:bCs/>
                <w:color w:val="000000" w:themeColor="text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Cs w:val="21"/>
                <w:highlight w:val="none"/>
                <w:lang w:eastAsia="zh-CN"/>
                <w14:textFill>
                  <w14:solidFill>
                    <w14:schemeClr w14:val="tx1"/>
                  </w14:solidFill>
                </w14:textFill>
              </w:rPr>
              <w:t>表</w:t>
            </w:r>
            <w:r>
              <w:rPr>
                <w:rFonts w:hint="default" w:ascii="Times New Roman" w:hAnsi="Times New Roman" w:cs="Times New Roman"/>
                <w:b/>
                <w:bCs/>
                <w:color w:val="000000" w:themeColor="text1"/>
                <w:szCs w:val="21"/>
                <w:highlight w:val="none"/>
                <w:lang w:val="en-US" w:eastAsia="zh-CN"/>
                <w14:textFill>
                  <w14:solidFill>
                    <w14:schemeClr w14:val="tx1"/>
                  </w14:solidFill>
                </w14:textFill>
              </w:rPr>
              <w:t>4-6 医疗污水处理设施周边大气污染物最高允许浓度</w:t>
            </w:r>
          </w:p>
          <w:tbl>
            <w:tblPr>
              <w:tblStyle w:val="31"/>
              <w:tblW w:w="8517"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22"/>
              <w:gridCol w:w="3587"/>
              <w:gridCol w:w="1739"/>
              <w:gridCol w:w="236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223" w:hRule="atLeast"/>
                <w:jc w:val="center"/>
              </w:trPr>
              <w:tc>
                <w:tcPr>
                  <w:tcW w:w="822" w:type="dxa"/>
                  <w:tcBorders>
                    <w:tl2br w:val="nil"/>
                    <w:tr2bl w:val="nil"/>
                  </w:tcBorders>
                  <w:noWrap w:val="0"/>
                  <w:vAlign w:val="center"/>
                </w:tcPr>
                <w:p>
                  <w:pPr>
                    <w:adjustRightInd w:val="0"/>
                    <w:snapToGrid w:val="0"/>
                    <w:jc w:val="center"/>
                    <w:rPr>
                      <w:rFonts w:hint="default" w:ascii="Times New Roman" w:hAnsi="Times New Roman" w:eastAsia="宋体" w:cs="Times New Roman"/>
                      <w:b/>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color w:val="000000" w:themeColor="text1"/>
                      <w:szCs w:val="21"/>
                      <w:highlight w:val="none"/>
                      <w:lang w:eastAsia="zh-CN"/>
                      <w14:textFill>
                        <w14:solidFill>
                          <w14:schemeClr w14:val="tx1"/>
                        </w14:solidFill>
                      </w14:textFill>
                    </w:rPr>
                    <w:t>序号</w:t>
                  </w:r>
                </w:p>
              </w:tc>
              <w:tc>
                <w:tcPr>
                  <w:tcW w:w="3587" w:type="dxa"/>
                  <w:tcBorders>
                    <w:tl2br w:val="nil"/>
                    <w:tr2bl w:val="nil"/>
                  </w:tcBorders>
                  <w:noWrap w:val="0"/>
                  <w:vAlign w:val="center"/>
                </w:tcPr>
                <w:p>
                  <w:pPr>
                    <w:adjustRightInd w:val="0"/>
                    <w:snapToGrid w:val="0"/>
                    <w:jc w:val="center"/>
                    <w:rPr>
                      <w:rFonts w:hint="default" w:ascii="Times New Roman" w:hAnsi="Times New Roman" w:eastAsia="宋体" w:cs="Times New Roman"/>
                      <w:b/>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color w:val="000000" w:themeColor="text1"/>
                      <w:szCs w:val="21"/>
                      <w:highlight w:val="none"/>
                      <w:lang w:eastAsia="zh-CN"/>
                      <w14:textFill>
                        <w14:solidFill>
                          <w14:schemeClr w14:val="tx1"/>
                        </w14:solidFill>
                      </w14:textFill>
                    </w:rPr>
                    <w:t>控制项目</w:t>
                  </w:r>
                </w:p>
              </w:tc>
              <w:tc>
                <w:tcPr>
                  <w:tcW w:w="1739" w:type="dxa"/>
                  <w:tcBorders>
                    <w:tl2br w:val="nil"/>
                    <w:tr2bl w:val="nil"/>
                  </w:tcBorders>
                  <w:noWrap w:val="0"/>
                  <w:vAlign w:val="center"/>
                </w:tcPr>
                <w:p>
                  <w:pPr>
                    <w:adjustRightInd w:val="0"/>
                    <w:snapToGrid w:val="0"/>
                    <w:jc w:val="center"/>
                    <w:rPr>
                      <w:rFonts w:hint="default" w:ascii="Times New Roman" w:hAnsi="Times New Roman" w:eastAsia="宋体" w:cs="Times New Roman"/>
                      <w:b/>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color w:val="000000" w:themeColor="text1"/>
                      <w:szCs w:val="21"/>
                      <w:highlight w:val="none"/>
                      <w:lang w:eastAsia="zh-CN"/>
                      <w14:textFill>
                        <w14:solidFill>
                          <w14:schemeClr w14:val="tx1"/>
                        </w14:solidFill>
                      </w14:textFill>
                    </w:rPr>
                    <w:t>标准值</w:t>
                  </w:r>
                </w:p>
              </w:tc>
              <w:tc>
                <w:tcPr>
                  <w:tcW w:w="2369" w:type="dxa"/>
                  <w:tcBorders>
                    <w:tl2br w:val="nil"/>
                    <w:tr2bl w:val="nil"/>
                  </w:tcBorders>
                  <w:noWrap w:val="0"/>
                  <w:vAlign w:val="center"/>
                </w:tcPr>
                <w:p>
                  <w:pPr>
                    <w:adjustRightInd w:val="0"/>
                    <w:snapToGrid w:val="0"/>
                    <w:jc w:val="center"/>
                    <w:rPr>
                      <w:rFonts w:hint="default" w:ascii="Times New Roman" w:hAnsi="Times New Roman" w:eastAsia="宋体" w:cs="Times New Roman"/>
                      <w:b/>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color w:val="000000" w:themeColor="text1"/>
                      <w:szCs w:val="21"/>
                      <w:highlight w:val="none"/>
                      <w:lang w:eastAsia="zh-CN"/>
                      <w14:textFill>
                        <w14:solidFill>
                          <w14:schemeClr w14:val="tx1"/>
                        </w14:solidFill>
                      </w14:textFill>
                    </w:rPr>
                    <w:t>执行标准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822"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1</w:t>
                  </w:r>
                </w:p>
              </w:tc>
              <w:tc>
                <w:tcPr>
                  <w:tcW w:w="358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氨（mg/m</w:t>
                  </w:r>
                  <w:r>
                    <w:rPr>
                      <w:rFonts w:hint="default" w:ascii="Times New Roman" w:hAnsi="Times New Roman" w:eastAsia="宋体" w:cs="Times New Roman"/>
                      <w:color w:val="000000" w:themeColor="text1"/>
                      <w:spacing w:val="0"/>
                      <w:sz w:val="21"/>
                      <w:szCs w:val="21"/>
                      <w:highlight w:val="none"/>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w:t>
                  </w:r>
                </w:p>
              </w:tc>
              <w:tc>
                <w:tcPr>
                  <w:tcW w:w="1739" w:type="dxa"/>
                  <w:tcBorders>
                    <w:tl2br w:val="nil"/>
                    <w:tr2bl w:val="nil"/>
                  </w:tcBorders>
                  <w:noWrap w:val="0"/>
                  <w:vAlign w:val="center"/>
                </w:tcPr>
                <w:p>
                  <w:pPr>
                    <w:pStyle w:val="119"/>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1.0</w:t>
                  </w:r>
                </w:p>
              </w:tc>
              <w:tc>
                <w:tcPr>
                  <w:tcW w:w="2369" w:type="dxa"/>
                  <w:vMerge w:val="restart"/>
                  <w:tcBorders>
                    <w:tl2br w:val="nil"/>
                    <w:tr2bl w:val="nil"/>
                  </w:tcBorders>
                  <w:noWrap w:val="0"/>
                  <w:vAlign w:val="center"/>
                </w:tcPr>
                <w:p>
                  <w:pPr>
                    <w:pStyle w:val="119"/>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GB18466-2005污水处理设施周边大气污染物最高允许浓度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822"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2</w:t>
                  </w:r>
                </w:p>
              </w:tc>
              <w:tc>
                <w:tcPr>
                  <w:tcW w:w="358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硫化氢（mg/m</w:t>
                  </w:r>
                  <w:r>
                    <w:rPr>
                      <w:rFonts w:hint="default" w:ascii="Times New Roman" w:hAnsi="Times New Roman" w:eastAsia="宋体" w:cs="Times New Roman"/>
                      <w:color w:val="000000" w:themeColor="text1"/>
                      <w:spacing w:val="0"/>
                      <w:sz w:val="21"/>
                      <w:szCs w:val="21"/>
                      <w:highlight w:val="none"/>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w:t>
                  </w:r>
                </w:p>
              </w:tc>
              <w:tc>
                <w:tcPr>
                  <w:tcW w:w="1739"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0.03</w:t>
                  </w:r>
                </w:p>
              </w:tc>
              <w:tc>
                <w:tcPr>
                  <w:tcW w:w="2369" w:type="dxa"/>
                  <w:vMerge w:val="continue"/>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822"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3</w:t>
                  </w:r>
                </w:p>
              </w:tc>
              <w:tc>
                <w:tcPr>
                  <w:tcW w:w="3587"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臭气浓度（无量纲）</w:t>
                  </w:r>
                </w:p>
              </w:tc>
              <w:tc>
                <w:tcPr>
                  <w:tcW w:w="1739"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10.0</w:t>
                  </w:r>
                </w:p>
              </w:tc>
              <w:tc>
                <w:tcPr>
                  <w:tcW w:w="2369" w:type="dxa"/>
                  <w:vMerge w:val="continue"/>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p>
              </w:tc>
            </w:tr>
          </w:tbl>
          <w:p>
            <w:pPr>
              <w:spacing w:line="360" w:lineRule="auto"/>
              <w:ind w:firstLine="422" w:firstLineChars="200"/>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表</w:t>
            </w:r>
            <w:r>
              <w:rPr>
                <w:rFonts w:hint="default" w:ascii="Times New Roman" w:hAnsi="Times New Roman" w:cs="Times New Roman"/>
                <w:b/>
                <w:bCs/>
                <w:color w:val="000000" w:themeColor="text1"/>
                <w:szCs w:val="21"/>
                <w:highlight w:val="none"/>
                <w:lang w:val="en-US" w:eastAsia="zh-CN"/>
                <w14:textFill>
                  <w14:solidFill>
                    <w14:schemeClr w14:val="tx1"/>
                  </w14:solidFill>
                </w14:textFill>
              </w:rPr>
              <w:t xml:space="preserve">4-7 </w:t>
            </w:r>
            <w:r>
              <w:rPr>
                <w:rFonts w:hint="default" w:ascii="Times New Roman" w:hAnsi="Times New Roman" w:cs="Times New Roman"/>
                <w:b/>
                <w:bCs/>
                <w:color w:val="000000" w:themeColor="text1"/>
                <w:szCs w:val="21"/>
                <w:highlight w:val="none"/>
                <w14:textFill>
                  <w14:solidFill>
                    <w14:schemeClr w14:val="tx1"/>
                  </w14:solidFill>
                </w14:textFill>
              </w:rPr>
              <w:t xml:space="preserve"> </w:t>
            </w:r>
            <w:r>
              <w:rPr>
                <w:rFonts w:hint="default" w:ascii="Times New Roman" w:hAnsi="Times New Roman" w:cs="Times New Roman"/>
                <w:b/>
                <w:bCs/>
                <w:color w:val="000000" w:themeColor="text1"/>
                <w:szCs w:val="21"/>
                <w:highlight w:val="none"/>
                <w:lang w:val="en-US" w:eastAsia="zh-CN"/>
                <w14:textFill>
                  <w14:solidFill>
                    <w14:schemeClr w14:val="tx1"/>
                  </w14:solidFill>
                </w14:textFill>
              </w:rPr>
              <w:t>DB44/27-2001</w:t>
            </w:r>
            <w:r>
              <w:rPr>
                <w:rFonts w:hint="default" w:ascii="Times New Roman" w:hAnsi="Times New Roman" w:cs="Times New Roman"/>
                <w:b/>
                <w:bCs/>
                <w:color w:val="000000" w:themeColor="text1"/>
                <w:szCs w:val="21"/>
                <w:highlight w:val="none"/>
                <w14:textFill>
                  <w14:solidFill>
                    <w14:schemeClr w14:val="tx1"/>
                  </w14:solidFill>
                </w14:textFill>
              </w:rPr>
              <w:t>大气污染物排放标准</w:t>
            </w:r>
          </w:p>
          <w:tbl>
            <w:tblPr>
              <w:tblStyle w:val="31"/>
              <w:tblW w:w="8642"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94"/>
              <w:gridCol w:w="1282"/>
              <w:gridCol w:w="1136"/>
              <w:gridCol w:w="687"/>
              <w:gridCol w:w="993"/>
              <w:gridCol w:w="1107"/>
              <w:gridCol w:w="24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0" w:hRule="atLeast"/>
                <w:jc w:val="center"/>
              </w:trPr>
              <w:tc>
                <w:tcPr>
                  <w:tcW w:w="994" w:type="dxa"/>
                  <w:vMerge w:val="restart"/>
                  <w:tcBorders>
                    <w:tl2br w:val="nil"/>
                    <w:tr2bl w:val="nil"/>
                  </w:tcBorders>
                  <w:noWrap w:val="0"/>
                  <w:vAlign w:val="center"/>
                </w:tcPr>
                <w:p>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污染物</w:t>
                  </w:r>
                </w:p>
                <w:p>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名称</w:t>
                  </w:r>
                </w:p>
              </w:tc>
              <w:tc>
                <w:tcPr>
                  <w:tcW w:w="1282" w:type="dxa"/>
                  <w:vMerge w:val="restart"/>
                  <w:tcBorders>
                    <w:tl2br w:val="nil"/>
                    <w:tr2bl w:val="nil"/>
                  </w:tcBorders>
                  <w:noWrap w:val="0"/>
                  <w:vAlign w:val="center"/>
                </w:tcPr>
                <w:p>
                  <w:pPr>
                    <w:autoSpaceDE w:val="0"/>
                    <w:autoSpaceDN w:val="0"/>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最高允许</w:t>
                  </w:r>
                </w:p>
                <w:p>
                  <w:pPr>
                    <w:autoSpaceDE w:val="0"/>
                    <w:autoSpaceDN w:val="0"/>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排放浓度</w:t>
                  </w:r>
                </w:p>
                <w:p>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kern w:val="0"/>
                      <w:sz w:val="24"/>
                      <w:szCs w:val="21"/>
                      <w:highlight w:val="none"/>
                      <w14:textFill>
                        <w14:solidFill>
                          <w14:schemeClr w14:val="tx1"/>
                        </w14:solidFill>
                      </w14:textFill>
                    </w:rPr>
                    <w:t>(</w:t>
                  </w:r>
                  <w:r>
                    <w:rPr>
                      <w:rFonts w:hint="default" w:ascii="Times New Roman" w:hAnsi="Times New Roman" w:cs="Times New Roman"/>
                      <w:b/>
                      <w:color w:val="000000" w:themeColor="text1"/>
                      <w:kern w:val="0"/>
                      <w:szCs w:val="21"/>
                      <w:highlight w:val="none"/>
                      <w14:textFill>
                        <w14:solidFill>
                          <w14:schemeClr w14:val="tx1"/>
                        </w14:solidFill>
                      </w14:textFill>
                    </w:rPr>
                    <w:t>mg/m</w:t>
                  </w:r>
                  <w:r>
                    <w:rPr>
                      <w:rFonts w:hint="default" w:ascii="Times New Roman" w:hAnsi="Times New Roman" w:cs="Times New Roman"/>
                      <w:b/>
                      <w:color w:val="000000" w:themeColor="text1"/>
                      <w:kern w:val="0"/>
                      <w:szCs w:val="21"/>
                      <w:highlight w:val="none"/>
                      <w:vertAlign w:val="superscript"/>
                      <w14:textFill>
                        <w14:solidFill>
                          <w14:schemeClr w14:val="tx1"/>
                        </w14:solidFill>
                      </w14:textFill>
                    </w:rPr>
                    <w:t>3</w:t>
                  </w:r>
                  <w:r>
                    <w:rPr>
                      <w:rFonts w:hint="default" w:ascii="Times New Roman" w:hAnsi="Times New Roman" w:cs="Times New Roman"/>
                      <w:b/>
                      <w:color w:val="000000" w:themeColor="text1"/>
                      <w:kern w:val="0"/>
                      <w:sz w:val="24"/>
                      <w:szCs w:val="21"/>
                      <w:highlight w:val="none"/>
                      <w14:textFill>
                        <w14:solidFill>
                          <w14:schemeClr w14:val="tx1"/>
                        </w14:solidFill>
                      </w14:textFill>
                    </w:rPr>
                    <w:t>)</w:t>
                  </w:r>
                </w:p>
              </w:tc>
              <w:tc>
                <w:tcPr>
                  <w:tcW w:w="1823" w:type="dxa"/>
                  <w:gridSpan w:val="2"/>
                  <w:tcBorders>
                    <w:tl2br w:val="nil"/>
                    <w:tr2bl w:val="nil"/>
                  </w:tcBorders>
                  <w:noWrap w:val="0"/>
                  <w:vAlign w:val="center"/>
                </w:tcPr>
                <w:p>
                  <w:pPr>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最高允许</w:t>
                  </w:r>
                </w:p>
                <w:p>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排放速率（kg/h）</w:t>
                  </w:r>
                </w:p>
              </w:tc>
              <w:tc>
                <w:tcPr>
                  <w:tcW w:w="2100" w:type="dxa"/>
                  <w:gridSpan w:val="2"/>
                  <w:tcBorders>
                    <w:tl2br w:val="nil"/>
                    <w:tr2bl w:val="nil"/>
                  </w:tcBorders>
                  <w:noWrap w:val="0"/>
                  <w:vAlign w:val="center"/>
                </w:tcPr>
                <w:p>
                  <w:pPr>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无组织排放</w:t>
                  </w:r>
                </w:p>
                <w:p>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监控浓度限值</w:t>
                  </w:r>
                </w:p>
              </w:tc>
              <w:tc>
                <w:tcPr>
                  <w:tcW w:w="2443" w:type="dxa"/>
                  <w:vMerge w:val="restart"/>
                  <w:tcBorders>
                    <w:tl2br w:val="nil"/>
                    <w:tr2bl w:val="nil"/>
                  </w:tcBorders>
                  <w:noWrap w:val="0"/>
                  <w:vAlign w:val="center"/>
                </w:tcPr>
                <w:p>
                  <w:pPr>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标准来源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0" w:hRule="atLeast"/>
                <w:jc w:val="center"/>
              </w:trPr>
              <w:tc>
                <w:tcPr>
                  <w:tcW w:w="994" w:type="dxa"/>
                  <w:vMerge w:val="continue"/>
                  <w:tcBorders>
                    <w:tl2br w:val="nil"/>
                    <w:tr2bl w:val="nil"/>
                  </w:tcBorders>
                  <w:noWrap w:val="0"/>
                  <w:vAlign w:val="center"/>
                </w:tcPr>
                <w:p>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p>
              </w:tc>
              <w:tc>
                <w:tcPr>
                  <w:tcW w:w="1282" w:type="dxa"/>
                  <w:vMerge w:val="continue"/>
                  <w:tcBorders>
                    <w:tl2br w:val="nil"/>
                    <w:tr2bl w:val="nil"/>
                  </w:tcBorders>
                  <w:noWrap w:val="0"/>
                  <w:vAlign w:val="center"/>
                </w:tcPr>
                <w:p>
                  <w:pPr>
                    <w:autoSpaceDE w:val="0"/>
                    <w:autoSpaceDN w:val="0"/>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p>
              </w:tc>
              <w:tc>
                <w:tcPr>
                  <w:tcW w:w="1136" w:type="dxa"/>
                  <w:tcBorders>
                    <w:tl2br w:val="nil"/>
                    <w:tr2bl w:val="nil"/>
                  </w:tcBorders>
                  <w:noWrap w:val="0"/>
                  <w:vAlign w:val="center"/>
                </w:tcPr>
                <w:p>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排气筒高度（m）</w:t>
                  </w:r>
                </w:p>
              </w:tc>
              <w:tc>
                <w:tcPr>
                  <w:tcW w:w="687" w:type="dxa"/>
                  <w:tcBorders>
                    <w:tl2br w:val="nil"/>
                    <w:tr2bl w:val="nil"/>
                  </w:tcBorders>
                  <w:noWrap w:val="0"/>
                  <w:vAlign w:val="center"/>
                </w:tcPr>
                <w:p>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二级</w:t>
                  </w:r>
                </w:p>
              </w:tc>
              <w:tc>
                <w:tcPr>
                  <w:tcW w:w="993" w:type="dxa"/>
                  <w:tcBorders>
                    <w:tl2br w:val="nil"/>
                    <w:tr2bl w:val="nil"/>
                  </w:tcBorders>
                  <w:noWrap w:val="0"/>
                  <w:vAlign w:val="center"/>
                </w:tcPr>
                <w:p>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监控点</w:t>
                  </w:r>
                </w:p>
              </w:tc>
              <w:tc>
                <w:tcPr>
                  <w:tcW w:w="1107" w:type="dxa"/>
                  <w:tcBorders>
                    <w:tl2br w:val="nil"/>
                    <w:tr2bl w:val="nil"/>
                  </w:tcBorders>
                  <w:noWrap w:val="0"/>
                  <w:vAlign w:val="center"/>
                </w:tcPr>
                <w:p>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浓度(mg/m</w:t>
                  </w:r>
                  <w:r>
                    <w:rPr>
                      <w:rFonts w:hint="default" w:ascii="Times New Roman" w:hAnsi="Times New Roman" w:cs="Times New Roman"/>
                      <w:b/>
                      <w:color w:val="000000" w:themeColor="text1"/>
                      <w:kern w:val="0"/>
                      <w:szCs w:val="21"/>
                      <w:highlight w:val="none"/>
                      <w:vertAlign w:val="superscript"/>
                      <w14:textFill>
                        <w14:solidFill>
                          <w14:schemeClr w14:val="tx1"/>
                        </w14:solidFill>
                      </w14:textFill>
                    </w:rPr>
                    <w:t>3</w:t>
                  </w:r>
                  <w:r>
                    <w:rPr>
                      <w:rFonts w:hint="default" w:ascii="Times New Roman" w:hAnsi="Times New Roman" w:cs="Times New Roman"/>
                      <w:b/>
                      <w:color w:val="000000" w:themeColor="text1"/>
                      <w:kern w:val="0"/>
                      <w:szCs w:val="21"/>
                      <w:highlight w:val="none"/>
                      <w14:textFill>
                        <w14:solidFill>
                          <w14:schemeClr w14:val="tx1"/>
                        </w14:solidFill>
                      </w14:textFill>
                    </w:rPr>
                    <w:t>)</w:t>
                  </w:r>
                </w:p>
              </w:tc>
              <w:tc>
                <w:tcPr>
                  <w:tcW w:w="2443" w:type="dxa"/>
                  <w:vMerge w:val="continue"/>
                  <w:tcBorders>
                    <w:tl2br w:val="nil"/>
                    <w:tr2bl w:val="nil"/>
                  </w:tcBorders>
                  <w:noWrap w:val="0"/>
                  <w:vAlign w:val="center"/>
                </w:tcPr>
                <w:p>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0" w:hRule="atLeast"/>
                <w:jc w:val="center"/>
              </w:trPr>
              <w:tc>
                <w:tcPr>
                  <w:tcW w:w="994"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SO</w:t>
                  </w:r>
                  <w:r>
                    <w:rPr>
                      <w:rFonts w:hint="default" w:ascii="Times New Roman" w:hAnsi="Times New Roman" w:cs="Times New Roman"/>
                      <w:color w:val="000000" w:themeColor="text1"/>
                      <w:szCs w:val="21"/>
                      <w:highlight w:val="none"/>
                      <w:vertAlign w:val="subscript"/>
                      <w:lang w:val="en-US" w:eastAsia="zh-CN"/>
                      <w14:textFill>
                        <w14:solidFill>
                          <w14:schemeClr w14:val="tx1"/>
                        </w14:solidFill>
                      </w14:textFill>
                    </w:rPr>
                    <w:t>2</w:t>
                  </w:r>
                </w:p>
              </w:tc>
              <w:tc>
                <w:tcPr>
                  <w:tcW w:w="1282"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550</w:t>
                  </w:r>
                </w:p>
              </w:tc>
              <w:tc>
                <w:tcPr>
                  <w:tcW w:w="1136"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20</w:t>
                  </w:r>
                </w:p>
              </w:tc>
              <w:tc>
                <w:tcPr>
                  <w:tcW w:w="687"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3.6</w:t>
                  </w:r>
                </w:p>
              </w:tc>
              <w:tc>
                <w:tcPr>
                  <w:tcW w:w="993" w:type="dxa"/>
                  <w:vMerge w:val="restart"/>
                  <w:tcBorders>
                    <w:tl2br w:val="nil"/>
                    <w:tr2bl w:val="nil"/>
                  </w:tcBorders>
                  <w:noWrap w:val="0"/>
                  <w:vAlign w:val="center"/>
                </w:tcPr>
                <w:p>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周界外浓度最高点</w:t>
                  </w:r>
                </w:p>
              </w:tc>
              <w:tc>
                <w:tcPr>
                  <w:tcW w:w="1107"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0.4</w:t>
                  </w:r>
                </w:p>
              </w:tc>
              <w:tc>
                <w:tcPr>
                  <w:tcW w:w="2443" w:type="dxa"/>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000000" w:themeColor="text1"/>
                      <w:kern w:val="0"/>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广东省《大气污染物排放限值》（DB44/27-2001）二级标准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0" w:hRule="atLeast"/>
                <w:jc w:val="center"/>
              </w:trPr>
              <w:tc>
                <w:tcPr>
                  <w:tcW w:w="994" w:type="dxa"/>
                  <w:tcBorders>
                    <w:tl2br w:val="nil"/>
                    <w:tr2bl w:val="nil"/>
                  </w:tcBorders>
                  <w:noWrap w:val="0"/>
                  <w:vAlign w:val="center"/>
                </w:tcPr>
                <w:p>
                  <w:pPr>
                    <w:spacing w:line="320" w:lineRule="exact"/>
                    <w:jc w:val="center"/>
                    <w:rPr>
                      <w:rFonts w:hint="default" w:ascii="Times New Roman" w:hAnsi="Times New Roman" w:eastAsia="宋体" w:cs="Times New Roman"/>
                      <w:color w:val="000000" w:themeColor="text1"/>
                      <w:kern w:val="0"/>
                      <w:szCs w:val="20"/>
                      <w:highlight w:val="none"/>
                      <w:lang w:val="en-US" w:eastAsia="zh-CN"/>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NO</w:t>
                  </w:r>
                  <w:r>
                    <w:rPr>
                      <w:rFonts w:hint="default" w:ascii="Times New Roman" w:hAnsi="Times New Roman" w:cs="Times New Roman"/>
                      <w:color w:val="000000" w:themeColor="text1"/>
                      <w:kern w:val="0"/>
                      <w:szCs w:val="21"/>
                      <w:highlight w:val="none"/>
                      <w:vertAlign w:val="subscript"/>
                      <w:lang w:val="en-US" w:eastAsia="zh-CN"/>
                      <w14:textFill>
                        <w14:solidFill>
                          <w14:schemeClr w14:val="tx1"/>
                        </w14:solidFill>
                      </w14:textFill>
                    </w:rPr>
                    <w:t>x</w:t>
                  </w:r>
                </w:p>
              </w:tc>
              <w:tc>
                <w:tcPr>
                  <w:tcW w:w="1282"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240</w:t>
                  </w:r>
                </w:p>
              </w:tc>
              <w:tc>
                <w:tcPr>
                  <w:tcW w:w="1136"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20</w:t>
                  </w:r>
                </w:p>
              </w:tc>
              <w:tc>
                <w:tcPr>
                  <w:tcW w:w="687"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1.0</w:t>
                  </w:r>
                </w:p>
              </w:tc>
              <w:tc>
                <w:tcPr>
                  <w:tcW w:w="993"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107"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0.12</w:t>
                  </w:r>
                </w:p>
              </w:tc>
              <w:tc>
                <w:tcPr>
                  <w:tcW w:w="2443"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0" w:hRule="atLeast"/>
                <w:jc w:val="center"/>
              </w:trPr>
              <w:tc>
                <w:tcPr>
                  <w:tcW w:w="994" w:type="dxa"/>
                  <w:tcBorders>
                    <w:tl2br w:val="nil"/>
                    <w:tr2bl w:val="nil"/>
                  </w:tcBorders>
                  <w:noWrap w:val="0"/>
                  <w:vAlign w:val="center"/>
                </w:tcPr>
                <w:p>
                  <w:pPr>
                    <w:spacing w:line="320" w:lineRule="exact"/>
                    <w:jc w:val="center"/>
                    <w:rPr>
                      <w:rFonts w:hint="default" w:ascii="Times New Roman" w:hAnsi="Times New Roman" w:eastAsia="宋体" w:cs="Times New Roman"/>
                      <w:color w:val="000000" w:themeColor="text1"/>
                      <w:kern w:val="0"/>
                      <w:szCs w:val="20"/>
                      <w:highlight w:val="none"/>
                      <w:lang w:eastAsia="zh-CN"/>
                      <w14:textFill>
                        <w14:solidFill>
                          <w14:schemeClr w14:val="tx1"/>
                        </w14:solidFill>
                      </w14:textFill>
                    </w:rPr>
                  </w:pPr>
                  <w:r>
                    <w:rPr>
                      <w:rFonts w:hint="default" w:ascii="Times New Roman" w:hAnsi="Times New Roman" w:cs="Times New Roman"/>
                      <w:color w:val="000000" w:themeColor="text1"/>
                      <w:kern w:val="0"/>
                      <w:szCs w:val="21"/>
                      <w:highlight w:val="none"/>
                      <w:lang w:eastAsia="zh-CN"/>
                      <w14:textFill>
                        <w14:solidFill>
                          <w14:schemeClr w14:val="tx1"/>
                        </w14:solidFill>
                      </w14:textFill>
                    </w:rPr>
                    <w:t>颗粒物</w:t>
                  </w:r>
                </w:p>
              </w:tc>
              <w:tc>
                <w:tcPr>
                  <w:tcW w:w="1282"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120</w:t>
                  </w:r>
                </w:p>
              </w:tc>
              <w:tc>
                <w:tcPr>
                  <w:tcW w:w="1136"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20</w:t>
                  </w:r>
                </w:p>
              </w:tc>
              <w:tc>
                <w:tcPr>
                  <w:tcW w:w="687"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4.8</w:t>
                  </w:r>
                </w:p>
              </w:tc>
              <w:tc>
                <w:tcPr>
                  <w:tcW w:w="993" w:type="dxa"/>
                  <w:vMerge w:val="continue"/>
                  <w:tcBorders>
                    <w:tl2br w:val="nil"/>
                    <w:tr2bl w:val="nil"/>
                  </w:tcBorders>
                  <w:noWrap w:val="0"/>
                  <w:vAlign w:val="center"/>
                </w:tcPr>
                <w:p>
                  <w:pPr>
                    <w:adjustRightInd w:val="0"/>
                    <w:snapToGrid w:val="0"/>
                    <w:ind w:firstLine="420" w:firstLineChars="20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107"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1.0</w:t>
                  </w:r>
                </w:p>
              </w:tc>
              <w:tc>
                <w:tcPr>
                  <w:tcW w:w="2443" w:type="dxa"/>
                  <w:vMerge w:val="continue"/>
                  <w:tcBorders>
                    <w:tl2br w:val="nil"/>
                    <w:tr2bl w:val="nil"/>
                  </w:tcBorders>
                  <w:noWrap w:val="0"/>
                  <w:vAlign w:val="center"/>
                </w:tcPr>
                <w:p>
                  <w:pPr>
                    <w:adjustRightInd w:val="0"/>
                    <w:snapToGrid w:val="0"/>
                    <w:ind w:firstLine="420" w:firstLineChars="200"/>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0" w:hRule="atLeast"/>
                <w:jc w:val="center"/>
              </w:trPr>
              <w:tc>
                <w:tcPr>
                  <w:tcW w:w="994" w:type="dxa"/>
                  <w:tcBorders>
                    <w:tl2br w:val="nil"/>
                    <w:tr2bl w:val="nil"/>
                  </w:tcBorders>
                  <w:noWrap w:val="0"/>
                  <w:vAlign w:val="center"/>
                </w:tcPr>
                <w:p>
                  <w:pPr>
                    <w:spacing w:line="320" w:lineRule="exact"/>
                    <w:jc w:val="center"/>
                    <w:rPr>
                      <w:rFonts w:hint="default" w:ascii="Times New Roman" w:hAnsi="Times New Roman" w:cs="Times New Roman"/>
                      <w:color w:val="000000" w:themeColor="text1"/>
                      <w:kern w:val="0"/>
                      <w:szCs w:val="21"/>
                      <w:highlight w:val="none"/>
                      <w:lang w:eastAsia="zh-CN"/>
                      <w14:textFill>
                        <w14:solidFill>
                          <w14:schemeClr w14:val="tx1"/>
                        </w14:solidFill>
                      </w14:textFill>
                    </w:rPr>
                  </w:pPr>
                  <w:r>
                    <w:rPr>
                      <w:rFonts w:hint="default" w:ascii="Times New Roman" w:hAnsi="Times New Roman" w:cs="Times New Roman"/>
                      <w:color w:val="000000" w:themeColor="text1"/>
                      <w:kern w:val="0"/>
                      <w:szCs w:val="21"/>
                      <w:highlight w:val="none"/>
                      <w:lang w:eastAsia="zh-CN"/>
                      <w14:textFill>
                        <w14:solidFill>
                          <w14:schemeClr w14:val="tx1"/>
                        </w14:solidFill>
                      </w14:textFill>
                    </w:rPr>
                    <w:t>烟气黑度</w:t>
                  </w:r>
                </w:p>
              </w:tc>
              <w:tc>
                <w:tcPr>
                  <w:tcW w:w="1282" w:type="dxa"/>
                  <w:tcBorders>
                    <w:tl2br w:val="nil"/>
                    <w:tr2bl w:val="nil"/>
                  </w:tcBorders>
                  <w:noWrap w:val="0"/>
                  <w:vAlign w:val="center"/>
                </w:tcPr>
                <w:p>
                  <w:pPr>
                    <w:adjustRightInd w:val="0"/>
                    <w:snapToGrid w:val="0"/>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小于林格曼黑度1级</w:t>
                  </w:r>
                </w:p>
              </w:tc>
              <w:tc>
                <w:tcPr>
                  <w:tcW w:w="1136"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w:t>
                  </w:r>
                </w:p>
              </w:tc>
              <w:tc>
                <w:tcPr>
                  <w:tcW w:w="687" w:type="dxa"/>
                  <w:tcBorders>
                    <w:tl2br w:val="nil"/>
                    <w:tr2bl w:val="nil"/>
                  </w:tcBorders>
                  <w:noWrap w:val="0"/>
                  <w:vAlign w:val="center"/>
                </w:tcPr>
                <w:p>
                  <w:pPr>
                    <w:adjustRightInd w:val="0"/>
                    <w:snapToGrid w:val="0"/>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w:t>
                  </w:r>
                </w:p>
              </w:tc>
              <w:tc>
                <w:tcPr>
                  <w:tcW w:w="993"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w:t>
                  </w:r>
                </w:p>
              </w:tc>
              <w:tc>
                <w:tcPr>
                  <w:tcW w:w="1107" w:type="dxa"/>
                  <w:tcBorders>
                    <w:tl2br w:val="nil"/>
                    <w:tr2bl w:val="nil"/>
                  </w:tcBorders>
                  <w:noWrap w:val="0"/>
                  <w:vAlign w:val="center"/>
                </w:tcPr>
                <w:p>
                  <w:pPr>
                    <w:adjustRightInd w:val="0"/>
                    <w:snapToGrid w:val="0"/>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w:t>
                  </w:r>
                </w:p>
              </w:tc>
              <w:tc>
                <w:tcPr>
                  <w:tcW w:w="2443" w:type="dxa"/>
                  <w:vMerge w:val="continue"/>
                  <w:tcBorders>
                    <w:tl2br w:val="nil"/>
                    <w:tr2bl w:val="nil"/>
                  </w:tcBorders>
                  <w:noWrap w:val="0"/>
                  <w:vAlign w:val="center"/>
                </w:tcPr>
                <w:p>
                  <w:pPr>
                    <w:adjustRightInd w:val="0"/>
                    <w:snapToGrid w:val="0"/>
                    <w:ind w:firstLine="420" w:firstLineChars="20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p>
              </w:tc>
            </w:tr>
          </w:tbl>
          <w:p>
            <w:pPr>
              <w:spacing w:line="360" w:lineRule="auto"/>
              <w:ind w:firstLine="422" w:firstLineChars="200"/>
              <w:jc w:val="center"/>
              <w:rPr>
                <w:rFonts w:hint="default" w:ascii="Times New Roman" w:hAnsi="Times New Roman" w:cs="Times New Roman"/>
                <w:b/>
                <w:bCs/>
                <w:color w:val="000000" w:themeColor="text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Cs w:val="21"/>
                <w:highlight w:val="none"/>
                <w:lang w:eastAsia="zh-CN"/>
                <w14:textFill>
                  <w14:solidFill>
                    <w14:schemeClr w14:val="tx1"/>
                  </w14:solidFill>
                </w14:textFill>
              </w:rPr>
              <w:t>表</w:t>
            </w:r>
            <w:r>
              <w:rPr>
                <w:rFonts w:hint="default" w:ascii="Times New Roman" w:hAnsi="Times New Roman" w:cs="Times New Roman"/>
                <w:b/>
                <w:bCs/>
                <w:color w:val="000000" w:themeColor="text1"/>
                <w:szCs w:val="21"/>
                <w:highlight w:val="none"/>
                <w:lang w:val="en-US" w:eastAsia="zh-CN"/>
                <w14:textFill>
                  <w14:solidFill>
                    <w14:schemeClr w14:val="tx1"/>
                  </w14:solidFill>
                </w14:textFill>
              </w:rPr>
              <w:t>4-8《饮食业油烟排放标准（试行）》（GB18483-2001）</w:t>
            </w:r>
          </w:p>
          <w:tbl>
            <w:tblPr>
              <w:tblStyle w:val="31"/>
              <w:tblW w:w="8517"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922"/>
              <w:gridCol w:w="1868"/>
              <w:gridCol w:w="1896"/>
              <w:gridCol w:w="183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cantSplit/>
                <w:trHeight w:val="223" w:hRule="atLeast"/>
                <w:jc w:val="center"/>
              </w:trPr>
              <w:tc>
                <w:tcPr>
                  <w:tcW w:w="2922" w:type="dxa"/>
                  <w:tcBorders>
                    <w:tl2br w:val="nil"/>
                    <w:tr2bl w:val="nil"/>
                  </w:tcBorders>
                  <w:noWrap w:val="0"/>
                  <w:vAlign w:val="center"/>
                </w:tcPr>
                <w:p>
                  <w:pPr>
                    <w:adjustRightInd w:val="0"/>
                    <w:snapToGrid w:val="0"/>
                    <w:jc w:val="center"/>
                    <w:rPr>
                      <w:rFonts w:hint="default" w:ascii="Times New Roman" w:hAnsi="Times New Roman" w:eastAsia="宋体" w:cs="Times New Roman"/>
                      <w:b/>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color w:val="000000" w:themeColor="text1"/>
                      <w:szCs w:val="21"/>
                      <w:highlight w:val="none"/>
                      <w:lang w:eastAsia="zh-CN"/>
                      <w14:textFill>
                        <w14:solidFill>
                          <w14:schemeClr w14:val="tx1"/>
                        </w14:solidFill>
                      </w14:textFill>
                    </w:rPr>
                    <w:t>规模</w:t>
                  </w:r>
                </w:p>
              </w:tc>
              <w:tc>
                <w:tcPr>
                  <w:tcW w:w="1868" w:type="dxa"/>
                  <w:tcBorders>
                    <w:tl2br w:val="nil"/>
                    <w:tr2bl w:val="nil"/>
                  </w:tcBorders>
                  <w:noWrap w:val="0"/>
                  <w:vAlign w:val="center"/>
                </w:tcPr>
                <w:p>
                  <w:pPr>
                    <w:adjustRightInd w:val="0"/>
                    <w:snapToGrid w:val="0"/>
                    <w:jc w:val="center"/>
                    <w:rPr>
                      <w:rFonts w:hint="default" w:ascii="Times New Roman" w:hAnsi="Times New Roman" w:eastAsia="宋体" w:cs="Times New Roman"/>
                      <w:b/>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color w:val="000000" w:themeColor="text1"/>
                      <w:szCs w:val="21"/>
                      <w:highlight w:val="none"/>
                      <w:lang w:eastAsia="zh-CN"/>
                      <w14:textFill>
                        <w14:solidFill>
                          <w14:schemeClr w14:val="tx1"/>
                        </w14:solidFill>
                      </w14:textFill>
                    </w:rPr>
                    <w:t>小型</w:t>
                  </w:r>
                </w:p>
              </w:tc>
              <w:tc>
                <w:tcPr>
                  <w:tcW w:w="1896" w:type="dxa"/>
                  <w:tcBorders>
                    <w:tl2br w:val="nil"/>
                    <w:tr2bl w:val="nil"/>
                  </w:tcBorders>
                  <w:noWrap w:val="0"/>
                  <w:vAlign w:val="center"/>
                </w:tcPr>
                <w:p>
                  <w:pPr>
                    <w:adjustRightInd w:val="0"/>
                    <w:snapToGrid w:val="0"/>
                    <w:jc w:val="center"/>
                    <w:rPr>
                      <w:rFonts w:hint="default" w:ascii="Times New Roman" w:hAnsi="Times New Roman" w:eastAsia="宋体" w:cs="Times New Roman"/>
                      <w:b/>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color w:val="000000" w:themeColor="text1"/>
                      <w:szCs w:val="21"/>
                      <w:highlight w:val="none"/>
                      <w:lang w:eastAsia="zh-CN"/>
                      <w14:textFill>
                        <w14:solidFill>
                          <w14:schemeClr w14:val="tx1"/>
                        </w14:solidFill>
                      </w14:textFill>
                    </w:rPr>
                    <w:t>中型</w:t>
                  </w:r>
                </w:p>
              </w:tc>
              <w:tc>
                <w:tcPr>
                  <w:tcW w:w="1831" w:type="dxa"/>
                  <w:tcBorders>
                    <w:tl2br w:val="nil"/>
                    <w:tr2bl w:val="nil"/>
                  </w:tcBorders>
                  <w:noWrap w:val="0"/>
                  <w:vAlign w:val="center"/>
                </w:tcPr>
                <w:p>
                  <w:pPr>
                    <w:adjustRightInd w:val="0"/>
                    <w:snapToGrid w:val="0"/>
                    <w:jc w:val="center"/>
                    <w:rPr>
                      <w:rFonts w:hint="default" w:ascii="Times New Roman" w:hAnsi="Times New Roman" w:eastAsia="宋体" w:cs="Times New Roman"/>
                      <w:b/>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color w:val="000000" w:themeColor="text1"/>
                      <w:szCs w:val="21"/>
                      <w:highlight w:val="none"/>
                      <w:lang w:eastAsia="zh-CN"/>
                      <w14:textFill>
                        <w14:solidFill>
                          <w14:schemeClr w14:val="tx1"/>
                        </w14:solidFill>
                      </w14:textFill>
                    </w:rPr>
                    <w:t>大型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2922"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最高允许排放浓度（mg/m</w:t>
                  </w:r>
                  <w:r>
                    <w:rPr>
                      <w:rFonts w:hint="default" w:ascii="Times New Roman" w:hAnsi="Times New Roman" w:eastAsia="宋体" w:cs="Times New Roman"/>
                      <w:color w:val="000000" w:themeColor="text1"/>
                      <w:spacing w:val="0"/>
                      <w:sz w:val="21"/>
                      <w:szCs w:val="21"/>
                      <w:highlight w:val="none"/>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w:t>
                  </w:r>
                </w:p>
              </w:tc>
              <w:tc>
                <w:tcPr>
                  <w:tcW w:w="1868"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2.0</w:t>
                  </w:r>
                </w:p>
              </w:tc>
              <w:tc>
                <w:tcPr>
                  <w:tcW w:w="1896" w:type="dxa"/>
                  <w:tcBorders>
                    <w:tl2br w:val="nil"/>
                    <w:tr2bl w:val="nil"/>
                  </w:tcBorders>
                  <w:noWrap w:val="0"/>
                  <w:vAlign w:val="center"/>
                </w:tcPr>
                <w:p>
                  <w:pPr>
                    <w:pStyle w:val="119"/>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2.0</w:t>
                  </w:r>
                </w:p>
              </w:tc>
              <w:tc>
                <w:tcPr>
                  <w:tcW w:w="1831" w:type="dxa"/>
                  <w:tcBorders>
                    <w:tl2br w:val="nil"/>
                    <w:tr2bl w:val="nil"/>
                  </w:tcBorders>
                  <w:noWrap w:val="0"/>
                  <w:vAlign w:val="center"/>
                </w:tcPr>
                <w:p>
                  <w:pPr>
                    <w:pStyle w:val="119"/>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2922"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净化设施最低去除效率（%）</w:t>
                  </w:r>
                </w:p>
              </w:tc>
              <w:tc>
                <w:tcPr>
                  <w:tcW w:w="1868"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60</w:t>
                  </w:r>
                </w:p>
              </w:tc>
              <w:tc>
                <w:tcPr>
                  <w:tcW w:w="1896"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75</w:t>
                  </w:r>
                </w:p>
              </w:tc>
              <w:tc>
                <w:tcPr>
                  <w:tcW w:w="1831" w:type="dxa"/>
                  <w:tcBorders>
                    <w:tl2br w:val="nil"/>
                    <w:tr2bl w:val="nil"/>
                  </w:tcBorders>
                  <w:noWrap w:val="0"/>
                  <w:vAlign w:val="center"/>
                </w:tcPr>
                <w:p>
                  <w:pPr>
                    <w:pStyle w:val="119"/>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85</w:t>
                  </w:r>
                </w:p>
              </w:tc>
            </w:tr>
          </w:tbl>
          <w:p>
            <w:pPr>
              <w:spacing w:line="360" w:lineRule="auto"/>
              <w:ind w:firstLine="420" w:firstLineChars="200"/>
              <w:jc w:val="left"/>
              <w:rPr>
                <w:rFonts w:hint="default" w:ascii="Times New Roman" w:hAnsi="Times New Roman" w:cs="Times New Roman"/>
                <w:b w:val="0"/>
                <w:bCs w:val="0"/>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r>
              <w:rPr>
                <w:rFonts w:hint="default" w:ascii="Times New Roman" w:hAnsi="Times New Roman" w:cs="Times New Roman"/>
                <w:b w:val="0"/>
                <w:bCs w:val="0"/>
                <w:color w:val="000000" w:themeColor="text1"/>
                <w:sz w:val="24"/>
                <w:highlight w:val="none"/>
                <w:lang w:eastAsia="zh-CN"/>
                <w14:textFill>
                  <w14:solidFill>
                    <w14:schemeClr w14:val="tx1"/>
                  </w14:solidFill>
                </w14:textFill>
              </w:rPr>
              <w:t>营运期项目边界噪声执行《工业企业厂界环境噪声排放标准》(GB12348-2008)中 2 类标准</w:t>
            </w:r>
            <w:r>
              <w:rPr>
                <w:rFonts w:hint="default" w:ascii="Times New Roman" w:hAnsi="Times New Roman" w:cs="Times New Roman"/>
                <w:b w:val="0"/>
                <w:bCs w:val="0"/>
                <w:color w:val="000000" w:themeColor="text1"/>
                <w:sz w:val="24"/>
                <w:highlight w:val="none"/>
                <w14:textFill>
                  <w14:solidFill>
                    <w14:schemeClr w14:val="tx1"/>
                  </w14:solidFill>
                </w14:textFill>
              </w:rPr>
              <w:t>。</w:t>
            </w:r>
            <w:r>
              <w:rPr>
                <w:rFonts w:hint="default" w:ascii="Times New Roman" w:hAnsi="Times New Roman" w:cs="Times New Roman"/>
                <w:b w:val="0"/>
                <w:bCs w:val="0"/>
                <w:color w:val="000000" w:themeColor="text1"/>
                <w:sz w:val="24"/>
                <w:highlight w:val="none"/>
                <w:lang w:eastAsia="zh-CN"/>
                <w14:textFill>
                  <w14:solidFill>
                    <w14:schemeClr w14:val="tx1"/>
                  </w14:solidFill>
                </w14:textFill>
              </w:rPr>
              <w:t>项目内部声环境质量执行《民用建筑隔声设计规范》（</w:t>
            </w:r>
            <w:r>
              <w:rPr>
                <w:rFonts w:hint="default" w:ascii="Times New Roman" w:hAnsi="Times New Roman" w:cs="Times New Roman"/>
                <w:b w:val="0"/>
                <w:bCs w:val="0"/>
                <w:color w:val="000000" w:themeColor="text1"/>
                <w:sz w:val="24"/>
                <w:highlight w:val="none"/>
                <w:lang w:val="en-US" w:eastAsia="zh-CN"/>
                <w14:textFill>
                  <w14:solidFill>
                    <w14:schemeClr w14:val="tx1"/>
                  </w14:solidFill>
                </w14:textFill>
              </w:rPr>
              <w:t>GB50118-2010）中医院建筑室内允许噪声级标准。</w:t>
            </w:r>
            <w:r>
              <w:rPr>
                <w:rFonts w:hint="default" w:ascii="Times New Roman" w:hAnsi="Times New Roman" w:cs="Times New Roman"/>
                <w:b w:val="0"/>
                <w:bCs w:val="0"/>
                <w:color w:val="000000" w:themeColor="text1"/>
                <w:sz w:val="24"/>
                <w:highlight w:val="none"/>
                <w14:textFill>
                  <w14:solidFill>
                    <w14:schemeClr w14:val="tx1"/>
                  </w14:solidFill>
                </w14:textFill>
              </w:rPr>
              <w:t>具体限值见表</w:t>
            </w:r>
            <w:r>
              <w:rPr>
                <w:rFonts w:hint="default" w:ascii="Times New Roman" w:hAnsi="Times New Roman" w:cs="Times New Roman"/>
                <w:b w:val="0"/>
                <w:bCs w:val="0"/>
                <w:color w:val="000000" w:themeColor="text1"/>
                <w:sz w:val="24"/>
                <w:highlight w:val="none"/>
                <w:lang w:val="en-US" w:eastAsia="zh-CN"/>
                <w14:textFill>
                  <w14:solidFill>
                    <w14:schemeClr w14:val="tx1"/>
                  </w14:solidFill>
                </w14:textFill>
              </w:rPr>
              <w:t>4-9和表4-10</w:t>
            </w:r>
            <w:r>
              <w:rPr>
                <w:rFonts w:hint="default" w:ascii="Times New Roman" w:hAnsi="Times New Roman" w:cs="Times New Roman"/>
                <w:b w:val="0"/>
                <w:bCs w:val="0"/>
                <w:color w:val="000000" w:themeColor="text1"/>
                <w:sz w:val="24"/>
                <w:highlight w:val="none"/>
                <w14:textFill>
                  <w14:solidFill>
                    <w14:schemeClr w14:val="tx1"/>
                  </w14:solidFill>
                </w14:textFill>
              </w:rPr>
              <w:t>。</w:t>
            </w:r>
          </w:p>
          <w:p>
            <w:pPr>
              <w:spacing w:line="360" w:lineRule="auto"/>
              <w:ind w:firstLine="422" w:firstLineChars="200"/>
              <w:jc w:val="center"/>
              <w:rPr>
                <w:rFonts w:hint="default" w:ascii="Times New Roman" w:hAnsi="Times New Roman" w:cs="Times New Roman"/>
                <w:b/>
                <w:bCs/>
                <w:color w:val="000000" w:themeColor="text1"/>
                <w:szCs w:val="21"/>
                <w:highlight w:val="none"/>
                <w:lang w:eastAsia="zh-CN"/>
                <w14:textFill>
                  <w14:solidFill>
                    <w14:schemeClr w14:val="tx1"/>
                  </w14:solidFill>
                </w14:textFill>
              </w:rPr>
            </w:pPr>
            <w:r>
              <w:rPr>
                <w:rFonts w:hint="default" w:ascii="Times New Roman" w:hAnsi="Times New Roman" w:cs="Times New Roman"/>
                <w:b/>
                <w:bCs/>
                <w:color w:val="000000" w:themeColor="text1"/>
                <w:szCs w:val="21"/>
                <w:highlight w:val="none"/>
                <w:lang w:eastAsia="zh-CN"/>
                <w14:textFill>
                  <w14:solidFill>
                    <w14:schemeClr w14:val="tx1"/>
                  </w14:solidFill>
                </w14:textFill>
              </w:rPr>
              <w:t>表</w:t>
            </w:r>
            <w:r>
              <w:rPr>
                <w:rFonts w:hint="default" w:ascii="Times New Roman" w:hAnsi="Times New Roman" w:cs="Times New Roman"/>
                <w:b/>
                <w:bCs/>
                <w:color w:val="000000" w:themeColor="text1"/>
                <w:szCs w:val="21"/>
                <w:highlight w:val="none"/>
                <w:lang w:val="en-US" w:eastAsia="zh-CN"/>
                <w14:textFill>
                  <w14:solidFill>
                    <w14:schemeClr w14:val="tx1"/>
                  </w14:solidFill>
                </w14:textFill>
              </w:rPr>
              <w:t>4-9</w:t>
            </w:r>
            <w:r>
              <w:rPr>
                <w:rFonts w:hint="default" w:ascii="Times New Roman" w:hAnsi="Times New Roman" w:cs="Times New Roman"/>
                <w:b/>
                <w:bCs/>
                <w:color w:val="000000" w:themeColor="text1"/>
                <w:szCs w:val="21"/>
                <w:highlight w:val="none"/>
                <w:lang w:eastAsia="zh-CN"/>
                <w14:textFill>
                  <w14:solidFill>
                    <w14:schemeClr w14:val="tx1"/>
                  </w14:solidFill>
                </w14:textFill>
              </w:rPr>
              <w:t xml:space="preserve"> 本项目噪声排放标准 单位：dB(A)</w:t>
            </w:r>
          </w:p>
          <w:tbl>
            <w:tblPr>
              <w:tblStyle w:val="31"/>
              <w:tblW w:w="8522"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35"/>
              <w:gridCol w:w="1981"/>
              <w:gridCol w:w="17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4835"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执行标准</w:t>
                  </w:r>
                </w:p>
              </w:tc>
              <w:tc>
                <w:tcPr>
                  <w:tcW w:w="1981"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昼间</w:t>
                  </w:r>
                </w:p>
              </w:tc>
              <w:tc>
                <w:tcPr>
                  <w:tcW w:w="1706"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夜间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4835"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b w:val="0"/>
                      <w:bCs w:val="0"/>
                      <w:color w:val="000000" w:themeColor="text1"/>
                      <w:sz w:val="21"/>
                      <w:szCs w:val="21"/>
                      <w:highlight w:val="none"/>
                      <w14:textFill>
                        <w14:solidFill>
                          <w14:schemeClr w14:val="tx1"/>
                        </w14:solidFill>
                      </w14:textFill>
                    </w:rPr>
                  </w:pPr>
                  <w:r>
                    <w:rPr>
                      <w:rFonts w:hint="default" w:ascii="Times New Roman" w:hAnsi="Times New Roman" w:cs="Times New Roman"/>
                      <w:b w:val="0"/>
                      <w:bCs w:val="0"/>
                      <w:color w:val="000000" w:themeColor="text1"/>
                      <w:sz w:val="21"/>
                      <w:szCs w:val="21"/>
                      <w:highlight w:val="none"/>
                      <w14:textFill>
                        <w14:solidFill>
                          <w14:schemeClr w14:val="tx1"/>
                        </w14:solidFill>
                      </w14:textFill>
                    </w:rPr>
                    <w:t>《工业企业厂界环境噪声排放标准》(GB12348-2008)</w:t>
                  </w: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2</w:t>
                  </w:r>
                  <w:r>
                    <w:rPr>
                      <w:rFonts w:hint="default" w:ascii="Times New Roman" w:hAnsi="Times New Roman" w:cs="Times New Roman"/>
                      <w:b w:val="0"/>
                      <w:bCs w:val="0"/>
                      <w:color w:val="000000" w:themeColor="text1"/>
                      <w:sz w:val="21"/>
                      <w:szCs w:val="21"/>
                      <w:highlight w:val="none"/>
                      <w14:textFill>
                        <w14:solidFill>
                          <w14:schemeClr w14:val="tx1"/>
                        </w14:solidFill>
                      </w14:textFill>
                    </w:rPr>
                    <w:t>类标准</w:t>
                  </w:r>
                </w:p>
              </w:tc>
              <w:tc>
                <w:tcPr>
                  <w:tcW w:w="1981"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b w:val="0"/>
                      <w:bCs w:val="0"/>
                      <w:color w:val="000000" w:themeColor="text1"/>
                      <w:sz w:val="21"/>
                      <w:szCs w:val="21"/>
                      <w:highlight w:val="none"/>
                      <w14:textFill>
                        <w14:solidFill>
                          <w14:schemeClr w14:val="tx1"/>
                        </w14:solidFill>
                      </w14:textFill>
                    </w:rPr>
                  </w:pPr>
                  <w:r>
                    <w:rPr>
                      <w:rFonts w:hint="default" w:ascii="Times New Roman" w:hAnsi="Times New Roman" w:cs="Times New Roman"/>
                      <w:b w:val="0"/>
                      <w:bCs w:val="0"/>
                      <w:color w:val="000000" w:themeColor="text1"/>
                      <w:sz w:val="21"/>
                      <w:szCs w:val="21"/>
                      <w:highlight w:val="none"/>
                      <w14:textFill>
                        <w14:solidFill>
                          <w14:schemeClr w14:val="tx1"/>
                        </w14:solidFill>
                      </w14:textFill>
                    </w:rPr>
                    <w:t>6</w:t>
                  </w: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0</w:t>
                  </w:r>
                </w:p>
              </w:tc>
              <w:tc>
                <w:tcPr>
                  <w:tcW w:w="1706"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b w:val="0"/>
                      <w:bCs w:val="0"/>
                      <w:color w:val="000000" w:themeColor="text1"/>
                      <w:sz w:val="21"/>
                      <w:szCs w:val="21"/>
                      <w:highlight w:val="none"/>
                      <w14:textFill>
                        <w14:solidFill>
                          <w14:schemeClr w14:val="tx1"/>
                        </w14:solidFill>
                      </w14:textFill>
                    </w:rPr>
                  </w:pPr>
                  <w:r>
                    <w:rPr>
                      <w:rFonts w:hint="default" w:ascii="Times New Roman" w:hAnsi="Times New Roman" w:cs="Times New Roman"/>
                      <w:b w:val="0"/>
                      <w:bCs w:val="0"/>
                      <w:color w:val="000000" w:themeColor="text1"/>
                      <w:sz w:val="21"/>
                      <w:szCs w:val="21"/>
                      <w:highlight w:val="none"/>
                      <w14:textFill>
                        <w14:solidFill>
                          <w14:schemeClr w14:val="tx1"/>
                        </w14:solidFill>
                      </w14:textFill>
                    </w:rPr>
                    <w:t>5</w:t>
                  </w: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0</w:t>
                  </w:r>
                </w:p>
              </w:tc>
            </w:tr>
          </w:tbl>
          <w:p>
            <w:pPr>
              <w:spacing w:line="360" w:lineRule="auto"/>
              <w:ind w:firstLine="422" w:firstLineChars="200"/>
              <w:jc w:val="center"/>
              <w:rPr>
                <w:rFonts w:hint="default" w:ascii="Times New Roman" w:hAnsi="Times New Roman" w:cs="Times New Roman"/>
                <w:b/>
                <w:bCs/>
                <w:color w:val="000000" w:themeColor="text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Cs w:val="21"/>
                <w:highlight w:val="none"/>
                <w:lang w:eastAsia="zh-CN"/>
                <w14:textFill>
                  <w14:solidFill>
                    <w14:schemeClr w14:val="tx1"/>
                  </w14:solidFill>
                </w14:textFill>
              </w:rPr>
              <w:t>表</w:t>
            </w:r>
            <w:r>
              <w:rPr>
                <w:rFonts w:hint="default" w:ascii="Times New Roman" w:hAnsi="Times New Roman" w:cs="Times New Roman"/>
                <w:b/>
                <w:bCs/>
                <w:color w:val="000000" w:themeColor="text1"/>
                <w:szCs w:val="21"/>
                <w:highlight w:val="none"/>
                <w:lang w:val="en-US" w:eastAsia="zh-CN"/>
                <w14:textFill>
                  <w14:solidFill>
                    <w14:schemeClr w14:val="tx1"/>
                  </w14:solidFill>
                </w14:textFill>
              </w:rPr>
              <w:t>4-10 医院建筑室内允许噪声级</w:t>
            </w:r>
          </w:p>
          <w:tbl>
            <w:tblPr>
              <w:tblStyle w:val="32"/>
              <w:tblW w:w="86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0"/>
              <w:gridCol w:w="1570"/>
              <w:gridCol w:w="1556"/>
              <w:gridCol w:w="1654"/>
              <w:gridCol w:w="1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2320" w:type="dxa"/>
                  <w:vMerge w:val="restart"/>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房间名称</w:t>
                  </w:r>
                </w:p>
              </w:tc>
              <w:tc>
                <w:tcPr>
                  <w:tcW w:w="6282" w:type="dxa"/>
                  <w:gridSpan w:val="4"/>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允许噪声级（A声级，dB）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2320" w:type="dxa"/>
                  <w:vMerge w:val="continue"/>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3126" w:type="dxa"/>
                  <w:gridSpan w:val="2"/>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高标准要求</w:t>
                  </w:r>
                </w:p>
              </w:tc>
              <w:tc>
                <w:tcPr>
                  <w:tcW w:w="3156" w:type="dxa"/>
                  <w:gridSpan w:val="2"/>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低限标准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2320" w:type="dxa"/>
                  <w:vMerge w:val="continue"/>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p>
              </w:tc>
              <w:tc>
                <w:tcPr>
                  <w:tcW w:w="1570" w:type="dxa"/>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昼间</w:t>
                  </w:r>
                </w:p>
              </w:tc>
              <w:tc>
                <w:tcPr>
                  <w:tcW w:w="1556" w:type="dxa"/>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夜间</w:t>
                  </w:r>
                </w:p>
              </w:tc>
              <w:tc>
                <w:tcPr>
                  <w:tcW w:w="1654" w:type="dxa"/>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昼间</w:t>
                  </w:r>
                </w:p>
              </w:tc>
              <w:tc>
                <w:tcPr>
                  <w:tcW w:w="1502" w:type="dxa"/>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2320" w:type="dxa"/>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病房、医护人员休息室</w:t>
                  </w:r>
                </w:p>
              </w:tc>
              <w:tc>
                <w:tcPr>
                  <w:tcW w:w="1570" w:type="dxa"/>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≤40</w:t>
                  </w:r>
                </w:p>
              </w:tc>
              <w:tc>
                <w:tcPr>
                  <w:tcW w:w="1556" w:type="dxa"/>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≤35</w:t>
                  </w:r>
                </w:p>
              </w:tc>
              <w:tc>
                <w:tcPr>
                  <w:tcW w:w="1654" w:type="dxa"/>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≤45</w:t>
                  </w:r>
                </w:p>
              </w:tc>
              <w:tc>
                <w:tcPr>
                  <w:tcW w:w="1502" w:type="dxa"/>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2320" w:type="dxa"/>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各类重症监护室</w:t>
                  </w:r>
                </w:p>
              </w:tc>
              <w:tc>
                <w:tcPr>
                  <w:tcW w:w="1570" w:type="dxa"/>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≤40</w:t>
                  </w:r>
                </w:p>
              </w:tc>
              <w:tc>
                <w:tcPr>
                  <w:tcW w:w="1556" w:type="dxa"/>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≤35</w:t>
                  </w:r>
                </w:p>
              </w:tc>
              <w:tc>
                <w:tcPr>
                  <w:tcW w:w="1654" w:type="dxa"/>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≤45</w:t>
                  </w:r>
                </w:p>
              </w:tc>
              <w:tc>
                <w:tcPr>
                  <w:tcW w:w="1502" w:type="dxa"/>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2320" w:type="dxa"/>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诊室</w:t>
                  </w:r>
                </w:p>
              </w:tc>
              <w:tc>
                <w:tcPr>
                  <w:tcW w:w="3126" w:type="dxa"/>
                  <w:gridSpan w:val="2"/>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≤40</w:t>
                  </w:r>
                </w:p>
              </w:tc>
              <w:tc>
                <w:tcPr>
                  <w:tcW w:w="3156" w:type="dxa"/>
                  <w:gridSpan w:val="2"/>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2320" w:type="dxa"/>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手术室、分娩室</w:t>
                  </w:r>
                </w:p>
              </w:tc>
              <w:tc>
                <w:tcPr>
                  <w:tcW w:w="3126" w:type="dxa"/>
                  <w:gridSpan w:val="2"/>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≤40</w:t>
                  </w:r>
                </w:p>
              </w:tc>
              <w:tc>
                <w:tcPr>
                  <w:tcW w:w="3156" w:type="dxa"/>
                  <w:gridSpan w:val="2"/>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2320" w:type="dxa"/>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洁净手术室</w:t>
                  </w:r>
                </w:p>
              </w:tc>
              <w:tc>
                <w:tcPr>
                  <w:tcW w:w="3126" w:type="dxa"/>
                  <w:gridSpan w:val="2"/>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p>
              </w:tc>
              <w:tc>
                <w:tcPr>
                  <w:tcW w:w="3156" w:type="dxa"/>
                  <w:gridSpan w:val="2"/>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2320" w:type="dxa"/>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人工生殖中心净化区</w:t>
                  </w:r>
                </w:p>
              </w:tc>
              <w:tc>
                <w:tcPr>
                  <w:tcW w:w="3126" w:type="dxa"/>
                  <w:gridSpan w:val="2"/>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p>
              </w:tc>
              <w:tc>
                <w:tcPr>
                  <w:tcW w:w="3156" w:type="dxa"/>
                  <w:gridSpan w:val="2"/>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2320" w:type="dxa"/>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听力测听室</w:t>
                  </w:r>
                </w:p>
              </w:tc>
              <w:tc>
                <w:tcPr>
                  <w:tcW w:w="3126" w:type="dxa"/>
                  <w:gridSpan w:val="2"/>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p>
              </w:tc>
              <w:tc>
                <w:tcPr>
                  <w:tcW w:w="3156" w:type="dxa"/>
                  <w:gridSpan w:val="2"/>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2320" w:type="dxa"/>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化验室、分析实验室</w:t>
                  </w:r>
                </w:p>
              </w:tc>
              <w:tc>
                <w:tcPr>
                  <w:tcW w:w="3126" w:type="dxa"/>
                  <w:gridSpan w:val="2"/>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p>
              </w:tc>
              <w:tc>
                <w:tcPr>
                  <w:tcW w:w="3156" w:type="dxa"/>
                  <w:gridSpan w:val="2"/>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2320" w:type="dxa"/>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入口大厅、候诊厅</w:t>
                  </w:r>
                </w:p>
              </w:tc>
              <w:tc>
                <w:tcPr>
                  <w:tcW w:w="3126" w:type="dxa"/>
                  <w:gridSpan w:val="2"/>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≤50</w:t>
                  </w:r>
                </w:p>
              </w:tc>
              <w:tc>
                <w:tcPr>
                  <w:tcW w:w="3156" w:type="dxa"/>
                  <w:gridSpan w:val="2"/>
                  <w:vAlign w:val="center"/>
                </w:tcPr>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≤55</w:t>
                  </w:r>
                </w:p>
              </w:tc>
            </w:tr>
          </w:tbl>
          <w:p>
            <w:pPr>
              <w:spacing w:line="360" w:lineRule="auto"/>
              <w:ind w:firstLine="420" w:firstLineChars="200"/>
              <w:jc w:val="left"/>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w:t>
            </w:r>
            <w:r>
              <w:rPr>
                <w:rFonts w:hint="default" w:ascii="Times New Roman" w:hAnsi="Times New Roman" w:cs="Times New Roman"/>
                <w:color w:val="000000" w:themeColor="text1"/>
                <w:sz w:val="24"/>
                <w:szCs w:val="24"/>
                <w:highlight w:val="none"/>
                <w14:textFill>
                  <w14:solidFill>
                    <w14:schemeClr w14:val="tx1"/>
                  </w14:solidFill>
                </w14:textFill>
              </w:rPr>
              <w:t>一般固废执行《一般工业固体废物贮存、处置场所污染控制标准》（GB18599-2001）（2013年修改版）中的有关要求</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p>
          <w:p>
            <w:pPr>
              <w:spacing w:line="360" w:lineRule="auto"/>
              <w:ind w:firstLine="480" w:firstLineChars="200"/>
              <w:jc w:val="left"/>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cs="Times New Roman"/>
                <w:color w:val="000000" w:themeColor="text1"/>
                <w:sz w:val="24"/>
                <w:szCs w:val="24"/>
                <w:highlight w:val="none"/>
                <w:lang w:eastAsia="zh-CN"/>
                <w14:textFill>
                  <w14:solidFill>
                    <w14:schemeClr w14:val="tx1"/>
                  </w14:solidFill>
                </w14:textFill>
              </w:rPr>
              <w:t>医疗废物执行《医疗废物专用包装物、容器的标准和警示标识的规定》（环发</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[2003]188号</w:t>
            </w:r>
            <w:r>
              <w:rPr>
                <w:rFonts w:hint="default" w:ascii="Times New Roman" w:hAnsi="Times New Roman" w:cs="Times New Roman"/>
                <w:color w:val="000000" w:themeColor="text1"/>
                <w:sz w:val="24"/>
                <w:szCs w:val="24"/>
                <w:highlight w:val="none"/>
                <w:lang w:eastAsia="zh-CN"/>
                <w14:textFill>
                  <w14:solidFill>
                    <w14:schemeClr w14:val="tx1"/>
                  </w14:solidFill>
                </w14:textFill>
              </w:rPr>
              <w:t>）和《危险废物贮存污染控制标准》（</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GB18597-2001</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中的有关要求</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p>
          <w:p>
            <w:pPr>
              <w:pStyle w:val="47"/>
              <w:adjustRightInd w:val="0"/>
              <w:snapToGrid/>
              <w:ind w:firstLine="480" w:firstLineChars="20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生活垃圾统一堆放，交由环卫部门集中处理，执行《生活垃圾填埋污染控制标准》（GB16889-1997）。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795" w:hRule="atLeast"/>
        </w:trPr>
        <w:tc>
          <w:tcPr>
            <w:tcW w:w="753" w:type="dxa"/>
            <w:tcBorders>
              <w:bottom w:val="single" w:color="000000" w:sz="6" w:space="0"/>
            </w:tcBorders>
            <w:vAlign w:val="center"/>
          </w:tcPr>
          <w:p>
            <w:pPr>
              <w:spacing w:before="120"/>
              <w:jc w:val="center"/>
              <w:rPr>
                <w:rFonts w:hint="default" w:ascii="Times New Roman" w:hAnsi="Times New Roman" w:cs="Times New Roman"/>
                <w:color w:val="auto"/>
                <w:sz w:val="28"/>
                <w:highlight w:val="none"/>
              </w:rPr>
            </w:pPr>
            <w:r>
              <w:rPr>
                <w:rFonts w:hint="default" w:ascii="Times New Roman" w:hAnsi="Times New Roman" w:cs="Times New Roman"/>
                <w:color w:val="auto"/>
                <w:sz w:val="28"/>
                <w:highlight w:val="none"/>
              </w:rPr>
              <w:t>总量控制标准</w:t>
            </w:r>
          </w:p>
        </w:tc>
        <w:tc>
          <w:tcPr>
            <w:tcW w:w="8818" w:type="dxa"/>
            <w:tcBorders>
              <w:bottom w:val="single" w:color="000000" w:sz="6" w:space="0"/>
            </w:tcBorders>
          </w:tcPr>
          <w:p>
            <w:pPr>
              <w:spacing w:line="360" w:lineRule="auto"/>
              <w:ind w:firstLine="480" w:firstLineChars="200"/>
              <w:jc w:val="left"/>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根据《国务院关于印发大气污染防治行动计划的通知》（国发[2013]37号）的通知和《广东省环境保护“十三五”规划》的通知，揭阳市实施总量控制的主要污染物为二氧化硫、化学需氧量、氮氧化物、氨氮、总氮、挥发性有机物、重点行业的重点重金属排放量。</w:t>
            </w:r>
          </w:p>
          <w:p>
            <w:pPr>
              <w:spacing w:line="360" w:lineRule="auto"/>
              <w:ind w:firstLine="480" w:firstLineChars="200"/>
              <w:jc w:val="left"/>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本项目医疗废水、生活污水经污水处理设施处理达</w:t>
            </w:r>
            <w:r>
              <w:rPr>
                <w:rFonts w:hint="default" w:ascii="Times New Roman" w:hAnsi="Times New Roman" w:cs="Times New Roman"/>
                <w:color w:val="auto"/>
                <w:spacing w:val="8"/>
                <w:sz w:val="24"/>
                <w:highlight w:val="none"/>
                <w:lang w:eastAsia="zh-CN"/>
              </w:rPr>
              <w:t>《城市污水再生利用</w:t>
            </w:r>
            <w:r>
              <w:rPr>
                <w:rFonts w:hint="default" w:ascii="Times New Roman" w:hAnsi="Times New Roman" w:cs="Times New Roman"/>
                <w:color w:val="auto"/>
                <w:spacing w:val="8"/>
                <w:sz w:val="24"/>
                <w:highlight w:val="none"/>
                <w:lang w:val="en-US" w:eastAsia="zh-CN"/>
              </w:rPr>
              <w:t xml:space="preserve"> 城市杂用水水质》（GB/T18920-2002）</w:t>
            </w:r>
            <w:r>
              <w:rPr>
                <w:rFonts w:hint="default" w:ascii="Times New Roman" w:hAnsi="Times New Roman" w:cs="Times New Roman"/>
                <w:color w:val="auto"/>
                <w:spacing w:val="8"/>
                <w:sz w:val="24"/>
                <w:lang w:val="en-US" w:eastAsia="zh-CN"/>
              </w:rPr>
              <w:t>中“城市绿化”标准后回用项目周边绿化用水</w:t>
            </w:r>
            <w:r>
              <w:rPr>
                <w:rFonts w:hint="default" w:ascii="Times New Roman" w:hAnsi="Times New Roman" w:cs="Times New Roman"/>
                <w:color w:val="auto"/>
                <w:sz w:val="24"/>
                <w:szCs w:val="24"/>
                <w:highlight w:val="none"/>
                <w:lang w:eastAsia="zh-CN"/>
              </w:rPr>
              <w:t>，因此，</w:t>
            </w:r>
            <w:r>
              <w:rPr>
                <w:rFonts w:hint="eastAsia" w:cs="Times New Roman"/>
                <w:color w:val="auto"/>
                <w:sz w:val="24"/>
                <w:szCs w:val="24"/>
                <w:highlight w:val="none"/>
                <w:lang w:eastAsia="zh-CN"/>
              </w:rPr>
              <w:t>本项目</w:t>
            </w:r>
            <w:r>
              <w:rPr>
                <w:rFonts w:hint="default" w:ascii="Times New Roman" w:hAnsi="Times New Roman" w:cs="Times New Roman"/>
                <w:color w:val="auto"/>
                <w:sz w:val="24"/>
                <w:szCs w:val="24"/>
                <w:highlight w:val="none"/>
                <w:lang w:eastAsia="zh-CN"/>
              </w:rPr>
              <w:t>不需申请的水污染物总量控制指标。</w:t>
            </w:r>
          </w:p>
          <w:p>
            <w:pPr>
              <w:spacing w:line="360" w:lineRule="auto"/>
              <w:ind w:firstLine="480" w:firstLineChars="20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szCs w:val="24"/>
                <w:highlight w:val="none"/>
                <w:lang w:eastAsia="zh-CN"/>
              </w:rPr>
              <w:t>本项目运营期间大气污染主要为食堂油烟、备用发电机尾气、污水处理站臭气、垃圾收集房臭气等。由于该区域日常供电稳定，发电机使用频率低，主要为定期的运行维护。根据本项所产生的污染物的具体情况及特征，无需申请大气污染物总量控制指标。</w:t>
            </w:r>
          </w:p>
        </w:tc>
      </w:tr>
    </w:tbl>
    <w:p>
      <w:pPr>
        <w:spacing w:line="300" w:lineRule="auto"/>
        <w:ind w:firstLine="454"/>
        <w:rPr>
          <w:rFonts w:hint="default" w:ascii="Times New Roman" w:hAnsi="Times New Roman" w:cs="Times New Roman"/>
          <w:color w:val="auto"/>
          <w:sz w:val="28"/>
        </w:rPr>
        <w:sectPr>
          <w:pgSz w:w="11907" w:h="16840"/>
          <w:pgMar w:top="1304" w:right="1134" w:bottom="1134" w:left="1304" w:header="964" w:footer="964" w:gutter="0"/>
          <w:pgBorders>
            <w:top w:val="none" w:sz="0" w:space="0"/>
            <w:left w:val="none" w:sz="0" w:space="0"/>
            <w:bottom w:val="none" w:sz="0" w:space="0"/>
            <w:right w:val="none" w:sz="0" w:space="0"/>
          </w:pgBorders>
          <w:cols w:space="720" w:num="1"/>
          <w:docGrid w:type="lines" w:linePitch="334" w:charSpace="6716"/>
        </w:sectPr>
      </w:pPr>
    </w:p>
    <w:p>
      <w:pPr>
        <w:pStyle w:val="3"/>
        <w:jc w:val="left"/>
        <w:rPr>
          <w:rFonts w:hint="default" w:ascii="Times New Roman" w:hAnsi="Times New Roman" w:cs="Times New Roman"/>
          <w:b/>
          <w:bCs/>
          <w:color w:val="auto"/>
          <w:szCs w:val="28"/>
        </w:rPr>
      </w:pPr>
      <w:r>
        <w:rPr>
          <w:rFonts w:hint="default" w:ascii="Times New Roman" w:hAnsi="Times New Roman" w:cs="Times New Roman"/>
          <w:b/>
          <w:bCs/>
          <w:color w:val="auto"/>
          <w:szCs w:val="28"/>
        </w:rPr>
        <w:t>建设项目分析</w:t>
      </w:r>
    </w:p>
    <w:tbl>
      <w:tblPr>
        <w:tblStyle w:val="31"/>
        <w:tblW w:w="9571"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57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15" w:hRule="atLeast"/>
        </w:trPr>
        <w:tc>
          <w:tcPr>
            <w:tcW w:w="9571" w:type="dxa"/>
            <w:tcBorders>
              <w:bottom w:val="single" w:color="auto" w:sz="4" w:space="0"/>
            </w:tcBorders>
          </w:tcPr>
          <w:p>
            <w:pPr>
              <w:pStyle w:val="18"/>
              <w:spacing w:line="360" w:lineRule="auto"/>
              <w:ind w:firstLine="0"/>
              <w:rPr>
                <w:rFonts w:hint="default" w:ascii="Times New Roman" w:hAnsi="Times New Roman" w:cs="Times New Roman"/>
                <w:b/>
                <w:color w:val="auto"/>
                <w:szCs w:val="21"/>
              </w:rPr>
            </w:pPr>
            <w:r>
              <w:rPr>
                <w:rFonts w:hint="default" w:ascii="Times New Roman" w:hAnsi="Times New Roman" w:cs="Times New Roman"/>
                <w:b/>
                <w:color w:val="auto"/>
                <w:szCs w:val="21"/>
              </w:rPr>
              <w:t>工艺流程及主要产污环节简述（图示）：</w:t>
            </w:r>
          </w:p>
          <w:p>
            <w:pPr>
              <w:spacing w:line="360" w:lineRule="auto"/>
              <w:rPr>
                <w:rFonts w:hint="default" w:ascii="Times New Roman" w:hAnsi="Times New Roman" w:cs="Times New Roman"/>
                <w:b/>
                <w:color w:val="auto"/>
                <w:sz w:val="24"/>
              </w:rPr>
            </w:pPr>
            <w:r>
              <w:rPr>
                <w:rFonts w:hint="default" w:ascii="Times New Roman" w:hAnsi="Times New Roman" w:cs="Times New Roman"/>
                <w:b/>
                <w:color w:val="auto"/>
                <w:sz w:val="24"/>
              </w:rPr>
              <w:t>1．工艺流程简述(图示)：</w:t>
            </w:r>
          </w:p>
          <w:p>
            <w:pPr>
              <w:spacing w:line="360" w:lineRule="auto"/>
              <w:jc w:val="center"/>
              <w:rPr>
                <w:rFonts w:hint="default" w:ascii="Times New Roman" w:hAnsi="Times New Roman" w:eastAsia="仿宋_GB2312" w:cs="Times New Roman"/>
                <w:color w:val="auto"/>
                <w:sz w:val="24"/>
                <w:lang w:eastAsia="zh-CN"/>
              </w:rPr>
            </w:pPr>
            <w:r>
              <w:rPr>
                <w:rFonts w:hint="default" w:ascii="Times New Roman" w:hAnsi="Times New Roman" w:cs="Times New Roman"/>
                <w:color w:val="auto"/>
              </w:rPr>
              <w:object>
                <v:shape id="_x0000_i1025" o:spt="75" type="#_x0000_t75" style="height:193.55pt;width:398.7pt;" o:ole="t" filled="f" o:preferrelative="t" stroked="f" coordsize="21600,21600">
                  <v:path/>
                  <v:fill on="f" focussize="0,0"/>
                  <v:stroke on="f" joinstyle="miter"/>
                  <v:imagedata r:id="rId16" o:title=""/>
                  <o:lock v:ext="edit" aspectratio="t"/>
                  <w10:wrap type="none"/>
                  <w10:anchorlock/>
                </v:shape>
                <o:OLEObject Type="Embed" ProgID="Visio.Drawing.11" ShapeID="_x0000_i1025" DrawAspect="Content" ObjectID="_1468075725" r:id="rId15">
                  <o:LockedField>false</o:LockedField>
                </o:OLEObject>
              </w:object>
            </w:r>
          </w:p>
          <w:p>
            <w:pPr>
              <w:pStyle w:val="116"/>
              <w:ind w:firstLine="480"/>
              <w:rPr>
                <w:rFonts w:hint="default" w:ascii="Times New Roman" w:hAnsi="Times New Roman" w:eastAsia="宋体" w:cs="Times New Roman"/>
                <w:color w:val="auto"/>
                <w:lang w:eastAsia="zh-CN"/>
              </w:rPr>
            </w:pPr>
            <w:r>
              <w:rPr>
                <w:rFonts w:hint="default" w:ascii="Times New Roman" w:hAnsi="Times New Roman" w:cs="Times New Roman"/>
                <w:color w:val="auto"/>
              </w:rPr>
              <w:t>项目属于社会服务类中的医疗卫生类项目，与一般的生产性工业项目有较大的不同，无明显的工艺流程说法，从病人进院开始考虑，主要的流程有问诊、诊断治疗、住院治疗（需要时）、离开等环节。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c>
          <w:tcPr>
            <w:tcW w:w="9571" w:type="dxa"/>
            <w:tcBorders>
              <w:top w:val="single" w:color="auto" w:sz="4" w:space="0"/>
              <w:bottom w:val="single" w:color="auto" w:sz="4" w:space="0"/>
            </w:tcBorders>
          </w:tcPr>
          <w:p>
            <w:pPr>
              <w:pStyle w:val="18"/>
              <w:spacing w:line="360" w:lineRule="auto"/>
              <w:ind w:firstLine="0"/>
              <w:rPr>
                <w:rFonts w:hint="default" w:ascii="Times New Roman" w:hAnsi="Times New Roman" w:cs="Times New Roman"/>
                <w:b/>
                <w:color w:val="auto"/>
                <w:szCs w:val="21"/>
              </w:rPr>
            </w:pPr>
            <w:r>
              <w:rPr>
                <w:rFonts w:hint="default" w:ascii="Times New Roman" w:hAnsi="Times New Roman" w:cs="Times New Roman"/>
                <w:b/>
                <w:color w:val="auto"/>
                <w:szCs w:val="21"/>
              </w:rPr>
              <w:t>主要污染工序：</w:t>
            </w:r>
          </w:p>
          <w:p>
            <w:pPr>
              <w:adjustRightInd w:val="0"/>
              <w:spacing w:line="360" w:lineRule="auto"/>
              <w:ind w:firstLine="482" w:firstLineChars="200"/>
              <w:rPr>
                <w:rFonts w:hint="default" w:ascii="Times New Roman" w:hAnsi="Times New Roman" w:cs="Times New Roman"/>
                <w:b/>
                <w:color w:val="auto"/>
                <w:sz w:val="24"/>
              </w:rPr>
            </w:pPr>
            <w:r>
              <w:rPr>
                <w:rFonts w:hint="default" w:ascii="Times New Roman" w:hAnsi="Times New Roman" w:cs="Times New Roman"/>
                <w:b/>
                <w:color w:val="auto"/>
                <w:sz w:val="24"/>
              </w:rPr>
              <w:t>一、施工期污染工序</w:t>
            </w:r>
          </w:p>
          <w:p>
            <w:pPr>
              <w:adjustRightInd w:val="0"/>
              <w:spacing w:line="360" w:lineRule="auto"/>
              <w:ind w:firstLine="480" w:firstLineChars="200"/>
              <w:rPr>
                <w:rFonts w:hint="default" w:ascii="Times New Roman" w:hAnsi="Times New Roman" w:cs="Times New Roman"/>
                <w:color w:val="auto"/>
                <w:sz w:val="24"/>
                <w:lang w:val="zh-CN"/>
              </w:rPr>
            </w:pPr>
            <w:r>
              <w:rPr>
                <w:rFonts w:hint="default" w:ascii="Times New Roman" w:hAnsi="Times New Roman" w:cs="Times New Roman"/>
                <w:color w:val="auto"/>
                <w:sz w:val="24"/>
              </w:rPr>
              <w:t>1、</w:t>
            </w:r>
            <w:r>
              <w:rPr>
                <w:rFonts w:hint="default" w:ascii="Times New Roman" w:hAnsi="Times New Roman" w:cs="Times New Roman"/>
                <w:color w:val="auto"/>
                <w:sz w:val="24"/>
                <w:lang w:val="zh-CN"/>
              </w:rPr>
              <w:t>大气污染物</w:t>
            </w:r>
          </w:p>
          <w:p>
            <w:pPr>
              <w:adjustRightIn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施工期的大气污染物主要是施工粉尘和装修废气。</w:t>
            </w:r>
          </w:p>
          <w:p>
            <w:pPr>
              <w:adjustRightIn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粉尘是施工期主要的大气污染源，该项目施工期粉尘主要来自于材料运输所产生的动力道路扬尘。装修废气主要来源于装修材料，属无组织排放，主要污染因子为二甲苯和甲苯，此外还有极少量的汽油、丁醇和丙醇等。</w:t>
            </w:r>
          </w:p>
          <w:p>
            <w:pPr>
              <w:adjustRightInd w:val="0"/>
              <w:spacing w:line="360" w:lineRule="auto"/>
              <w:ind w:firstLine="480" w:firstLineChars="200"/>
              <w:rPr>
                <w:rFonts w:hint="default" w:ascii="Times New Roman" w:hAnsi="Times New Roman" w:cs="Times New Roman"/>
                <w:color w:val="auto"/>
                <w:sz w:val="24"/>
                <w:lang w:val="zh-CN"/>
              </w:rPr>
            </w:pPr>
            <w:r>
              <w:rPr>
                <w:rFonts w:hint="default" w:ascii="Times New Roman" w:hAnsi="Times New Roman" w:cs="Times New Roman"/>
                <w:color w:val="auto"/>
                <w:sz w:val="24"/>
              </w:rPr>
              <w:t>2、</w:t>
            </w:r>
            <w:r>
              <w:rPr>
                <w:rFonts w:hint="default" w:ascii="Times New Roman" w:hAnsi="Times New Roman" w:cs="Times New Roman"/>
                <w:color w:val="auto"/>
                <w:sz w:val="24"/>
                <w:lang w:val="zh-CN"/>
              </w:rPr>
              <w:t>水污染物</w:t>
            </w:r>
          </w:p>
          <w:p>
            <w:pPr>
              <w:adjustRightIn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施工期废水主要来自于施工人员的生活污水和建筑施工废水。</w:t>
            </w:r>
          </w:p>
          <w:p>
            <w:pPr>
              <w:adjustRightInd w:val="0"/>
              <w:spacing w:line="360" w:lineRule="auto"/>
              <w:ind w:firstLine="480" w:firstLineChars="200"/>
              <w:rPr>
                <w:rFonts w:hint="default" w:ascii="Times New Roman" w:hAnsi="Times New Roman" w:cs="Times New Roman"/>
                <w:color w:val="auto"/>
                <w:sz w:val="24"/>
                <w:lang w:val="zh-CN"/>
              </w:rPr>
            </w:pPr>
            <w:r>
              <w:rPr>
                <w:rFonts w:hint="default" w:ascii="Times New Roman" w:hAnsi="Times New Roman" w:cs="Times New Roman"/>
                <w:color w:val="auto"/>
                <w:sz w:val="24"/>
              </w:rPr>
              <w:t>3、</w:t>
            </w:r>
            <w:r>
              <w:rPr>
                <w:rFonts w:hint="default" w:ascii="Times New Roman" w:hAnsi="Times New Roman" w:cs="Times New Roman"/>
                <w:color w:val="auto"/>
                <w:sz w:val="24"/>
                <w:lang w:val="zh-CN"/>
              </w:rPr>
              <w:t>噪声</w:t>
            </w:r>
          </w:p>
          <w:p>
            <w:pPr>
              <w:adjustRightIn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噪声主要来自建筑施工过程。施工期噪声具有阶段性、临时性和不固定性。施工噪声可分为机械噪声、施工作业噪声和施工车辆噪声。机械噪声主要由施工机械所造成，多为点声源；施工作业噪声主要指一些零星的敲打声、装卸车辆的撞击声等，多为瞬时噪声；施工车辆的噪声属于交通噪声。在这些施工噪声中，对声环境影响最大的是机械噪声。</w:t>
            </w:r>
          </w:p>
          <w:p>
            <w:pPr>
              <w:adjustRightInd w:val="0"/>
              <w:spacing w:line="360" w:lineRule="auto"/>
              <w:ind w:firstLine="480" w:firstLineChars="200"/>
              <w:rPr>
                <w:rFonts w:hint="default" w:ascii="Times New Roman" w:hAnsi="Times New Roman" w:cs="Times New Roman"/>
                <w:color w:val="auto"/>
                <w:sz w:val="24"/>
                <w:lang w:val="zh-CN"/>
              </w:rPr>
            </w:pPr>
            <w:r>
              <w:rPr>
                <w:rFonts w:hint="default" w:ascii="Times New Roman" w:hAnsi="Times New Roman" w:cs="Times New Roman"/>
                <w:color w:val="auto"/>
                <w:sz w:val="24"/>
              </w:rPr>
              <w:t>4、</w:t>
            </w:r>
            <w:r>
              <w:rPr>
                <w:rFonts w:hint="default" w:ascii="Times New Roman" w:hAnsi="Times New Roman" w:cs="Times New Roman"/>
                <w:color w:val="auto"/>
                <w:sz w:val="24"/>
                <w:lang w:val="zh-CN"/>
              </w:rPr>
              <w:t>固体废物</w:t>
            </w:r>
          </w:p>
          <w:p>
            <w:pPr>
              <w:adjustRightIn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施工期固废主要为：建筑垃圾以及施工人员生活垃圾。</w:t>
            </w:r>
          </w:p>
          <w:p>
            <w:pPr>
              <w:adjustRightInd w:val="0"/>
              <w:spacing w:line="360" w:lineRule="auto"/>
              <w:ind w:firstLine="482" w:firstLineChars="200"/>
              <w:rPr>
                <w:rFonts w:hint="default" w:ascii="Times New Roman" w:hAnsi="Times New Roman" w:eastAsia="黑体" w:cs="Times New Roman"/>
                <w:b/>
                <w:color w:val="auto"/>
                <w:sz w:val="24"/>
              </w:rPr>
            </w:pPr>
            <w:r>
              <w:rPr>
                <w:rFonts w:hint="default" w:ascii="Times New Roman" w:hAnsi="Times New Roman" w:cs="Times New Roman"/>
                <w:b/>
                <w:color w:val="auto"/>
                <w:sz w:val="24"/>
              </w:rPr>
              <w:t>二、运营期污染工序</w:t>
            </w:r>
          </w:p>
          <w:p>
            <w:pPr>
              <w:adjustRightIn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1、废气</w:t>
            </w:r>
          </w:p>
          <w:p>
            <w:pPr>
              <w:spacing w:line="360" w:lineRule="auto"/>
              <w:ind w:firstLine="480" w:firstLineChars="200"/>
              <w:rPr>
                <w:rFonts w:hint="default" w:ascii="Times New Roman" w:hAnsi="Times New Roman" w:eastAsia="宋体" w:cs="Times New Roman"/>
                <w:color w:val="auto"/>
                <w:sz w:val="24"/>
                <w:lang w:eastAsia="zh-CN"/>
              </w:rPr>
            </w:pPr>
            <w:r>
              <w:rPr>
                <w:rFonts w:hint="default" w:ascii="Times New Roman" w:hAnsi="Times New Roman" w:cs="Times New Roman"/>
                <w:color w:val="auto"/>
                <w:sz w:val="24"/>
                <w:lang w:eastAsia="zh-CN"/>
              </w:rPr>
              <w:t>本项目废气主要为</w:t>
            </w:r>
            <w:r>
              <w:rPr>
                <w:rFonts w:hint="default" w:ascii="Times New Roman" w:hAnsi="Times New Roman" w:cs="Times New Roman"/>
                <w:bCs/>
                <w:color w:val="auto"/>
                <w:sz w:val="24"/>
              </w:rPr>
              <w:t>食堂油烟、备用发电机尾气、污水处理站臭气、垃圾收集房臭气</w:t>
            </w:r>
            <w:r>
              <w:rPr>
                <w:rFonts w:hint="default" w:ascii="Times New Roman" w:hAnsi="Times New Roman" w:cs="Times New Roman"/>
                <w:bCs/>
                <w:color w:val="auto"/>
                <w:sz w:val="24"/>
                <w:lang w:eastAsia="zh-CN"/>
              </w:rPr>
              <w:t>。</w:t>
            </w:r>
          </w:p>
          <w:p>
            <w:pPr>
              <w:adjustRightIn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2、废水</w:t>
            </w:r>
          </w:p>
          <w:p>
            <w:pPr>
              <w:spacing w:line="360" w:lineRule="auto"/>
              <w:ind w:firstLine="480" w:firstLineChars="200"/>
              <w:rPr>
                <w:rFonts w:hint="default" w:ascii="Times New Roman" w:hAnsi="Times New Roman" w:cs="Times New Roman"/>
                <w:color w:val="auto"/>
                <w:sz w:val="24"/>
                <w:lang w:eastAsia="zh-CN"/>
              </w:rPr>
            </w:pPr>
            <w:r>
              <w:rPr>
                <w:rFonts w:hint="default" w:ascii="Times New Roman" w:hAnsi="Times New Roman" w:cs="Times New Roman"/>
                <w:color w:val="auto"/>
                <w:sz w:val="24"/>
                <w:lang w:eastAsia="zh-CN"/>
              </w:rPr>
              <w:t>本项目废水主要为各类医疗活动产生的医疗废水、洗衣房废水、食堂及办公生活污水。</w:t>
            </w:r>
          </w:p>
          <w:p>
            <w:pPr>
              <w:adjustRightInd w:val="0"/>
              <w:spacing w:line="360" w:lineRule="auto"/>
              <w:ind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3、噪声</w:t>
            </w:r>
          </w:p>
          <w:p>
            <w:pPr>
              <w:adjustRightIn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本项目运营期间噪声源主要来自各种配套设备（水泵、发电机、抽排风机、</w:t>
            </w:r>
            <w:r>
              <w:rPr>
                <w:rFonts w:hint="default" w:ascii="Times New Roman" w:hAnsi="Times New Roman" w:cs="Times New Roman"/>
                <w:color w:val="auto"/>
                <w:sz w:val="24"/>
                <w:lang w:eastAsia="zh-CN"/>
              </w:rPr>
              <w:t>空调系统</w:t>
            </w:r>
            <w:r>
              <w:rPr>
                <w:rFonts w:hint="default" w:ascii="Times New Roman" w:hAnsi="Times New Roman" w:cs="Times New Roman"/>
                <w:color w:val="auto"/>
                <w:sz w:val="24"/>
              </w:rPr>
              <w:t>等）运行时产生的噪声、进出车辆噪声及社会活动噪声，其噪声值一般为</w:t>
            </w:r>
            <w:r>
              <w:rPr>
                <w:rFonts w:hint="default" w:ascii="Times New Roman" w:hAnsi="Times New Roman" w:cs="Times New Roman"/>
                <w:color w:val="auto"/>
                <w:sz w:val="24"/>
                <w:lang w:val="en-US" w:eastAsia="zh-CN"/>
              </w:rPr>
              <w:t>75</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10</w:t>
            </w:r>
            <w:r>
              <w:rPr>
                <w:rFonts w:hint="default" w:ascii="Times New Roman" w:hAnsi="Times New Roman" w:cs="Times New Roman"/>
                <w:color w:val="auto"/>
                <w:sz w:val="24"/>
              </w:rPr>
              <w:t>5dB(A) 之间。</w:t>
            </w:r>
          </w:p>
          <w:p>
            <w:pPr>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4、固体废物</w:t>
            </w:r>
          </w:p>
          <w:p>
            <w:pPr>
              <w:pStyle w:val="116"/>
              <w:ind w:firstLine="480"/>
              <w:rPr>
                <w:rFonts w:hint="default" w:ascii="Times New Roman" w:hAnsi="Times New Roman" w:cs="Times New Roman"/>
                <w:color w:val="auto"/>
              </w:rPr>
            </w:pPr>
            <w:r>
              <w:rPr>
                <w:rFonts w:hint="default" w:ascii="Times New Roman" w:hAnsi="Times New Roman" w:cs="Times New Roman"/>
                <w:color w:val="auto"/>
              </w:rPr>
              <w:t>本项目运营期固废主要是</w:t>
            </w:r>
            <w:r>
              <w:rPr>
                <w:rFonts w:hint="default" w:ascii="Times New Roman" w:hAnsi="Times New Roman" w:cs="Times New Roman"/>
                <w:color w:val="auto"/>
                <w:lang w:eastAsia="zh-CN"/>
              </w:rPr>
              <w:t>一般办公</w:t>
            </w:r>
            <w:r>
              <w:rPr>
                <w:rFonts w:hint="default" w:ascii="Times New Roman" w:hAnsi="Times New Roman" w:cs="Times New Roman"/>
                <w:color w:val="auto"/>
              </w:rPr>
              <w:t>生活垃圾、医疗废物、</w:t>
            </w:r>
            <w:r>
              <w:rPr>
                <w:rFonts w:hint="default" w:ascii="Times New Roman" w:hAnsi="Times New Roman" w:cs="Times New Roman"/>
                <w:color w:val="auto"/>
                <w:lang w:eastAsia="zh-CN"/>
              </w:rPr>
              <w:t>污水处理站产生的</w:t>
            </w:r>
            <w:r>
              <w:rPr>
                <w:rFonts w:hint="default" w:ascii="Times New Roman" w:hAnsi="Times New Roman" w:cs="Times New Roman"/>
                <w:color w:val="auto"/>
              </w:rPr>
              <w:t>污泥。</w:t>
            </w:r>
          </w:p>
          <w:p>
            <w:pPr>
              <w:spacing w:line="360" w:lineRule="auto"/>
              <w:ind w:firstLine="480" w:firstLineChars="200"/>
              <w:rPr>
                <w:rFonts w:hint="default" w:ascii="Times New Roman" w:hAnsi="Times New Roman" w:cs="Times New Roman"/>
                <w:color w:val="auto"/>
                <w:sz w:val="24"/>
              </w:rPr>
            </w:pPr>
          </w:p>
        </w:tc>
      </w:tr>
    </w:tbl>
    <w:p>
      <w:pPr>
        <w:spacing w:line="300" w:lineRule="auto"/>
        <w:ind w:firstLine="454"/>
        <w:rPr>
          <w:rFonts w:hint="default" w:ascii="Times New Roman" w:hAnsi="Times New Roman" w:cs="Times New Roman"/>
          <w:color w:val="auto"/>
          <w:sz w:val="28"/>
        </w:rPr>
        <w:sectPr>
          <w:footerReference r:id="rId7" w:type="default"/>
          <w:pgSz w:w="11907" w:h="16840"/>
          <w:pgMar w:top="1531" w:right="1134" w:bottom="1134" w:left="1418" w:header="907" w:footer="907" w:gutter="0"/>
          <w:pgBorders>
            <w:top w:val="none" w:sz="0" w:space="0"/>
            <w:left w:val="none" w:sz="0" w:space="0"/>
            <w:bottom w:val="none" w:sz="0" w:space="0"/>
            <w:right w:val="none" w:sz="0" w:space="0"/>
          </w:pgBorders>
          <w:cols w:space="720" w:num="1"/>
          <w:docGrid w:linePitch="326" w:charSpace="-4916"/>
        </w:sectPr>
      </w:pPr>
    </w:p>
    <w:p>
      <w:pPr>
        <w:pStyle w:val="3"/>
        <w:jc w:val="left"/>
        <w:rPr>
          <w:rStyle w:val="45"/>
          <w:rFonts w:hint="default" w:ascii="Times New Roman" w:hAnsi="Times New Roman" w:cs="Times New Roman"/>
          <w:b/>
          <w:bCs/>
          <w:color w:val="auto"/>
          <w:szCs w:val="28"/>
          <w:highlight w:val="none"/>
        </w:rPr>
      </w:pPr>
      <w:r>
        <w:rPr>
          <w:rStyle w:val="45"/>
          <w:rFonts w:hint="default" w:ascii="Times New Roman" w:hAnsi="Times New Roman" w:cs="Times New Roman"/>
          <w:b/>
          <w:bCs/>
          <w:color w:val="auto"/>
          <w:szCs w:val="28"/>
          <w:highlight w:val="none"/>
        </w:rPr>
        <w:t>项目主要污染物产生及排放情况</w:t>
      </w:r>
    </w:p>
    <w:tbl>
      <w:tblPr>
        <w:tblStyle w:val="31"/>
        <w:tblW w:w="9571"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77"/>
        <w:gridCol w:w="1921"/>
        <w:gridCol w:w="1984"/>
        <w:gridCol w:w="2423"/>
        <w:gridCol w:w="23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877" w:type="dxa"/>
            <w:tcBorders>
              <w:tl2br w:val="single" w:color="000000" w:sz="6" w:space="0"/>
            </w:tcBorders>
          </w:tcPr>
          <w:p>
            <w:pPr>
              <w:jc w:val="center"/>
              <w:rPr>
                <w:rFonts w:hint="default" w:ascii="Times New Roman" w:hAnsi="Times New Roman" w:cs="Times New Roman"/>
                <w:b/>
                <w:bCs/>
                <w:color w:val="auto"/>
              </w:rPr>
            </w:pPr>
            <w:r>
              <w:rPr>
                <w:rFonts w:hint="default" w:ascii="Times New Roman" w:hAnsi="Times New Roman" w:cs="Times New Roman"/>
                <w:b/>
                <w:bCs/>
                <w:color w:val="auto"/>
              </w:rPr>
              <w:t>内容</w:t>
            </w:r>
          </w:p>
          <w:p>
            <w:pPr>
              <w:jc w:val="center"/>
              <w:rPr>
                <w:rFonts w:hint="default" w:ascii="Times New Roman" w:hAnsi="Times New Roman" w:cs="Times New Roman"/>
                <w:b/>
                <w:bCs/>
                <w:color w:val="auto"/>
              </w:rPr>
            </w:pPr>
          </w:p>
          <w:p>
            <w:pPr>
              <w:jc w:val="center"/>
              <w:rPr>
                <w:rFonts w:hint="default" w:ascii="Times New Roman" w:hAnsi="Times New Roman" w:cs="Times New Roman"/>
                <w:b/>
                <w:bCs/>
                <w:color w:val="auto"/>
              </w:rPr>
            </w:pPr>
            <w:r>
              <w:rPr>
                <w:rFonts w:hint="default" w:ascii="Times New Roman" w:hAnsi="Times New Roman" w:cs="Times New Roman"/>
                <w:b/>
                <w:bCs/>
                <w:color w:val="auto"/>
              </w:rPr>
              <w:t>类型</w:t>
            </w:r>
          </w:p>
        </w:tc>
        <w:tc>
          <w:tcPr>
            <w:tcW w:w="1921" w:type="dxa"/>
            <w:vAlign w:val="center"/>
          </w:tcPr>
          <w:p>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排放源</w:t>
            </w:r>
          </w:p>
        </w:tc>
        <w:tc>
          <w:tcPr>
            <w:tcW w:w="1984" w:type="dxa"/>
            <w:vAlign w:val="center"/>
          </w:tcPr>
          <w:p>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污染物</w:t>
            </w:r>
          </w:p>
          <w:p>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名称</w:t>
            </w:r>
          </w:p>
        </w:tc>
        <w:tc>
          <w:tcPr>
            <w:tcW w:w="2423" w:type="dxa"/>
            <w:vAlign w:val="center"/>
          </w:tcPr>
          <w:p>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处理前产生</w:t>
            </w:r>
          </w:p>
          <w:p>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浓度及产生量</w:t>
            </w:r>
          </w:p>
        </w:tc>
        <w:tc>
          <w:tcPr>
            <w:tcW w:w="2366" w:type="dxa"/>
            <w:vAlign w:val="center"/>
          </w:tcPr>
          <w:p>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排放浓度及排放量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06" w:hRule="atLeast"/>
          <w:jc w:val="center"/>
        </w:trPr>
        <w:tc>
          <w:tcPr>
            <w:tcW w:w="877" w:type="dxa"/>
            <w:vMerge w:val="restart"/>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水</w:t>
            </w:r>
          </w:p>
          <w:p>
            <w:pPr>
              <w:jc w:val="center"/>
              <w:rPr>
                <w:rFonts w:hint="default" w:ascii="Times New Roman" w:hAnsi="Times New Roman" w:cs="Times New Roman"/>
                <w:b/>
                <w:bCs/>
                <w:color w:val="auto"/>
              </w:rPr>
            </w:pPr>
            <w:r>
              <w:rPr>
                <w:rFonts w:hint="default" w:ascii="Times New Roman" w:hAnsi="Times New Roman" w:cs="Times New Roman"/>
                <w:b/>
                <w:bCs/>
                <w:color w:val="auto"/>
              </w:rPr>
              <w:t>污</w:t>
            </w:r>
          </w:p>
          <w:p>
            <w:pPr>
              <w:jc w:val="center"/>
              <w:rPr>
                <w:rFonts w:hint="default" w:ascii="Times New Roman" w:hAnsi="Times New Roman" w:cs="Times New Roman"/>
                <w:b/>
                <w:bCs/>
                <w:color w:val="auto"/>
              </w:rPr>
            </w:pPr>
            <w:r>
              <w:rPr>
                <w:rFonts w:hint="default" w:ascii="Times New Roman" w:hAnsi="Times New Roman" w:cs="Times New Roman"/>
                <w:b/>
                <w:bCs/>
                <w:color w:val="auto"/>
              </w:rPr>
              <w:t>染</w:t>
            </w:r>
          </w:p>
          <w:p>
            <w:pPr>
              <w:jc w:val="center"/>
              <w:rPr>
                <w:rFonts w:hint="default" w:ascii="Times New Roman" w:hAnsi="Times New Roman" w:cs="Times New Roman"/>
                <w:b/>
                <w:bCs/>
                <w:color w:val="auto"/>
              </w:rPr>
            </w:pPr>
            <w:r>
              <w:rPr>
                <w:rFonts w:hint="default" w:ascii="Times New Roman" w:hAnsi="Times New Roman" w:cs="Times New Roman"/>
                <w:b/>
                <w:bCs/>
                <w:color w:val="auto"/>
              </w:rPr>
              <w:t>物</w:t>
            </w:r>
          </w:p>
        </w:tc>
        <w:tc>
          <w:tcPr>
            <w:tcW w:w="1921" w:type="dxa"/>
            <w:vMerge w:val="restart"/>
            <w:vAlign w:val="center"/>
          </w:tcPr>
          <w:p>
            <w:pPr>
              <w:jc w:val="center"/>
              <w:rPr>
                <w:rFonts w:hint="default"/>
              </w:rPr>
            </w:pPr>
            <w:r>
              <w:rPr>
                <w:rFonts w:hint="default"/>
                <w:lang w:eastAsia="zh-CN"/>
              </w:rPr>
              <w:t>医疗污水、洗衣房废水和</w:t>
            </w:r>
            <w:r>
              <w:rPr>
                <w:rFonts w:hint="default"/>
              </w:rPr>
              <w:t>生活污水</w:t>
            </w:r>
          </w:p>
          <w:p>
            <w:pPr>
              <w:pStyle w:val="2"/>
              <w:ind w:left="0" w:leftChars="0" w:firstLine="0" w:firstLineChars="0"/>
              <w:rPr>
                <w:rFonts w:hint="default" w:eastAsia="宋体"/>
                <w:lang w:val="en-US" w:eastAsia="zh-CN"/>
              </w:rPr>
            </w:pPr>
            <w:r>
              <w:rPr>
                <w:rFonts w:hint="eastAsia" w:ascii="Times New Roman" w:hAnsi="Times New Roman" w:eastAsia="宋体" w:cs="Times New Roman"/>
                <w:color w:val="auto"/>
                <w:kern w:val="2"/>
                <w:sz w:val="21"/>
                <w:szCs w:val="21"/>
                <w:lang w:val="en-US" w:eastAsia="zh-CN" w:bidi="ar-SA"/>
              </w:rPr>
              <w:t>（14414.58m³/a）</w:t>
            </w:r>
          </w:p>
        </w:tc>
        <w:tc>
          <w:tcPr>
            <w:tcW w:w="1984" w:type="dxa"/>
            <w:tcBorders>
              <w:top w:val="single" w:color="auto" w:sz="4" w:space="0"/>
            </w:tcBorders>
            <w:vAlign w:val="center"/>
          </w:tcPr>
          <w:p>
            <w:pPr>
              <w:jc w:val="center"/>
              <w:rPr>
                <w:rFonts w:hint="default" w:ascii="Times New Roman" w:hAnsi="Times New Roman" w:cs="Times New Roman"/>
                <w:color w:val="auto"/>
                <w:szCs w:val="21"/>
              </w:rPr>
            </w:pPr>
            <w:r>
              <w:rPr>
                <w:rFonts w:hint="default" w:ascii="Times New Roman" w:hAnsi="Times New Roman" w:cs="Times New Roman"/>
                <w:bCs/>
                <w:color w:val="auto"/>
                <w:kern w:val="28"/>
                <w:szCs w:val="21"/>
              </w:rPr>
              <w:t>COD</w:t>
            </w:r>
            <w:r>
              <w:rPr>
                <w:rFonts w:hint="default" w:ascii="Times New Roman" w:hAnsi="Times New Roman" w:cs="Times New Roman"/>
                <w:bCs/>
                <w:color w:val="auto"/>
                <w:kern w:val="28"/>
                <w:szCs w:val="21"/>
                <w:vertAlign w:val="subscript"/>
              </w:rPr>
              <w:t>Cr</w:t>
            </w:r>
          </w:p>
        </w:tc>
        <w:tc>
          <w:tcPr>
            <w:tcW w:w="2423" w:type="dxa"/>
            <w:tcBorders>
              <w:right w:val="single" w:color="auto" w:sz="4" w:space="0"/>
            </w:tcBorders>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500mg/L，</w:t>
            </w:r>
            <w:r>
              <w:rPr>
                <w:rFonts w:hint="eastAsia" w:cs="Times New Roman"/>
                <w:color w:val="auto"/>
                <w:szCs w:val="21"/>
                <w:lang w:val="en-US" w:eastAsia="zh-CN"/>
              </w:rPr>
              <w:t>7.19</w:t>
            </w:r>
            <w:r>
              <w:rPr>
                <w:rFonts w:hint="default" w:ascii="Times New Roman" w:hAnsi="Times New Roman" w:cs="Times New Roman"/>
                <w:color w:val="auto"/>
                <w:szCs w:val="21"/>
                <w:lang w:val="en-US" w:eastAsia="zh-CN"/>
              </w:rPr>
              <w:t>t/a</w:t>
            </w:r>
          </w:p>
        </w:tc>
        <w:tc>
          <w:tcPr>
            <w:tcW w:w="2366" w:type="dxa"/>
            <w:tcBorders>
              <w:left w:val="single" w:color="auto" w:sz="4" w:space="0"/>
            </w:tcBorders>
            <w:vAlign w:val="center"/>
          </w:tcPr>
          <w:p>
            <w:pPr>
              <w:jc w:val="center"/>
              <w:rPr>
                <w:rFonts w:hint="default" w:ascii="Times New Roman" w:hAnsi="Times New Roman" w:cs="Times New Roman"/>
                <w:color w:val="auto"/>
                <w:szCs w:val="21"/>
              </w:rPr>
            </w:pPr>
            <w:r>
              <w:rPr>
                <w:rFonts w:hint="eastAsia" w:cs="Times New Roman"/>
                <w:color w:val="auto"/>
                <w:szCs w:val="21"/>
                <w:lang w:val="en-US" w:eastAsia="zh-CN"/>
              </w:rPr>
              <w:t>100</w:t>
            </w:r>
            <w:r>
              <w:rPr>
                <w:rFonts w:hint="default" w:ascii="Times New Roman" w:hAnsi="Times New Roman" w:cs="Times New Roman"/>
                <w:color w:val="auto"/>
                <w:szCs w:val="21"/>
                <w:lang w:val="en-US" w:eastAsia="zh-CN"/>
              </w:rPr>
              <w:t>mg/L，</w:t>
            </w:r>
            <w:r>
              <w:rPr>
                <w:rFonts w:hint="eastAsia" w:cs="Times New Roman"/>
                <w:color w:val="auto"/>
                <w:szCs w:val="21"/>
                <w:lang w:val="en-US" w:eastAsia="zh-CN"/>
              </w:rPr>
              <w:t>1.42</w:t>
            </w:r>
            <w:r>
              <w:rPr>
                <w:rFonts w:hint="default" w:ascii="Times New Roman" w:hAnsi="Times New Roman" w:cs="Times New Roman"/>
                <w:color w:val="auto"/>
                <w:szCs w:val="21"/>
                <w:lang w:val="en-US" w:eastAsia="zh-CN"/>
              </w:rPr>
              <w:t>t/a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06" w:hRule="atLeast"/>
          <w:jc w:val="center"/>
        </w:trPr>
        <w:tc>
          <w:tcPr>
            <w:tcW w:w="877" w:type="dxa"/>
            <w:vMerge w:val="continue"/>
            <w:vAlign w:val="center"/>
          </w:tcPr>
          <w:p>
            <w:pPr>
              <w:jc w:val="center"/>
              <w:rPr>
                <w:rFonts w:hint="default" w:ascii="Times New Roman" w:hAnsi="Times New Roman" w:cs="Times New Roman"/>
                <w:b/>
                <w:bCs/>
                <w:color w:val="auto"/>
              </w:rPr>
            </w:pPr>
          </w:p>
        </w:tc>
        <w:tc>
          <w:tcPr>
            <w:tcW w:w="1921" w:type="dxa"/>
            <w:vMerge w:val="continue"/>
            <w:vAlign w:val="center"/>
          </w:tcPr>
          <w:p>
            <w:pPr>
              <w:jc w:val="center"/>
              <w:rPr>
                <w:rFonts w:hint="default" w:ascii="Times New Roman" w:hAnsi="Times New Roman" w:cs="Times New Roman"/>
                <w:bCs/>
                <w:color w:val="auto"/>
                <w:kern w:val="28"/>
                <w:szCs w:val="21"/>
              </w:rPr>
            </w:pPr>
          </w:p>
        </w:tc>
        <w:tc>
          <w:tcPr>
            <w:tcW w:w="1984" w:type="dxa"/>
            <w:tcBorders>
              <w:top w:val="single" w:color="auto" w:sz="4" w:space="0"/>
            </w:tcBorders>
            <w:vAlign w:val="center"/>
          </w:tcPr>
          <w:p>
            <w:pPr>
              <w:jc w:val="center"/>
              <w:rPr>
                <w:rFonts w:hint="default" w:ascii="Times New Roman" w:hAnsi="Times New Roman" w:cs="Times New Roman"/>
                <w:bCs/>
                <w:color w:val="auto"/>
                <w:kern w:val="28"/>
                <w:szCs w:val="21"/>
              </w:rPr>
            </w:pPr>
            <w:r>
              <w:rPr>
                <w:rFonts w:hint="default" w:ascii="Times New Roman" w:hAnsi="Times New Roman" w:cs="Times New Roman"/>
                <w:bCs/>
                <w:color w:val="auto"/>
                <w:kern w:val="28"/>
                <w:szCs w:val="21"/>
              </w:rPr>
              <w:t>BOD</w:t>
            </w:r>
            <w:r>
              <w:rPr>
                <w:rFonts w:hint="default" w:ascii="Times New Roman" w:hAnsi="Times New Roman" w:cs="Times New Roman"/>
                <w:bCs/>
                <w:color w:val="auto"/>
                <w:kern w:val="28"/>
                <w:szCs w:val="21"/>
                <w:vertAlign w:val="subscript"/>
              </w:rPr>
              <w:t>5</w:t>
            </w:r>
          </w:p>
        </w:tc>
        <w:tc>
          <w:tcPr>
            <w:tcW w:w="2423" w:type="dxa"/>
            <w:tcBorders>
              <w:right w:val="single" w:color="auto" w:sz="4" w:space="0"/>
            </w:tcBorders>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300mg/L，</w:t>
            </w:r>
            <w:r>
              <w:rPr>
                <w:rFonts w:hint="eastAsia" w:cs="Times New Roman"/>
                <w:color w:val="auto"/>
                <w:szCs w:val="21"/>
                <w:lang w:val="en-US" w:eastAsia="zh-CN"/>
              </w:rPr>
              <w:t>4.31</w:t>
            </w:r>
            <w:r>
              <w:rPr>
                <w:rFonts w:hint="default" w:ascii="Times New Roman" w:hAnsi="Times New Roman" w:cs="Times New Roman"/>
                <w:color w:val="auto"/>
                <w:szCs w:val="21"/>
                <w:lang w:val="en-US" w:eastAsia="zh-CN"/>
              </w:rPr>
              <w:t>t/a</w:t>
            </w:r>
          </w:p>
        </w:tc>
        <w:tc>
          <w:tcPr>
            <w:tcW w:w="2366" w:type="dxa"/>
            <w:tcBorders>
              <w:left w:val="single" w:color="auto" w:sz="4" w:space="0"/>
            </w:tcBorders>
            <w:vAlign w:val="center"/>
          </w:tcPr>
          <w:p>
            <w:pPr>
              <w:jc w:val="center"/>
              <w:rPr>
                <w:rFonts w:hint="default" w:ascii="Times New Roman" w:hAnsi="Times New Roman" w:cs="Times New Roman"/>
                <w:color w:val="auto"/>
                <w:szCs w:val="21"/>
              </w:rPr>
            </w:pPr>
            <w:r>
              <w:rPr>
                <w:rFonts w:hint="eastAsia" w:cs="Times New Roman"/>
                <w:color w:val="auto"/>
                <w:szCs w:val="21"/>
                <w:lang w:val="en-US" w:eastAsia="zh-CN"/>
              </w:rPr>
              <w:t>20</w:t>
            </w:r>
            <w:r>
              <w:rPr>
                <w:rFonts w:hint="default" w:ascii="Times New Roman" w:hAnsi="Times New Roman" w:cs="Times New Roman"/>
                <w:color w:val="auto"/>
                <w:szCs w:val="21"/>
                <w:lang w:val="en-US" w:eastAsia="zh-CN"/>
              </w:rPr>
              <w:t>mg/L，</w:t>
            </w:r>
            <w:r>
              <w:rPr>
                <w:rFonts w:hint="eastAsia" w:cs="Times New Roman"/>
                <w:color w:val="auto"/>
                <w:szCs w:val="21"/>
                <w:lang w:val="en-US" w:eastAsia="zh-CN"/>
              </w:rPr>
              <w:t>0.292</w:t>
            </w:r>
            <w:r>
              <w:rPr>
                <w:rFonts w:hint="default" w:ascii="Times New Roman" w:hAnsi="Times New Roman" w:cs="Times New Roman"/>
                <w:color w:val="auto"/>
                <w:szCs w:val="21"/>
                <w:lang w:val="en-US" w:eastAsia="zh-CN"/>
              </w:rPr>
              <w:t>t/a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06" w:hRule="atLeast"/>
          <w:jc w:val="center"/>
        </w:trPr>
        <w:tc>
          <w:tcPr>
            <w:tcW w:w="877" w:type="dxa"/>
            <w:vMerge w:val="continue"/>
            <w:vAlign w:val="center"/>
          </w:tcPr>
          <w:p>
            <w:pPr>
              <w:jc w:val="center"/>
              <w:rPr>
                <w:rFonts w:hint="default" w:ascii="Times New Roman" w:hAnsi="Times New Roman" w:cs="Times New Roman"/>
                <w:b/>
                <w:bCs/>
                <w:color w:val="auto"/>
              </w:rPr>
            </w:pPr>
          </w:p>
        </w:tc>
        <w:tc>
          <w:tcPr>
            <w:tcW w:w="1921" w:type="dxa"/>
            <w:vMerge w:val="continue"/>
            <w:vAlign w:val="center"/>
          </w:tcPr>
          <w:p>
            <w:pPr>
              <w:jc w:val="center"/>
              <w:rPr>
                <w:rFonts w:hint="default" w:ascii="Times New Roman" w:hAnsi="Times New Roman" w:cs="Times New Roman"/>
                <w:color w:val="auto"/>
                <w:szCs w:val="21"/>
                <w:lang w:val="en-GB"/>
              </w:rPr>
            </w:pPr>
          </w:p>
        </w:tc>
        <w:tc>
          <w:tcPr>
            <w:tcW w:w="1984" w:type="dxa"/>
            <w:tcBorders>
              <w:top w:val="single" w:color="auto" w:sz="4" w:space="0"/>
            </w:tcBorders>
            <w:vAlign w:val="center"/>
          </w:tcPr>
          <w:p>
            <w:pPr>
              <w:jc w:val="center"/>
              <w:rPr>
                <w:rFonts w:hint="default" w:ascii="Times New Roman" w:hAnsi="Times New Roman" w:cs="Times New Roman"/>
                <w:color w:val="auto"/>
                <w:szCs w:val="21"/>
              </w:rPr>
            </w:pPr>
            <w:r>
              <w:rPr>
                <w:rFonts w:hint="default" w:ascii="Times New Roman" w:hAnsi="Times New Roman" w:cs="Times New Roman"/>
                <w:bCs/>
                <w:color w:val="auto"/>
                <w:kern w:val="28"/>
                <w:szCs w:val="21"/>
              </w:rPr>
              <w:t>SS</w:t>
            </w:r>
          </w:p>
        </w:tc>
        <w:tc>
          <w:tcPr>
            <w:tcW w:w="2423" w:type="dxa"/>
            <w:tcBorders>
              <w:right w:val="single" w:color="auto" w:sz="4" w:space="0"/>
            </w:tcBorders>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300mg/L，</w:t>
            </w:r>
            <w:r>
              <w:rPr>
                <w:rFonts w:hint="eastAsia" w:cs="Times New Roman"/>
                <w:color w:val="auto"/>
                <w:szCs w:val="21"/>
                <w:lang w:val="en-US" w:eastAsia="zh-CN"/>
              </w:rPr>
              <w:t>4.31</w:t>
            </w:r>
            <w:r>
              <w:rPr>
                <w:rFonts w:hint="default" w:ascii="Times New Roman" w:hAnsi="Times New Roman" w:cs="Times New Roman"/>
                <w:color w:val="auto"/>
                <w:szCs w:val="21"/>
                <w:lang w:val="en-US" w:eastAsia="zh-CN"/>
              </w:rPr>
              <w:t>t/a</w:t>
            </w:r>
          </w:p>
        </w:tc>
        <w:tc>
          <w:tcPr>
            <w:tcW w:w="2366" w:type="dxa"/>
            <w:tcBorders>
              <w:left w:val="single" w:color="auto" w:sz="4" w:space="0"/>
            </w:tcBorders>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60mg/L，</w:t>
            </w:r>
            <w:r>
              <w:rPr>
                <w:rFonts w:hint="eastAsia" w:cs="Times New Roman"/>
                <w:color w:val="auto"/>
                <w:szCs w:val="21"/>
                <w:lang w:val="en-US" w:eastAsia="zh-CN"/>
              </w:rPr>
              <w:t>0.876</w:t>
            </w:r>
            <w:r>
              <w:rPr>
                <w:rFonts w:hint="default" w:ascii="Times New Roman" w:hAnsi="Times New Roman" w:cs="Times New Roman"/>
                <w:color w:val="auto"/>
                <w:szCs w:val="21"/>
                <w:lang w:val="en-US" w:eastAsia="zh-CN"/>
              </w:rPr>
              <w:t>t/a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06" w:hRule="atLeast"/>
          <w:jc w:val="center"/>
        </w:trPr>
        <w:tc>
          <w:tcPr>
            <w:tcW w:w="877" w:type="dxa"/>
            <w:vMerge w:val="continue"/>
            <w:vAlign w:val="center"/>
          </w:tcPr>
          <w:p>
            <w:pPr>
              <w:jc w:val="center"/>
              <w:rPr>
                <w:rFonts w:hint="default" w:ascii="Times New Roman" w:hAnsi="Times New Roman" w:cs="Times New Roman"/>
                <w:b/>
                <w:bCs/>
                <w:color w:val="auto"/>
              </w:rPr>
            </w:pPr>
          </w:p>
        </w:tc>
        <w:tc>
          <w:tcPr>
            <w:tcW w:w="1921" w:type="dxa"/>
            <w:vMerge w:val="continue"/>
            <w:vAlign w:val="center"/>
          </w:tcPr>
          <w:p>
            <w:pPr>
              <w:jc w:val="center"/>
              <w:rPr>
                <w:rFonts w:hint="default" w:ascii="Times New Roman" w:hAnsi="Times New Roman" w:cs="Times New Roman"/>
                <w:color w:val="auto"/>
                <w:szCs w:val="21"/>
                <w:lang w:val="en-GB"/>
              </w:rPr>
            </w:pPr>
          </w:p>
        </w:tc>
        <w:tc>
          <w:tcPr>
            <w:tcW w:w="1984" w:type="dxa"/>
            <w:tcBorders>
              <w:top w:val="single" w:color="auto" w:sz="4" w:space="0"/>
            </w:tcBorders>
            <w:vAlign w:val="center"/>
          </w:tcPr>
          <w:p>
            <w:pPr>
              <w:jc w:val="center"/>
              <w:rPr>
                <w:rFonts w:hint="default" w:ascii="Times New Roman" w:hAnsi="Times New Roman" w:cs="Times New Roman"/>
                <w:color w:val="auto"/>
                <w:szCs w:val="21"/>
              </w:rPr>
            </w:pPr>
            <w:r>
              <w:rPr>
                <w:rFonts w:hint="default" w:ascii="Times New Roman" w:hAnsi="Times New Roman" w:cs="Times New Roman"/>
                <w:bCs/>
                <w:color w:val="auto"/>
                <w:kern w:val="28"/>
                <w:szCs w:val="21"/>
              </w:rPr>
              <w:t>NH</w:t>
            </w:r>
            <w:r>
              <w:rPr>
                <w:rFonts w:hint="default" w:ascii="Times New Roman" w:hAnsi="Times New Roman" w:cs="Times New Roman"/>
                <w:bCs/>
                <w:color w:val="auto"/>
                <w:kern w:val="28"/>
                <w:szCs w:val="21"/>
                <w:vertAlign w:val="subscript"/>
              </w:rPr>
              <w:t>3</w:t>
            </w:r>
            <w:r>
              <w:rPr>
                <w:rFonts w:hint="default" w:ascii="Times New Roman" w:hAnsi="Times New Roman" w:cs="Times New Roman"/>
                <w:bCs/>
                <w:color w:val="auto"/>
                <w:kern w:val="28"/>
                <w:szCs w:val="21"/>
              </w:rPr>
              <w:t>-N</w:t>
            </w:r>
          </w:p>
        </w:tc>
        <w:tc>
          <w:tcPr>
            <w:tcW w:w="2423" w:type="dxa"/>
            <w:tcBorders>
              <w:right w:val="single" w:color="auto" w:sz="4" w:space="0"/>
            </w:tcBorders>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40mg/L，</w:t>
            </w:r>
            <w:r>
              <w:rPr>
                <w:rFonts w:hint="eastAsia" w:cs="Times New Roman"/>
                <w:color w:val="auto"/>
                <w:szCs w:val="21"/>
                <w:lang w:val="en-US" w:eastAsia="zh-CN"/>
              </w:rPr>
              <w:t>0.55</w:t>
            </w:r>
            <w:r>
              <w:rPr>
                <w:rFonts w:hint="default" w:ascii="Times New Roman" w:hAnsi="Times New Roman" w:cs="Times New Roman"/>
                <w:color w:val="auto"/>
                <w:szCs w:val="21"/>
                <w:lang w:val="en-US" w:eastAsia="zh-CN"/>
              </w:rPr>
              <w:t>t/a</w:t>
            </w:r>
          </w:p>
        </w:tc>
        <w:tc>
          <w:tcPr>
            <w:tcW w:w="2366" w:type="dxa"/>
            <w:tcBorders>
              <w:left w:val="single" w:color="auto" w:sz="4" w:space="0"/>
            </w:tcBorders>
            <w:vAlign w:val="center"/>
          </w:tcPr>
          <w:p>
            <w:pPr>
              <w:jc w:val="center"/>
              <w:rPr>
                <w:rFonts w:hint="default" w:ascii="Times New Roman" w:hAnsi="Times New Roman" w:cs="Times New Roman"/>
                <w:color w:val="auto"/>
                <w:szCs w:val="21"/>
              </w:rPr>
            </w:pPr>
            <w:r>
              <w:rPr>
                <w:rFonts w:hint="eastAsia" w:cs="Times New Roman"/>
                <w:color w:val="auto"/>
                <w:szCs w:val="21"/>
                <w:lang w:val="en-US" w:eastAsia="zh-CN"/>
              </w:rPr>
              <w:t>20</w:t>
            </w:r>
            <w:r>
              <w:rPr>
                <w:rFonts w:hint="default" w:ascii="Times New Roman" w:hAnsi="Times New Roman" w:cs="Times New Roman"/>
                <w:color w:val="auto"/>
                <w:szCs w:val="21"/>
                <w:lang w:val="en-US" w:eastAsia="zh-CN"/>
              </w:rPr>
              <w:t>mg/L，</w:t>
            </w:r>
            <w:r>
              <w:rPr>
                <w:rFonts w:hint="eastAsia" w:cs="Times New Roman"/>
                <w:color w:val="auto"/>
                <w:szCs w:val="21"/>
                <w:lang w:val="en-US" w:eastAsia="zh-CN"/>
              </w:rPr>
              <w:t>0.292</w:t>
            </w:r>
            <w:r>
              <w:rPr>
                <w:rFonts w:hint="default" w:ascii="Times New Roman" w:hAnsi="Times New Roman" w:cs="Times New Roman"/>
                <w:color w:val="auto"/>
                <w:szCs w:val="21"/>
                <w:lang w:val="en-US" w:eastAsia="zh-CN"/>
              </w:rPr>
              <w:t>t/a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06" w:hRule="atLeast"/>
          <w:jc w:val="center"/>
        </w:trPr>
        <w:tc>
          <w:tcPr>
            <w:tcW w:w="877" w:type="dxa"/>
            <w:vMerge w:val="continue"/>
            <w:vAlign w:val="center"/>
          </w:tcPr>
          <w:p>
            <w:pPr>
              <w:jc w:val="center"/>
              <w:rPr>
                <w:rFonts w:hint="default" w:ascii="Times New Roman" w:hAnsi="Times New Roman" w:cs="Times New Roman"/>
                <w:b/>
                <w:bCs/>
                <w:color w:val="auto"/>
              </w:rPr>
            </w:pPr>
          </w:p>
        </w:tc>
        <w:tc>
          <w:tcPr>
            <w:tcW w:w="1921" w:type="dxa"/>
            <w:vMerge w:val="continue"/>
            <w:vAlign w:val="center"/>
          </w:tcPr>
          <w:p>
            <w:pPr>
              <w:jc w:val="center"/>
              <w:rPr>
                <w:rFonts w:hint="default" w:ascii="Times New Roman" w:hAnsi="Times New Roman" w:cs="Times New Roman"/>
                <w:color w:val="auto"/>
                <w:szCs w:val="21"/>
                <w:lang w:val="en-GB"/>
              </w:rPr>
            </w:pPr>
          </w:p>
        </w:tc>
        <w:tc>
          <w:tcPr>
            <w:tcW w:w="1984" w:type="dxa"/>
            <w:tcBorders>
              <w:top w:val="single" w:color="auto" w:sz="4" w:space="0"/>
            </w:tcBorders>
            <w:vAlign w:val="center"/>
          </w:tcPr>
          <w:p>
            <w:pPr>
              <w:jc w:val="center"/>
              <w:rPr>
                <w:rFonts w:hint="default" w:ascii="Times New Roman" w:hAnsi="Times New Roman" w:eastAsia="宋体" w:cs="Times New Roman"/>
                <w:bCs/>
                <w:color w:val="auto"/>
                <w:kern w:val="28"/>
                <w:szCs w:val="21"/>
                <w:lang w:eastAsia="zh-CN"/>
              </w:rPr>
            </w:pPr>
            <w:r>
              <w:rPr>
                <w:rFonts w:hint="eastAsia" w:cs="Times New Roman"/>
                <w:bCs/>
                <w:color w:val="auto"/>
                <w:kern w:val="28"/>
                <w:szCs w:val="21"/>
                <w:lang w:eastAsia="zh-CN"/>
              </w:rPr>
              <w:t>总</w:t>
            </w:r>
            <w:r>
              <w:rPr>
                <w:rFonts w:hint="default" w:ascii="Times New Roman" w:hAnsi="Times New Roman" w:cs="Times New Roman"/>
                <w:bCs/>
                <w:color w:val="auto"/>
                <w:kern w:val="28"/>
                <w:szCs w:val="21"/>
                <w:lang w:eastAsia="zh-CN"/>
              </w:rPr>
              <w:t>大肠菌群</w:t>
            </w:r>
          </w:p>
        </w:tc>
        <w:tc>
          <w:tcPr>
            <w:tcW w:w="2423" w:type="dxa"/>
            <w:tcBorders>
              <w:right w:val="single" w:color="auto" w:sz="4" w:space="0"/>
            </w:tcBorders>
            <w:vAlign w:val="center"/>
          </w:tcPr>
          <w:p>
            <w:pPr>
              <w:jc w:val="center"/>
              <w:rPr>
                <w:rFonts w:hint="default" w:ascii="Times New Roman" w:hAnsi="Times New Roman" w:cs="Times New Roman"/>
                <w:bCs/>
                <w:color w:val="auto"/>
                <w:kern w:val="28"/>
                <w:szCs w:val="21"/>
                <w:lang w:val="en-US"/>
              </w:rPr>
            </w:pPr>
            <w:r>
              <w:rPr>
                <w:rFonts w:hint="default" w:ascii="Times New Roman" w:hAnsi="Times New Roman" w:cs="Times New Roman"/>
                <w:color w:val="auto"/>
                <w:szCs w:val="21"/>
                <w:lang w:val="en-US" w:eastAsia="zh-CN"/>
              </w:rPr>
              <w:t>240×10</w:t>
            </w:r>
            <w:r>
              <w:rPr>
                <w:rFonts w:hint="default" w:ascii="Times New Roman" w:hAnsi="Times New Roman" w:cs="Times New Roman"/>
                <w:color w:val="auto"/>
                <w:szCs w:val="21"/>
                <w:vertAlign w:val="superscript"/>
                <w:lang w:val="en-US" w:eastAsia="zh-CN"/>
              </w:rPr>
              <w:t>8</w:t>
            </w:r>
            <w:r>
              <w:rPr>
                <w:rFonts w:hint="default" w:ascii="Times New Roman" w:hAnsi="Times New Roman" w:cs="Times New Roman"/>
                <w:color w:val="auto"/>
                <w:szCs w:val="21"/>
                <w:lang w:val="en-US" w:eastAsia="zh-CN"/>
              </w:rPr>
              <w:t>个/L</w:t>
            </w:r>
          </w:p>
        </w:tc>
        <w:tc>
          <w:tcPr>
            <w:tcW w:w="2366" w:type="dxa"/>
            <w:tcBorders>
              <w:left w:val="single" w:color="auto" w:sz="4" w:space="0"/>
            </w:tcBorders>
            <w:vAlign w:val="center"/>
          </w:tcPr>
          <w:p>
            <w:pPr>
              <w:jc w:val="center"/>
              <w:rPr>
                <w:rFonts w:hint="default" w:ascii="Times New Roman" w:hAnsi="Times New Roman" w:cs="Times New Roman"/>
                <w:color w:val="auto"/>
                <w:szCs w:val="21"/>
                <w:lang w:val="en-US"/>
              </w:rPr>
            </w:pPr>
            <w:r>
              <w:rPr>
                <w:rFonts w:hint="default" w:ascii="Times New Roman" w:hAnsi="Times New Roman" w:cs="Times New Roman"/>
                <w:color w:val="auto"/>
                <w:szCs w:val="21"/>
                <w:lang w:val="en-US" w:eastAsia="zh-CN"/>
              </w:rPr>
              <w:t>≤</w:t>
            </w:r>
            <w:r>
              <w:rPr>
                <w:rFonts w:hint="eastAsia" w:cs="Times New Roman"/>
                <w:color w:val="auto"/>
                <w:szCs w:val="21"/>
                <w:lang w:val="en-US" w:eastAsia="zh-CN"/>
              </w:rPr>
              <w:t>3个</w:t>
            </w:r>
            <w:r>
              <w:rPr>
                <w:rFonts w:hint="default" w:ascii="Times New Roman" w:hAnsi="Times New Roman" w:cs="Times New Roman"/>
                <w:color w:val="auto"/>
                <w:szCs w:val="21"/>
                <w:lang w:val="en-US" w:eastAsia="zh-CN"/>
              </w:rPr>
              <w:t>/L</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06" w:hRule="atLeast"/>
          <w:jc w:val="center"/>
        </w:trPr>
        <w:tc>
          <w:tcPr>
            <w:tcW w:w="877" w:type="dxa"/>
            <w:vMerge w:val="restart"/>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大</w:t>
            </w:r>
          </w:p>
          <w:p>
            <w:pPr>
              <w:jc w:val="center"/>
              <w:rPr>
                <w:rFonts w:hint="default" w:ascii="Times New Roman" w:hAnsi="Times New Roman" w:cs="Times New Roman"/>
                <w:b/>
                <w:bCs/>
                <w:color w:val="auto"/>
              </w:rPr>
            </w:pPr>
            <w:r>
              <w:rPr>
                <w:rFonts w:hint="default" w:ascii="Times New Roman" w:hAnsi="Times New Roman" w:cs="Times New Roman"/>
                <w:b/>
                <w:bCs/>
                <w:color w:val="auto"/>
              </w:rPr>
              <w:t>气</w:t>
            </w:r>
          </w:p>
          <w:p>
            <w:pPr>
              <w:jc w:val="center"/>
              <w:rPr>
                <w:rFonts w:hint="default" w:ascii="Times New Roman" w:hAnsi="Times New Roman" w:cs="Times New Roman"/>
                <w:b/>
                <w:bCs/>
                <w:color w:val="auto"/>
              </w:rPr>
            </w:pPr>
            <w:r>
              <w:rPr>
                <w:rFonts w:hint="default" w:ascii="Times New Roman" w:hAnsi="Times New Roman" w:cs="Times New Roman"/>
                <w:b/>
                <w:bCs/>
                <w:color w:val="auto"/>
              </w:rPr>
              <w:t>污</w:t>
            </w:r>
          </w:p>
          <w:p>
            <w:pPr>
              <w:jc w:val="center"/>
              <w:rPr>
                <w:rFonts w:hint="default" w:ascii="Times New Roman" w:hAnsi="Times New Roman" w:cs="Times New Roman"/>
                <w:b/>
                <w:bCs/>
                <w:color w:val="auto"/>
              </w:rPr>
            </w:pPr>
            <w:r>
              <w:rPr>
                <w:rFonts w:hint="default" w:ascii="Times New Roman" w:hAnsi="Times New Roman" w:cs="Times New Roman"/>
                <w:b/>
                <w:bCs/>
                <w:color w:val="auto"/>
              </w:rPr>
              <w:t>染</w:t>
            </w:r>
          </w:p>
          <w:p>
            <w:pPr>
              <w:jc w:val="center"/>
              <w:rPr>
                <w:rFonts w:hint="default" w:ascii="Times New Roman" w:hAnsi="Times New Roman" w:cs="Times New Roman"/>
                <w:b/>
                <w:bCs/>
                <w:color w:val="auto"/>
              </w:rPr>
            </w:pPr>
            <w:r>
              <w:rPr>
                <w:rFonts w:hint="default" w:ascii="Times New Roman" w:hAnsi="Times New Roman" w:cs="Times New Roman"/>
                <w:b/>
                <w:bCs/>
                <w:color w:val="auto"/>
              </w:rPr>
              <w:t>物</w:t>
            </w:r>
          </w:p>
        </w:tc>
        <w:tc>
          <w:tcPr>
            <w:tcW w:w="1921" w:type="dxa"/>
            <w:vAlign w:val="center"/>
          </w:tcPr>
          <w:p>
            <w:pPr>
              <w:jc w:val="center"/>
              <w:rPr>
                <w:rFonts w:hint="default" w:ascii="Times New Roman" w:hAnsi="Times New Roman" w:cs="Times New Roman"/>
                <w:bCs/>
                <w:color w:val="auto"/>
                <w:kern w:val="28"/>
                <w:szCs w:val="21"/>
                <w:lang w:val="en-GB"/>
              </w:rPr>
            </w:pPr>
            <w:r>
              <w:rPr>
                <w:rFonts w:hint="default" w:ascii="Times New Roman" w:hAnsi="Times New Roman" w:cs="Times New Roman"/>
                <w:bCs/>
                <w:color w:val="auto"/>
                <w:kern w:val="28"/>
                <w:szCs w:val="21"/>
                <w:lang w:val="en-GB" w:eastAsia="zh-CN"/>
              </w:rPr>
              <w:t>食堂油烟</w:t>
            </w:r>
          </w:p>
        </w:tc>
        <w:tc>
          <w:tcPr>
            <w:tcW w:w="1984" w:type="dxa"/>
            <w:tcBorders>
              <w:top w:val="single" w:color="auto" w:sz="4" w:space="0"/>
            </w:tcBorders>
            <w:vAlign w:val="center"/>
          </w:tcPr>
          <w:p>
            <w:pPr>
              <w:jc w:val="center"/>
              <w:rPr>
                <w:rFonts w:hint="default" w:ascii="Times New Roman" w:hAnsi="Times New Roman" w:eastAsia="宋体" w:cs="Times New Roman"/>
                <w:bCs/>
                <w:color w:val="auto"/>
                <w:kern w:val="28"/>
                <w:szCs w:val="21"/>
                <w:highlight w:val="none"/>
                <w:lang w:eastAsia="zh-CN"/>
              </w:rPr>
            </w:pPr>
            <w:r>
              <w:rPr>
                <w:rFonts w:hint="default" w:ascii="Times New Roman" w:hAnsi="Times New Roman" w:cs="Times New Roman"/>
                <w:bCs/>
                <w:color w:val="auto"/>
                <w:kern w:val="28"/>
                <w:szCs w:val="21"/>
                <w:highlight w:val="none"/>
                <w:lang w:eastAsia="zh-CN"/>
              </w:rPr>
              <w:t>油烟</w:t>
            </w:r>
          </w:p>
        </w:tc>
        <w:tc>
          <w:tcPr>
            <w:tcW w:w="2423" w:type="dxa"/>
            <w:tcBorders>
              <w:right w:val="single" w:color="auto" w:sz="4" w:space="0"/>
            </w:tcBorders>
            <w:vAlign w:val="center"/>
          </w:tcPr>
          <w:p>
            <w:pPr>
              <w:jc w:val="center"/>
              <w:rPr>
                <w:rFonts w:hint="default" w:ascii="Times New Roman" w:hAnsi="Times New Roman" w:cs="Times New Roman"/>
                <w:bCs/>
                <w:color w:val="auto"/>
                <w:kern w:val="28"/>
                <w:szCs w:val="21"/>
                <w:highlight w:val="none"/>
                <w:lang w:val="en-US"/>
              </w:rPr>
            </w:pPr>
            <w:r>
              <w:rPr>
                <w:rFonts w:hint="eastAsia" w:cs="Times New Roman"/>
                <w:bCs/>
                <w:color w:val="auto"/>
                <w:kern w:val="28"/>
                <w:szCs w:val="21"/>
                <w:highlight w:val="none"/>
                <w:lang w:val="en-US" w:eastAsia="zh-CN"/>
              </w:rPr>
              <w:t>4.24</w:t>
            </w:r>
            <w:r>
              <w:rPr>
                <w:rFonts w:hint="default" w:ascii="Times New Roman" w:hAnsi="Times New Roman" w:cs="Times New Roman"/>
                <w:bCs/>
                <w:color w:val="auto"/>
                <w:kern w:val="28"/>
                <w:szCs w:val="21"/>
                <w:highlight w:val="none"/>
              </w:rPr>
              <w:t>mg/m</w:t>
            </w:r>
            <w:r>
              <w:rPr>
                <w:rFonts w:hint="default" w:ascii="Times New Roman" w:hAnsi="Times New Roman" w:cs="Times New Roman"/>
                <w:bCs/>
                <w:color w:val="auto"/>
                <w:kern w:val="28"/>
                <w:szCs w:val="21"/>
                <w:highlight w:val="none"/>
                <w:vertAlign w:val="superscript"/>
              </w:rPr>
              <w:t>3</w:t>
            </w:r>
            <w:r>
              <w:rPr>
                <w:rFonts w:hint="default" w:ascii="Times New Roman" w:hAnsi="Times New Roman" w:cs="Times New Roman"/>
                <w:bCs/>
                <w:color w:val="auto"/>
                <w:kern w:val="28"/>
                <w:szCs w:val="21"/>
                <w:highlight w:val="none"/>
              </w:rPr>
              <w:t xml:space="preserve"> </w:t>
            </w:r>
            <w:r>
              <w:rPr>
                <w:rFonts w:hint="eastAsia" w:cs="Times New Roman"/>
                <w:bCs/>
                <w:color w:val="auto"/>
                <w:kern w:val="28"/>
                <w:szCs w:val="21"/>
                <w:highlight w:val="none"/>
                <w:lang w:eastAsia="zh-CN"/>
              </w:rPr>
              <w:t>，</w:t>
            </w:r>
            <w:r>
              <w:rPr>
                <w:rFonts w:hint="eastAsia" w:cs="Times New Roman"/>
                <w:bCs/>
                <w:color w:val="auto"/>
                <w:kern w:val="28"/>
                <w:szCs w:val="21"/>
                <w:highlight w:val="none"/>
                <w:lang w:val="en-US" w:eastAsia="zh-CN"/>
              </w:rPr>
              <w:t>15.49</w:t>
            </w:r>
            <w:r>
              <w:rPr>
                <w:rFonts w:hint="default" w:ascii="Times New Roman" w:hAnsi="Times New Roman" w:cs="Times New Roman"/>
                <w:bCs/>
                <w:color w:val="auto"/>
                <w:kern w:val="28"/>
                <w:szCs w:val="21"/>
                <w:highlight w:val="none"/>
                <w:lang w:val="en-US" w:eastAsia="zh-CN"/>
              </w:rPr>
              <w:t>kg/a</w:t>
            </w:r>
          </w:p>
        </w:tc>
        <w:tc>
          <w:tcPr>
            <w:tcW w:w="2366" w:type="dxa"/>
            <w:tcBorders>
              <w:left w:val="single" w:color="auto" w:sz="4" w:space="0"/>
            </w:tcBorders>
            <w:vAlign w:val="center"/>
          </w:tcPr>
          <w:p>
            <w:pPr>
              <w:jc w:val="center"/>
              <w:rPr>
                <w:rFonts w:hint="default" w:ascii="Times New Roman" w:hAnsi="Times New Roman" w:eastAsia="宋体" w:cs="Times New Roman"/>
                <w:bCs/>
                <w:color w:val="auto"/>
                <w:kern w:val="28"/>
                <w:szCs w:val="21"/>
                <w:highlight w:val="none"/>
                <w:lang w:val="en-US" w:eastAsia="zh-CN"/>
              </w:rPr>
            </w:pPr>
            <w:r>
              <w:rPr>
                <w:rFonts w:hint="eastAsia" w:cs="Times New Roman"/>
                <w:bCs/>
                <w:color w:val="auto"/>
                <w:kern w:val="28"/>
                <w:szCs w:val="21"/>
                <w:highlight w:val="none"/>
                <w:lang w:val="en-US" w:eastAsia="zh-CN"/>
              </w:rPr>
              <w:t>1.69</w:t>
            </w:r>
            <w:r>
              <w:rPr>
                <w:rFonts w:hint="default" w:ascii="Times New Roman" w:hAnsi="Times New Roman" w:cs="Times New Roman"/>
                <w:bCs/>
                <w:color w:val="auto"/>
                <w:kern w:val="28"/>
                <w:szCs w:val="21"/>
                <w:highlight w:val="none"/>
              </w:rPr>
              <w:t>mg/m</w:t>
            </w:r>
            <w:r>
              <w:rPr>
                <w:rFonts w:hint="default" w:ascii="Times New Roman" w:hAnsi="Times New Roman" w:cs="Times New Roman"/>
                <w:bCs/>
                <w:color w:val="auto"/>
                <w:kern w:val="28"/>
                <w:szCs w:val="21"/>
                <w:highlight w:val="none"/>
                <w:vertAlign w:val="superscript"/>
              </w:rPr>
              <w:t>3</w:t>
            </w:r>
            <w:r>
              <w:rPr>
                <w:rFonts w:hint="default" w:ascii="Times New Roman" w:hAnsi="Times New Roman" w:cs="Times New Roman"/>
                <w:bCs/>
                <w:color w:val="auto"/>
                <w:kern w:val="28"/>
                <w:szCs w:val="21"/>
                <w:highlight w:val="none"/>
              </w:rPr>
              <w:t xml:space="preserve"> </w:t>
            </w:r>
            <w:r>
              <w:rPr>
                <w:rFonts w:hint="eastAsia" w:cs="Times New Roman"/>
                <w:bCs/>
                <w:color w:val="auto"/>
                <w:kern w:val="28"/>
                <w:szCs w:val="21"/>
                <w:highlight w:val="none"/>
                <w:lang w:eastAsia="zh-CN"/>
              </w:rPr>
              <w:t>，</w:t>
            </w:r>
            <w:r>
              <w:rPr>
                <w:rFonts w:hint="eastAsia" w:cs="Times New Roman"/>
                <w:bCs/>
                <w:color w:val="auto"/>
                <w:kern w:val="28"/>
                <w:szCs w:val="21"/>
                <w:highlight w:val="none"/>
                <w:lang w:val="en-US" w:eastAsia="zh-CN"/>
              </w:rPr>
              <w:t>6.19</w:t>
            </w:r>
            <w:r>
              <w:rPr>
                <w:rFonts w:hint="default" w:ascii="Times New Roman" w:hAnsi="Times New Roman" w:cs="Times New Roman"/>
                <w:bCs/>
                <w:color w:val="auto"/>
                <w:kern w:val="28"/>
                <w:szCs w:val="21"/>
                <w:highlight w:val="none"/>
                <w:lang w:val="en-US" w:eastAsia="zh-CN"/>
              </w:rPr>
              <w:t>kg/a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06" w:hRule="atLeast"/>
          <w:jc w:val="center"/>
        </w:trPr>
        <w:tc>
          <w:tcPr>
            <w:tcW w:w="877" w:type="dxa"/>
            <w:vMerge w:val="continue"/>
            <w:vAlign w:val="center"/>
          </w:tcPr>
          <w:p>
            <w:pPr>
              <w:jc w:val="center"/>
              <w:rPr>
                <w:rFonts w:hint="default" w:ascii="Times New Roman" w:hAnsi="Times New Roman" w:cs="Times New Roman"/>
                <w:b/>
                <w:bCs/>
                <w:color w:val="auto"/>
              </w:rPr>
            </w:pPr>
          </w:p>
        </w:tc>
        <w:tc>
          <w:tcPr>
            <w:tcW w:w="1921" w:type="dxa"/>
            <w:vMerge w:val="restart"/>
            <w:vAlign w:val="center"/>
          </w:tcPr>
          <w:p>
            <w:pPr>
              <w:jc w:val="center"/>
              <w:rPr>
                <w:rFonts w:hint="default" w:ascii="Times New Roman" w:hAnsi="Times New Roman" w:cs="Times New Roman"/>
                <w:bCs/>
                <w:color w:val="auto"/>
                <w:kern w:val="28"/>
                <w:szCs w:val="21"/>
                <w:lang w:val="en-GB" w:eastAsia="zh-CN"/>
              </w:rPr>
            </w:pPr>
            <w:r>
              <w:rPr>
                <w:rFonts w:hint="default" w:ascii="Times New Roman" w:hAnsi="Times New Roman" w:cs="Times New Roman"/>
                <w:bCs/>
                <w:color w:val="auto"/>
                <w:kern w:val="28"/>
                <w:szCs w:val="21"/>
                <w:lang w:val="en-GB" w:eastAsia="zh-CN"/>
              </w:rPr>
              <w:t>备用发电机尾气</w:t>
            </w:r>
          </w:p>
        </w:tc>
        <w:tc>
          <w:tcPr>
            <w:tcW w:w="1984" w:type="dxa"/>
            <w:tcBorders>
              <w:top w:val="single" w:color="auto" w:sz="4" w:space="0"/>
            </w:tcBorders>
            <w:vAlign w:val="center"/>
          </w:tcPr>
          <w:p>
            <w:pPr>
              <w:jc w:val="center"/>
              <w:rPr>
                <w:rFonts w:hint="default" w:ascii="Times New Roman" w:hAnsi="Times New Roman" w:cs="Times New Roman"/>
                <w:bCs/>
                <w:color w:val="auto"/>
                <w:kern w:val="28"/>
                <w:szCs w:val="21"/>
                <w:lang w:val="en-US" w:eastAsia="zh-CN"/>
              </w:rPr>
            </w:pPr>
            <w:r>
              <w:rPr>
                <w:rFonts w:hint="default" w:ascii="Times New Roman" w:hAnsi="Times New Roman" w:cs="Times New Roman"/>
                <w:bCs/>
                <w:color w:val="auto"/>
                <w:kern w:val="28"/>
                <w:szCs w:val="21"/>
                <w:lang w:val="en-US" w:eastAsia="zh-CN"/>
              </w:rPr>
              <w:t>SO</w:t>
            </w:r>
            <w:r>
              <w:rPr>
                <w:rFonts w:hint="default" w:ascii="Times New Roman" w:hAnsi="Times New Roman" w:cs="Times New Roman"/>
                <w:bCs/>
                <w:color w:val="auto"/>
                <w:kern w:val="28"/>
                <w:szCs w:val="21"/>
                <w:vertAlign w:val="subscript"/>
                <w:lang w:val="en-US" w:eastAsia="zh-CN"/>
              </w:rPr>
              <w:t>2</w:t>
            </w:r>
          </w:p>
        </w:tc>
        <w:tc>
          <w:tcPr>
            <w:tcW w:w="2423" w:type="dxa"/>
            <w:tcBorders>
              <w:right w:val="single" w:color="auto" w:sz="4" w:space="0"/>
            </w:tcBorders>
            <w:vAlign w:val="center"/>
          </w:tcPr>
          <w:p>
            <w:pPr>
              <w:jc w:val="center"/>
              <w:rPr>
                <w:rFonts w:hint="default" w:ascii="Times New Roman" w:hAnsi="Times New Roman" w:cs="Times New Roman"/>
                <w:bCs/>
                <w:color w:val="auto"/>
                <w:kern w:val="28"/>
                <w:szCs w:val="21"/>
                <w:lang w:val="en-US" w:eastAsia="zh-CN"/>
              </w:rPr>
            </w:pPr>
            <w:r>
              <w:rPr>
                <w:rFonts w:hint="default" w:ascii="Times New Roman" w:hAnsi="Times New Roman" w:cs="Times New Roman"/>
                <w:bCs/>
                <w:color w:val="auto"/>
                <w:kern w:val="28"/>
                <w:szCs w:val="21"/>
                <w:lang w:val="en-US" w:eastAsia="zh-CN"/>
              </w:rPr>
              <w:t>8</w:t>
            </w:r>
            <w:r>
              <w:rPr>
                <w:rFonts w:hint="default" w:ascii="Times New Roman" w:hAnsi="Times New Roman" w:cs="Times New Roman"/>
                <w:bCs/>
                <w:color w:val="auto"/>
                <w:kern w:val="28"/>
                <w:szCs w:val="21"/>
              </w:rPr>
              <w:t>mg/m</w:t>
            </w:r>
            <w:r>
              <w:rPr>
                <w:rFonts w:hint="default" w:ascii="Times New Roman" w:hAnsi="Times New Roman" w:cs="Times New Roman"/>
                <w:bCs/>
                <w:color w:val="auto"/>
                <w:kern w:val="28"/>
                <w:szCs w:val="21"/>
                <w:vertAlign w:val="superscript"/>
              </w:rPr>
              <w:t>3</w:t>
            </w:r>
            <w:r>
              <w:rPr>
                <w:rFonts w:hint="default" w:ascii="Times New Roman" w:hAnsi="Times New Roman" w:cs="Times New Roman"/>
                <w:bCs/>
                <w:color w:val="auto"/>
                <w:kern w:val="28"/>
                <w:szCs w:val="21"/>
              </w:rPr>
              <w:t xml:space="preserve"> </w:t>
            </w:r>
            <w:r>
              <w:rPr>
                <w:rFonts w:hint="default" w:ascii="Times New Roman" w:hAnsi="Times New Roman" w:cs="Times New Roman"/>
                <w:bCs/>
                <w:color w:val="auto"/>
                <w:kern w:val="28"/>
                <w:szCs w:val="21"/>
                <w:lang w:val="en-US" w:eastAsia="zh-CN"/>
              </w:rPr>
              <w:t>0.00002t/a</w:t>
            </w:r>
          </w:p>
        </w:tc>
        <w:tc>
          <w:tcPr>
            <w:tcW w:w="2366" w:type="dxa"/>
            <w:tcBorders>
              <w:left w:val="single" w:color="auto" w:sz="4" w:space="0"/>
            </w:tcBorders>
            <w:vAlign w:val="center"/>
          </w:tcPr>
          <w:p>
            <w:pPr>
              <w:jc w:val="center"/>
              <w:rPr>
                <w:rFonts w:hint="default" w:ascii="Times New Roman" w:hAnsi="Times New Roman" w:cs="Times New Roman"/>
                <w:bCs/>
                <w:color w:val="auto"/>
                <w:kern w:val="28"/>
                <w:szCs w:val="21"/>
                <w:lang w:val="en-US" w:eastAsia="zh-CN"/>
              </w:rPr>
            </w:pPr>
            <w:r>
              <w:rPr>
                <w:rFonts w:hint="default" w:ascii="Times New Roman" w:hAnsi="Times New Roman" w:cs="Times New Roman"/>
                <w:bCs/>
                <w:color w:val="auto"/>
                <w:kern w:val="28"/>
                <w:szCs w:val="21"/>
                <w:lang w:val="en-US" w:eastAsia="zh-CN"/>
              </w:rPr>
              <w:t>8</w:t>
            </w:r>
            <w:r>
              <w:rPr>
                <w:rFonts w:hint="default" w:ascii="Times New Roman" w:hAnsi="Times New Roman" w:cs="Times New Roman"/>
                <w:bCs/>
                <w:color w:val="auto"/>
                <w:kern w:val="28"/>
                <w:szCs w:val="21"/>
              </w:rPr>
              <w:t>mg/m</w:t>
            </w:r>
            <w:r>
              <w:rPr>
                <w:rFonts w:hint="default" w:ascii="Times New Roman" w:hAnsi="Times New Roman" w:cs="Times New Roman"/>
                <w:bCs/>
                <w:color w:val="auto"/>
                <w:kern w:val="28"/>
                <w:szCs w:val="21"/>
                <w:vertAlign w:val="superscript"/>
              </w:rPr>
              <w:t>3</w:t>
            </w:r>
            <w:r>
              <w:rPr>
                <w:rFonts w:hint="default" w:ascii="Times New Roman" w:hAnsi="Times New Roman" w:cs="Times New Roman"/>
                <w:bCs/>
                <w:color w:val="auto"/>
                <w:kern w:val="28"/>
                <w:szCs w:val="21"/>
              </w:rPr>
              <w:t xml:space="preserve"> </w:t>
            </w:r>
            <w:r>
              <w:rPr>
                <w:rFonts w:hint="default" w:ascii="Times New Roman" w:hAnsi="Times New Roman" w:cs="Times New Roman"/>
                <w:bCs/>
                <w:color w:val="auto"/>
                <w:kern w:val="28"/>
                <w:szCs w:val="21"/>
                <w:lang w:val="en-US" w:eastAsia="zh-CN"/>
              </w:rPr>
              <w:t>0.00002t/a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06" w:hRule="atLeast"/>
          <w:jc w:val="center"/>
        </w:trPr>
        <w:tc>
          <w:tcPr>
            <w:tcW w:w="877" w:type="dxa"/>
            <w:vMerge w:val="continue"/>
            <w:vAlign w:val="center"/>
          </w:tcPr>
          <w:p>
            <w:pPr>
              <w:jc w:val="center"/>
              <w:rPr>
                <w:rFonts w:hint="default" w:ascii="Times New Roman" w:hAnsi="Times New Roman" w:cs="Times New Roman"/>
                <w:b/>
                <w:bCs/>
                <w:color w:val="auto"/>
              </w:rPr>
            </w:pPr>
          </w:p>
        </w:tc>
        <w:tc>
          <w:tcPr>
            <w:tcW w:w="1921" w:type="dxa"/>
            <w:vMerge w:val="continue"/>
            <w:vAlign w:val="center"/>
          </w:tcPr>
          <w:p>
            <w:pPr>
              <w:jc w:val="center"/>
              <w:rPr>
                <w:rFonts w:hint="default" w:ascii="Times New Roman" w:hAnsi="Times New Roman" w:cs="Times New Roman"/>
                <w:bCs/>
                <w:color w:val="auto"/>
                <w:kern w:val="28"/>
                <w:szCs w:val="21"/>
                <w:lang w:val="en-GB" w:eastAsia="zh-CN"/>
              </w:rPr>
            </w:pPr>
          </w:p>
        </w:tc>
        <w:tc>
          <w:tcPr>
            <w:tcW w:w="1984" w:type="dxa"/>
            <w:tcBorders>
              <w:top w:val="single" w:color="auto" w:sz="4" w:space="0"/>
            </w:tcBorders>
            <w:vAlign w:val="center"/>
          </w:tcPr>
          <w:p>
            <w:pPr>
              <w:jc w:val="center"/>
              <w:rPr>
                <w:rFonts w:hint="default" w:ascii="Times New Roman" w:hAnsi="Times New Roman" w:cs="Times New Roman"/>
                <w:bCs/>
                <w:color w:val="auto"/>
                <w:kern w:val="28"/>
                <w:szCs w:val="21"/>
                <w:lang w:val="en-US" w:eastAsia="zh-CN"/>
              </w:rPr>
            </w:pPr>
            <w:r>
              <w:rPr>
                <w:rFonts w:hint="default" w:ascii="Times New Roman" w:hAnsi="Times New Roman" w:cs="Times New Roman"/>
                <w:bCs/>
                <w:color w:val="auto"/>
                <w:kern w:val="28"/>
                <w:szCs w:val="21"/>
                <w:lang w:val="en-US" w:eastAsia="zh-CN"/>
              </w:rPr>
              <w:t>NO</w:t>
            </w:r>
            <w:r>
              <w:rPr>
                <w:rFonts w:hint="default" w:ascii="Times New Roman" w:hAnsi="Times New Roman" w:cs="Times New Roman"/>
                <w:bCs/>
                <w:color w:val="auto"/>
                <w:kern w:val="28"/>
                <w:szCs w:val="21"/>
                <w:vertAlign w:val="subscript"/>
                <w:lang w:val="en-US" w:eastAsia="zh-CN"/>
              </w:rPr>
              <w:t>x</w:t>
            </w:r>
          </w:p>
        </w:tc>
        <w:tc>
          <w:tcPr>
            <w:tcW w:w="2423" w:type="dxa"/>
            <w:tcBorders>
              <w:right w:val="single" w:color="auto" w:sz="4" w:space="0"/>
            </w:tcBorders>
            <w:vAlign w:val="center"/>
          </w:tcPr>
          <w:p>
            <w:pPr>
              <w:jc w:val="center"/>
              <w:rPr>
                <w:rFonts w:hint="default" w:ascii="Times New Roman" w:hAnsi="Times New Roman" w:cs="Times New Roman"/>
                <w:bCs/>
                <w:color w:val="auto"/>
                <w:kern w:val="28"/>
                <w:szCs w:val="21"/>
                <w:lang w:val="en-US" w:eastAsia="zh-CN"/>
              </w:rPr>
            </w:pPr>
            <w:r>
              <w:rPr>
                <w:rFonts w:hint="default" w:ascii="Times New Roman" w:hAnsi="Times New Roman" w:cs="Times New Roman"/>
                <w:bCs/>
                <w:color w:val="auto"/>
                <w:kern w:val="28"/>
                <w:szCs w:val="21"/>
                <w:lang w:val="en-US" w:eastAsia="zh-CN"/>
              </w:rPr>
              <w:t>175</w:t>
            </w:r>
            <w:r>
              <w:rPr>
                <w:rFonts w:hint="default" w:ascii="Times New Roman" w:hAnsi="Times New Roman" w:cs="Times New Roman"/>
                <w:bCs/>
                <w:color w:val="auto"/>
                <w:kern w:val="28"/>
                <w:szCs w:val="21"/>
              </w:rPr>
              <w:t>mg/m</w:t>
            </w:r>
            <w:r>
              <w:rPr>
                <w:rFonts w:hint="default" w:ascii="Times New Roman" w:hAnsi="Times New Roman" w:cs="Times New Roman"/>
                <w:bCs/>
                <w:color w:val="auto"/>
                <w:kern w:val="28"/>
                <w:szCs w:val="21"/>
                <w:vertAlign w:val="superscript"/>
              </w:rPr>
              <w:t>3</w:t>
            </w:r>
            <w:r>
              <w:rPr>
                <w:rFonts w:hint="default" w:ascii="Times New Roman" w:hAnsi="Times New Roman" w:cs="Times New Roman"/>
                <w:bCs/>
                <w:color w:val="auto"/>
                <w:kern w:val="28"/>
                <w:szCs w:val="21"/>
              </w:rPr>
              <w:t xml:space="preserve"> </w:t>
            </w:r>
            <w:r>
              <w:rPr>
                <w:rFonts w:hint="default" w:ascii="Times New Roman" w:hAnsi="Times New Roman" w:cs="Times New Roman"/>
                <w:bCs/>
                <w:color w:val="auto"/>
                <w:kern w:val="28"/>
                <w:szCs w:val="21"/>
                <w:lang w:val="en-US" w:eastAsia="zh-CN"/>
              </w:rPr>
              <w:t>0.00068t/a</w:t>
            </w:r>
          </w:p>
        </w:tc>
        <w:tc>
          <w:tcPr>
            <w:tcW w:w="2366" w:type="dxa"/>
            <w:tcBorders>
              <w:left w:val="single" w:color="auto" w:sz="4" w:space="0"/>
            </w:tcBorders>
            <w:vAlign w:val="center"/>
          </w:tcPr>
          <w:p>
            <w:pPr>
              <w:jc w:val="center"/>
              <w:rPr>
                <w:rFonts w:hint="default" w:ascii="Times New Roman" w:hAnsi="Times New Roman" w:cs="Times New Roman"/>
                <w:bCs/>
                <w:color w:val="auto"/>
                <w:kern w:val="28"/>
                <w:szCs w:val="21"/>
                <w:lang w:val="en-US" w:eastAsia="zh-CN"/>
              </w:rPr>
            </w:pPr>
            <w:r>
              <w:rPr>
                <w:rFonts w:hint="default" w:ascii="Times New Roman" w:hAnsi="Times New Roman" w:cs="Times New Roman"/>
                <w:bCs/>
                <w:color w:val="auto"/>
                <w:kern w:val="28"/>
                <w:szCs w:val="21"/>
                <w:lang w:val="en-US" w:eastAsia="zh-CN"/>
              </w:rPr>
              <w:t>175</w:t>
            </w:r>
            <w:r>
              <w:rPr>
                <w:rFonts w:hint="default" w:ascii="Times New Roman" w:hAnsi="Times New Roman" w:cs="Times New Roman"/>
                <w:bCs/>
                <w:color w:val="auto"/>
                <w:kern w:val="28"/>
                <w:szCs w:val="21"/>
              </w:rPr>
              <w:t>mg/m</w:t>
            </w:r>
            <w:r>
              <w:rPr>
                <w:rFonts w:hint="default" w:ascii="Times New Roman" w:hAnsi="Times New Roman" w:cs="Times New Roman"/>
                <w:bCs/>
                <w:color w:val="auto"/>
                <w:kern w:val="28"/>
                <w:szCs w:val="21"/>
                <w:vertAlign w:val="superscript"/>
              </w:rPr>
              <w:t>3</w:t>
            </w:r>
            <w:r>
              <w:rPr>
                <w:rFonts w:hint="default" w:ascii="Times New Roman" w:hAnsi="Times New Roman" w:cs="Times New Roman"/>
                <w:bCs/>
                <w:color w:val="auto"/>
                <w:kern w:val="28"/>
                <w:szCs w:val="21"/>
              </w:rPr>
              <w:t xml:space="preserve"> </w:t>
            </w:r>
            <w:r>
              <w:rPr>
                <w:rFonts w:hint="default" w:ascii="Times New Roman" w:hAnsi="Times New Roman" w:cs="Times New Roman"/>
                <w:bCs/>
                <w:color w:val="auto"/>
                <w:kern w:val="28"/>
                <w:szCs w:val="21"/>
                <w:lang w:val="en-US" w:eastAsia="zh-CN"/>
              </w:rPr>
              <w:t>0.00068t/a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06" w:hRule="atLeast"/>
          <w:jc w:val="center"/>
        </w:trPr>
        <w:tc>
          <w:tcPr>
            <w:tcW w:w="877" w:type="dxa"/>
            <w:vMerge w:val="continue"/>
            <w:vAlign w:val="center"/>
          </w:tcPr>
          <w:p>
            <w:pPr>
              <w:jc w:val="center"/>
              <w:rPr>
                <w:rFonts w:hint="default" w:ascii="Times New Roman" w:hAnsi="Times New Roman" w:cs="Times New Roman"/>
                <w:b/>
                <w:bCs/>
                <w:color w:val="auto"/>
              </w:rPr>
            </w:pPr>
          </w:p>
        </w:tc>
        <w:tc>
          <w:tcPr>
            <w:tcW w:w="1921" w:type="dxa"/>
            <w:vMerge w:val="continue"/>
            <w:vAlign w:val="center"/>
          </w:tcPr>
          <w:p>
            <w:pPr>
              <w:jc w:val="center"/>
              <w:rPr>
                <w:rFonts w:hint="default" w:ascii="Times New Roman" w:hAnsi="Times New Roman" w:cs="Times New Roman"/>
                <w:bCs/>
                <w:color w:val="auto"/>
                <w:kern w:val="28"/>
                <w:szCs w:val="21"/>
                <w:lang w:val="en-GB" w:eastAsia="zh-CN"/>
              </w:rPr>
            </w:pPr>
          </w:p>
        </w:tc>
        <w:tc>
          <w:tcPr>
            <w:tcW w:w="1984" w:type="dxa"/>
            <w:tcBorders>
              <w:top w:val="single" w:color="auto" w:sz="4" w:space="0"/>
            </w:tcBorders>
            <w:vAlign w:val="center"/>
          </w:tcPr>
          <w:p>
            <w:pPr>
              <w:jc w:val="center"/>
              <w:rPr>
                <w:rFonts w:hint="default" w:ascii="Times New Roman" w:hAnsi="Times New Roman" w:cs="Times New Roman"/>
                <w:bCs/>
                <w:color w:val="auto"/>
                <w:kern w:val="28"/>
                <w:szCs w:val="21"/>
                <w:lang w:eastAsia="zh-CN"/>
              </w:rPr>
            </w:pPr>
            <w:r>
              <w:rPr>
                <w:rFonts w:hint="default" w:ascii="Times New Roman" w:hAnsi="Times New Roman" w:cs="Times New Roman"/>
                <w:bCs/>
                <w:color w:val="auto"/>
                <w:kern w:val="28"/>
                <w:szCs w:val="21"/>
                <w:lang w:eastAsia="zh-CN"/>
              </w:rPr>
              <w:t>烟尘</w:t>
            </w:r>
          </w:p>
        </w:tc>
        <w:tc>
          <w:tcPr>
            <w:tcW w:w="2423" w:type="dxa"/>
            <w:tcBorders>
              <w:right w:val="single" w:color="auto" w:sz="4" w:space="0"/>
            </w:tcBorders>
            <w:vAlign w:val="center"/>
          </w:tcPr>
          <w:p>
            <w:pPr>
              <w:jc w:val="center"/>
              <w:rPr>
                <w:rFonts w:hint="default" w:ascii="Times New Roman" w:hAnsi="Times New Roman" w:cs="Times New Roman"/>
                <w:bCs/>
                <w:color w:val="auto"/>
                <w:kern w:val="28"/>
                <w:szCs w:val="21"/>
                <w:lang w:val="en-US" w:eastAsia="zh-CN"/>
              </w:rPr>
            </w:pPr>
            <w:r>
              <w:rPr>
                <w:rFonts w:hint="default" w:ascii="Times New Roman" w:hAnsi="Times New Roman" w:cs="Times New Roman"/>
                <w:bCs/>
                <w:color w:val="auto"/>
                <w:kern w:val="28"/>
                <w:szCs w:val="21"/>
                <w:lang w:val="en-US" w:eastAsia="zh-CN"/>
              </w:rPr>
              <w:t>110</w:t>
            </w:r>
            <w:r>
              <w:rPr>
                <w:rFonts w:hint="default" w:ascii="Times New Roman" w:hAnsi="Times New Roman" w:cs="Times New Roman"/>
                <w:bCs/>
                <w:color w:val="auto"/>
                <w:kern w:val="28"/>
                <w:szCs w:val="21"/>
              </w:rPr>
              <w:t>mg/m</w:t>
            </w:r>
            <w:r>
              <w:rPr>
                <w:rFonts w:hint="default" w:ascii="Times New Roman" w:hAnsi="Times New Roman" w:cs="Times New Roman"/>
                <w:bCs/>
                <w:color w:val="auto"/>
                <w:kern w:val="28"/>
                <w:szCs w:val="21"/>
                <w:vertAlign w:val="superscript"/>
              </w:rPr>
              <w:t>3</w:t>
            </w:r>
            <w:r>
              <w:rPr>
                <w:rFonts w:hint="default" w:ascii="Times New Roman" w:hAnsi="Times New Roman" w:cs="Times New Roman"/>
                <w:bCs/>
                <w:color w:val="auto"/>
                <w:kern w:val="28"/>
                <w:szCs w:val="21"/>
              </w:rPr>
              <w:t xml:space="preserve"> </w:t>
            </w:r>
            <w:r>
              <w:rPr>
                <w:rFonts w:hint="default" w:ascii="Times New Roman" w:hAnsi="Times New Roman" w:cs="Times New Roman"/>
                <w:bCs/>
                <w:color w:val="auto"/>
                <w:kern w:val="28"/>
                <w:szCs w:val="21"/>
                <w:lang w:val="en-US" w:eastAsia="zh-CN"/>
              </w:rPr>
              <w:t>0.0004t/a</w:t>
            </w:r>
          </w:p>
        </w:tc>
        <w:tc>
          <w:tcPr>
            <w:tcW w:w="2366" w:type="dxa"/>
            <w:tcBorders>
              <w:left w:val="single" w:color="auto" w:sz="4" w:space="0"/>
            </w:tcBorders>
            <w:vAlign w:val="center"/>
          </w:tcPr>
          <w:p>
            <w:pPr>
              <w:jc w:val="center"/>
              <w:rPr>
                <w:rFonts w:hint="default" w:ascii="Times New Roman" w:hAnsi="Times New Roman" w:cs="Times New Roman"/>
                <w:bCs/>
                <w:color w:val="auto"/>
                <w:kern w:val="28"/>
                <w:szCs w:val="21"/>
                <w:lang w:val="en-US" w:eastAsia="zh-CN"/>
              </w:rPr>
            </w:pPr>
            <w:r>
              <w:rPr>
                <w:rFonts w:hint="default" w:ascii="Times New Roman" w:hAnsi="Times New Roman" w:cs="Times New Roman"/>
                <w:bCs/>
                <w:color w:val="auto"/>
                <w:kern w:val="28"/>
                <w:szCs w:val="21"/>
                <w:lang w:val="en-US" w:eastAsia="zh-CN"/>
              </w:rPr>
              <w:t>110</w:t>
            </w:r>
            <w:r>
              <w:rPr>
                <w:rFonts w:hint="default" w:ascii="Times New Roman" w:hAnsi="Times New Roman" w:cs="Times New Roman"/>
                <w:bCs/>
                <w:color w:val="auto"/>
                <w:kern w:val="28"/>
                <w:szCs w:val="21"/>
              </w:rPr>
              <w:t>mg/m</w:t>
            </w:r>
            <w:r>
              <w:rPr>
                <w:rFonts w:hint="default" w:ascii="Times New Roman" w:hAnsi="Times New Roman" w:cs="Times New Roman"/>
                <w:bCs/>
                <w:color w:val="auto"/>
                <w:kern w:val="28"/>
                <w:szCs w:val="21"/>
                <w:vertAlign w:val="superscript"/>
              </w:rPr>
              <w:t>3</w:t>
            </w:r>
            <w:r>
              <w:rPr>
                <w:rFonts w:hint="default" w:ascii="Times New Roman" w:hAnsi="Times New Roman" w:cs="Times New Roman"/>
                <w:bCs/>
                <w:color w:val="auto"/>
                <w:kern w:val="28"/>
                <w:szCs w:val="21"/>
              </w:rPr>
              <w:t xml:space="preserve"> </w:t>
            </w:r>
            <w:r>
              <w:rPr>
                <w:rFonts w:hint="default" w:ascii="Times New Roman" w:hAnsi="Times New Roman" w:cs="Times New Roman"/>
                <w:bCs/>
                <w:color w:val="auto"/>
                <w:kern w:val="28"/>
                <w:szCs w:val="21"/>
                <w:lang w:val="en-US" w:eastAsia="zh-CN"/>
              </w:rPr>
              <w:t>0.0004t/a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06" w:hRule="atLeast"/>
          <w:jc w:val="center"/>
        </w:trPr>
        <w:tc>
          <w:tcPr>
            <w:tcW w:w="877" w:type="dxa"/>
            <w:vMerge w:val="continue"/>
            <w:vAlign w:val="center"/>
          </w:tcPr>
          <w:p>
            <w:pPr>
              <w:jc w:val="center"/>
              <w:rPr>
                <w:rFonts w:hint="default" w:ascii="Times New Roman" w:hAnsi="Times New Roman" w:cs="Times New Roman"/>
                <w:b/>
                <w:bCs/>
                <w:color w:val="auto"/>
              </w:rPr>
            </w:pPr>
          </w:p>
        </w:tc>
        <w:tc>
          <w:tcPr>
            <w:tcW w:w="1921" w:type="dxa"/>
            <w:vMerge w:val="restart"/>
            <w:vAlign w:val="center"/>
          </w:tcPr>
          <w:p>
            <w:pPr>
              <w:jc w:val="center"/>
              <w:rPr>
                <w:rFonts w:hint="default" w:ascii="Times New Roman" w:hAnsi="Times New Roman" w:cs="Times New Roman"/>
                <w:bCs/>
                <w:color w:val="auto"/>
                <w:kern w:val="28"/>
                <w:szCs w:val="21"/>
                <w:lang w:val="en-GB" w:eastAsia="zh-CN"/>
              </w:rPr>
            </w:pPr>
            <w:r>
              <w:rPr>
                <w:rFonts w:hint="default" w:ascii="Times New Roman" w:hAnsi="Times New Roman" w:cs="Times New Roman"/>
                <w:bCs/>
                <w:color w:val="auto"/>
                <w:kern w:val="28"/>
                <w:szCs w:val="21"/>
                <w:lang w:val="en-GB" w:eastAsia="zh-CN"/>
              </w:rPr>
              <w:t>污水处理站恶臭</w:t>
            </w:r>
          </w:p>
        </w:tc>
        <w:tc>
          <w:tcPr>
            <w:tcW w:w="1984" w:type="dxa"/>
            <w:tcBorders>
              <w:top w:val="single" w:color="auto" w:sz="4" w:space="0"/>
            </w:tcBorders>
            <w:vAlign w:val="center"/>
          </w:tcPr>
          <w:p>
            <w:pPr>
              <w:jc w:val="center"/>
              <w:rPr>
                <w:rFonts w:hint="default" w:ascii="Times New Roman" w:hAnsi="Times New Roman" w:cs="Times New Roman"/>
                <w:bCs/>
                <w:color w:val="auto"/>
                <w:kern w:val="28"/>
                <w:szCs w:val="21"/>
                <w:lang w:val="en-US" w:eastAsia="zh-CN"/>
              </w:rPr>
            </w:pPr>
            <w:r>
              <w:rPr>
                <w:rFonts w:hint="default" w:ascii="Times New Roman" w:hAnsi="Times New Roman" w:cs="Times New Roman"/>
                <w:bCs/>
                <w:color w:val="auto"/>
                <w:kern w:val="28"/>
                <w:szCs w:val="21"/>
                <w:lang w:val="en-US" w:eastAsia="zh-CN"/>
              </w:rPr>
              <w:t>NH</w:t>
            </w:r>
            <w:r>
              <w:rPr>
                <w:rFonts w:hint="default" w:ascii="Times New Roman" w:hAnsi="Times New Roman" w:cs="Times New Roman"/>
                <w:bCs/>
                <w:color w:val="auto"/>
                <w:kern w:val="28"/>
                <w:szCs w:val="21"/>
                <w:vertAlign w:val="subscript"/>
                <w:lang w:val="en-US" w:eastAsia="zh-CN"/>
              </w:rPr>
              <w:t>3</w:t>
            </w:r>
          </w:p>
        </w:tc>
        <w:tc>
          <w:tcPr>
            <w:tcW w:w="2423" w:type="dxa"/>
            <w:tcBorders>
              <w:right w:val="single" w:color="auto" w:sz="4" w:space="0"/>
            </w:tcBorders>
            <w:vAlign w:val="center"/>
          </w:tcPr>
          <w:p>
            <w:pPr>
              <w:jc w:val="center"/>
              <w:rPr>
                <w:rFonts w:hint="default" w:ascii="Times New Roman" w:hAnsi="Times New Roman" w:cs="Times New Roman"/>
                <w:bCs/>
                <w:color w:val="auto"/>
                <w:kern w:val="28"/>
                <w:szCs w:val="21"/>
                <w:lang w:val="en-US" w:eastAsia="zh-CN"/>
              </w:rPr>
            </w:pPr>
            <w:r>
              <w:rPr>
                <w:rFonts w:hint="default" w:ascii="Times New Roman" w:hAnsi="Times New Roman" w:cs="Times New Roman"/>
                <w:bCs/>
                <w:color w:val="auto"/>
                <w:kern w:val="28"/>
                <w:szCs w:val="21"/>
                <w:lang w:val="en-US" w:eastAsia="zh-CN"/>
              </w:rPr>
              <w:t>1.3</w:t>
            </w:r>
            <w:r>
              <w:rPr>
                <w:rFonts w:hint="default" w:ascii="Times New Roman" w:hAnsi="Times New Roman" w:cs="Times New Roman"/>
                <w:bCs/>
                <w:color w:val="auto"/>
                <w:kern w:val="28"/>
                <w:szCs w:val="21"/>
              </w:rPr>
              <w:t>mg/m</w:t>
            </w:r>
            <w:r>
              <w:rPr>
                <w:rFonts w:hint="default" w:ascii="Times New Roman" w:hAnsi="Times New Roman" w:cs="Times New Roman"/>
                <w:bCs/>
                <w:color w:val="auto"/>
                <w:kern w:val="28"/>
                <w:szCs w:val="21"/>
                <w:vertAlign w:val="superscript"/>
              </w:rPr>
              <w:t>3</w:t>
            </w:r>
            <w:r>
              <w:rPr>
                <w:rFonts w:hint="default" w:ascii="Times New Roman" w:hAnsi="Times New Roman" w:cs="Times New Roman"/>
                <w:bCs/>
                <w:color w:val="auto"/>
                <w:kern w:val="28"/>
                <w:szCs w:val="21"/>
              </w:rPr>
              <w:t xml:space="preserve"> </w:t>
            </w:r>
            <w:r>
              <w:rPr>
                <w:rFonts w:hint="default" w:ascii="Times New Roman" w:hAnsi="Times New Roman" w:cs="Times New Roman"/>
                <w:bCs/>
                <w:color w:val="auto"/>
                <w:kern w:val="28"/>
                <w:szCs w:val="21"/>
                <w:lang w:val="en-US" w:eastAsia="zh-CN"/>
              </w:rPr>
              <w:t>22.69kg/a</w:t>
            </w:r>
          </w:p>
        </w:tc>
        <w:tc>
          <w:tcPr>
            <w:tcW w:w="2366" w:type="dxa"/>
            <w:tcBorders>
              <w:left w:val="single" w:color="auto" w:sz="4" w:space="0"/>
            </w:tcBorders>
            <w:vAlign w:val="center"/>
          </w:tcPr>
          <w:p>
            <w:pPr>
              <w:jc w:val="center"/>
              <w:rPr>
                <w:rFonts w:hint="default" w:ascii="Times New Roman" w:hAnsi="Times New Roman" w:cs="Times New Roman"/>
                <w:bCs/>
                <w:color w:val="auto"/>
                <w:kern w:val="28"/>
                <w:szCs w:val="21"/>
                <w:lang w:val="en-US" w:eastAsia="zh-CN"/>
              </w:rPr>
            </w:pPr>
            <w:r>
              <w:rPr>
                <w:rFonts w:hint="default" w:ascii="Times New Roman" w:hAnsi="Times New Roman" w:cs="Times New Roman"/>
                <w:bCs/>
                <w:color w:val="auto"/>
                <w:kern w:val="28"/>
                <w:szCs w:val="21"/>
                <w:lang w:val="en-US" w:eastAsia="zh-CN"/>
              </w:rPr>
              <w:t>0.5</w:t>
            </w:r>
            <w:r>
              <w:rPr>
                <w:rFonts w:hint="default" w:ascii="Times New Roman" w:hAnsi="Times New Roman" w:cs="Times New Roman"/>
                <w:bCs/>
                <w:color w:val="auto"/>
                <w:kern w:val="28"/>
                <w:szCs w:val="21"/>
              </w:rPr>
              <w:t>mg/m</w:t>
            </w:r>
            <w:r>
              <w:rPr>
                <w:rFonts w:hint="default" w:ascii="Times New Roman" w:hAnsi="Times New Roman" w:cs="Times New Roman"/>
                <w:bCs/>
                <w:color w:val="auto"/>
                <w:kern w:val="28"/>
                <w:szCs w:val="21"/>
                <w:vertAlign w:val="superscript"/>
              </w:rPr>
              <w:t>3</w:t>
            </w:r>
            <w:r>
              <w:rPr>
                <w:rFonts w:hint="default" w:ascii="Times New Roman" w:hAnsi="Times New Roman" w:cs="Times New Roman"/>
                <w:bCs/>
                <w:color w:val="auto"/>
                <w:kern w:val="28"/>
                <w:szCs w:val="21"/>
              </w:rPr>
              <w:t xml:space="preserve"> </w:t>
            </w:r>
            <w:r>
              <w:rPr>
                <w:rFonts w:hint="default" w:ascii="Times New Roman" w:hAnsi="Times New Roman" w:cs="Times New Roman"/>
                <w:bCs/>
                <w:color w:val="auto"/>
                <w:kern w:val="28"/>
                <w:szCs w:val="21"/>
                <w:lang w:val="en-US" w:eastAsia="zh-CN"/>
              </w:rPr>
              <w:t>0.001t/a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06" w:hRule="atLeast"/>
          <w:jc w:val="center"/>
        </w:trPr>
        <w:tc>
          <w:tcPr>
            <w:tcW w:w="877" w:type="dxa"/>
            <w:vMerge w:val="continue"/>
            <w:vAlign w:val="center"/>
          </w:tcPr>
          <w:p>
            <w:pPr>
              <w:jc w:val="center"/>
              <w:rPr>
                <w:rFonts w:hint="default" w:ascii="Times New Roman" w:hAnsi="Times New Roman" w:cs="Times New Roman"/>
                <w:b/>
                <w:bCs/>
                <w:color w:val="auto"/>
              </w:rPr>
            </w:pPr>
          </w:p>
        </w:tc>
        <w:tc>
          <w:tcPr>
            <w:tcW w:w="1921" w:type="dxa"/>
            <w:vMerge w:val="continue"/>
            <w:vAlign w:val="center"/>
          </w:tcPr>
          <w:p>
            <w:pPr>
              <w:jc w:val="center"/>
              <w:rPr>
                <w:rFonts w:hint="default" w:ascii="Times New Roman" w:hAnsi="Times New Roman" w:cs="Times New Roman"/>
                <w:bCs/>
                <w:color w:val="auto"/>
                <w:kern w:val="28"/>
                <w:szCs w:val="21"/>
                <w:lang w:val="en-GB" w:eastAsia="zh-CN"/>
              </w:rPr>
            </w:pPr>
          </w:p>
        </w:tc>
        <w:tc>
          <w:tcPr>
            <w:tcW w:w="1984" w:type="dxa"/>
            <w:tcBorders>
              <w:top w:val="single" w:color="auto" w:sz="4" w:space="0"/>
            </w:tcBorders>
            <w:vAlign w:val="center"/>
          </w:tcPr>
          <w:p>
            <w:pPr>
              <w:jc w:val="center"/>
              <w:rPr>
                <w:rFonts w:hint="default" w:ascii="Times New Roman" w:hAnsi="Times New Roman" w:cs="Times New Roman"/>
                <w:bCs/>
                <w:color w:val="auto"/>
                <w:kern w:val="28"/>
                <w:szCs w:val="21"/>
                <w:lang w:val="en-US" w:eastAsia="zh-CN"/>
              </w:rPr>
            </w:pPr>
            <w:r>
              <w:rPr>
                <w:rFonts w:hint="default" w:ascii="Times New Roman" w:hAnsi="Times New Roman" w:cs="Times New Roman"/>
                <w:bCs/>
                <w:color w:val="auto"/>
                <w:kern w:val="28"/>
                <w:szCs w:val="21"/>
                <w:lang w:val="en-US" w:eastAsia="zh-CN"/>
              </w:rPr>
              <w:t>H</w:t>
            </w:r>
            <w:r>
              <w:rPr>
                <w:rFonts w:hint="default" w:ascii="Times New Roman" w:hAnsi="Times New Roman" w:cs="Times New Roman"/>
                <w:bCs/>
                <w:color w:val="auto"/>
                <w:kern w:val="28"/>
                <w:szCs w:val="21"/>
                <w:vertAlign w:val="subscript"/>
                <w:lang w:val="en-US" w:eastAsia="zh-CN"/>
              </w:rPr>
              <w:t>2</w:t>
            </w:r>
            <w:r>
              <w:rPr>
                <w:rFonts w:hint="default" w:ascii="Times New Roman" w:hAnsi="Times New Roman" w:cs="Times New Roman"/>
                <w:bCs/>
                <w:color w:val="auto"/>
                <w:kern w:val="28"/>
                <w:szCs w:val="21"/>
                <w:lang w:val="en-US" w:eastAsia="zh-CN"/>
              </w:rPr>
              <w:t>S</w:t>
            </w:r>
          </w:p>
        </w:tc>
        <w:tc>
          <w:tcPr>
            <w:tcW w:w="2423" w:type="dxa"/>
            <w:tcBorders>
              <w:right w:val="single" w:color="auto" w:sz="4" w:space="0"/>
            </w:tcBorders>
            <w:vAlign w:val="center"/>
          </w:tcPr>
          <w:p>
            <w:pPr>
              <w:jc w:val="center"/>
              <w:rPr>
                <w:rFonts w:hint="default" w:ascii="Times New Roman" w:hAnsi="Times New Roman" w:cs="Times New Roman"/>
                <w:bCs/>
                <w:color w:val="auto"/>
                <w:kern w:val="28"/>
                <w:szCs w:val="21"/>
                <w:lang w:val="en-US" w:eastAsia="zh-CN"/>
              </w:rPr>
            </w:pPr>
            <w:r>
              <w:rPr>
                <w:rFonts w:hint="default" w:ascii="Times New Roman" w:hAnsi="Times New Roman" w:cs="Times New Roman"/>
                <w:bCs/>
                <w:color w:val="auto"/>
                <w:kern w:val="28"/>
                <w:szCs w:val="21"/>
                <w:lang w:val="en-US" w:eastAsia="zh-CN"/>
              </w:rPr>
              <w:t>0.05</w:t>
            </w:r>
            <w:r>
              <w:rPr>
                <w:rFonts w:hint="default" w:ascii="Times New Roman" w:hAnsi="Times New Roman" w:cs="Times New Roman"/>
                <w:bCs/>
                <w:color w:val="auto"/>
                <w:kern w:val="28"/>
                <w:szCs w:val="21"/>
              </w:rPr>
              <w:t>mg/m</w:t>
            </w:r>
            <w:r>
              <w:rPr>
                <w:rFonts w:hint="default" w:ascii="Times New Roman" w:hAnsi="Times New Roman" w:cs="Times New Roman"/>
                <w:bCs/>
                <w:color w:val="auto"/>
                <w:kern w:val="28"/>
                <w:szCs w:val="21"/>
                <w:vertAlign w:val="superscript"/>
              </w:rPr>
              <w:t>3</w:t>
            </w:r>
            <w:r>
              <w:rPr>
                <w:rFonts w:hint="default" w:ascii="Times New Roman" w:hAnsi="Times New Roman" w:cs="Times New Roman"/>
                <w:bCs/>
                <w:color w:val="auto"/>
                <w:kern w:val="28"/>
                <w:szCs w:val="21"/>
              </w:rPr>
              <w:t xml:space="preserve"> </w:t>
            </w:r>
            <w:r>
              <w:rPr>
                <w:rFonts w:hint="default" w:ascii="Times New Roman" w:hAnsi="Times New Roman" w:cs="Times New Roman"/>
                <w:bCs/>
                <w:color w:val="auto"/>
                <w:kern w:val="28"/>
                <w:szCs w:val="21"/>
                <w:lang w:val="en-US" w:eastAsia="zh-CN"/>
              </w:rPr>
              <w:t>0.878kg/a</w:t>
            </w:r>
          </w:p>
        </w:tc>
        <w:tc>
          <w:tcPr>
            <w:tcW w:w="2366" w:type="dxa"/>
            <w:tcBorders>
              <w:left w:val="single" w:color="auto" w:sz="4" w:space="0"/>
            </w:tcBorders>
            <w:vAlign w:val="center"/>
          </w:tcPr>
          <w:p>
            <w:pPr>
              <w:jc w:val="center"/>
              <w:rPr>
                <w:rFonts w:hint="default" w:ascii="Times New Roman" w:hAnsi="Times New Roman" w:cs="Times New Roman"/>
                <w:bCs/>
                <w:color w:val="auto"/>
                <w:kern w:val="28"/>
                <w:szCs w:val="21"/>
                <w:lang w:val="en-US" w:eastAsia="zh-CN"/>
              </w:rPr>
            </w:pPr>
            <w:r>
              <w:rPr>
                <w:rFonts w:hint="default" w:ascii="Times New Roman" w:hAnsi="Times New Roman" w:cs="Times New Roman"/>
                <w:bCs/>
                <w:color w:val="auto"/>
                <w:kern w:val="28"/>
                <w:szCs w:val="21"/>
                <w:lang w:val="en-US" w:eastAsia="zh-CN"/>
              </w:rPr>
              <w:t>0.02</w:t>
            </w:r>
            <w:r>
              <w:rPr>
                <w:rFonts w:hint="default" w:ascii="Times New Roman" w:hAnsi="Times New Roman" w:cs="Times New Roman"/>
                <w:bCs/>
                <w:color w:val="auto"/>
                <w:kern w:val="28"/>
                <w:szCs w:val="21"/>
              </w:rPr>
              <w:t>mg/m</w:t>
            </w:r>
            <w:r>
              <w:rPr>
                <w:rFonts w:hint="default" w:ascii="Times New Roman" w:hAnsi="Times New Roman" w:cs="Times New Roman"/>
                <w:bCs/>
                <w:color w:val="auto"/>
                <w:kern w:val="28"/>
                <w:szCs w:val="21"/>
                <w:vertAlign w:val="superscript"/>
              </w:rPr>
              <w:t>3</w:t>
            </w:r>
            <w:r>
              <w:rPr>
                <w:rFonts w:hint="default" w:ascii="Times New Roman" w:hAnsi="Times New Roman" w:cs="Times New Roman"/>
                <w:bCs/>
                <w:color w:val="auto"/>
                <w:kern w:val="28"/>
                <w:szCs w:val="21"/>
              </w:rPr>
              <w:t xml:space="preserve"> </w:t>
            </w:r>
            <w:r>
              <w:rPr>
                <w:rFonts w:hint="default" w:ascii="Times New Roman" w:hAnsi="Times New Roman" w:cs="Times New Roman"/>
                <w:bCs/>
                <w:color w:val="auto"/>
                <w:kern w:val="28"/>
                <w:szCs w:val="21"/>
                <w:lang w:val="en-US" w:eastAsia="zh-CN"/>
              </w:rPr>
              <w:t>0.00004t/a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06" w:hRule="atLeast"/>
          <w:jc w:val="center"/>
        </w:trPr>
        <w:tc>
          <w:tcPr>
            <w:tcW w:w="877" w:type="dxa"/>
            <w:vMerge w:val="continue"/>
            <w:vAlign w:val="center"/>
          </w:tcPr>
          <w:p>
            <w:pPr>
              <w:jc w:val="center"/>
              <w:rPr>
                <w:rFonts w:hint="default" w:ascii="Times New Roman" w:hAnsi="Times New Roman" w:cs="Times New Roman"/>
                <w:b/>
                <w:bCs/>
                <w:color w:val="auto"/>
              </w:rPr>
            </w:pPr>
          </w:p>
        </w:tc>
        <w:tc>
          <w:tcPr>
            <w:tcW w:w="1921" w:type="dxa"/>
            <w:vAlign w:val="center"/>
          </w:tcPr>
          <w:p>
            <w:pPr>
              <w:jc w:val="center"/>
              <w:rPr>
                <w:rFonts w:hint="default" w:ascii="Times New Roman" w:hAnsi="Times New Roman" w:cs="Times New Roman"/>
                <w:bCs/>
                <w:color w:val="auto"/>
                <w:kern w:val="28"/>
                <w:szCs w:val="21"/>
                <w:lang w:val="en-GB" w:eastAsia="zh-CN"/>
              </w:rPr>
            </w:pPr>
            <w:r>
              <w:rPr>
                <w:rFonts w:hint="default" w:ascii="Times New Roman" w:hAnsi="Times New Roman" w:cs="Times New Roman"/>
                <w:bCs/>
                <w:color w:val="auto"/>
                <w:kern w:val="28"/>
                <w:szCs w:val="21"/>
                <w:lang w:val="en-GB" w:eastAsia="zh-CN"/>
              </w:rPr>
              <w:t>垃圾收集房臭气</w:t>
            </w:r>
          </w:p>
        </w:tc>
        <w:tc>
          <w:tcPr>
            <w:tcW w:w="1984" w:type="dxa"/>
            <w:tcBorders>
              <w:top w:val="single" w:color="auto" w:sz="4" w:space="0"/>
            </w:tcBorders>
            <w:vAlign w:val="center"/>
          </w:tcPr>
          <w:p>
            <w:pPr>
              <w:jc w:val="center"/>
              <w:rPr>
                <w:rFonts w:hint="default" w:ascii="Times New Roman" w:hAnsi="Times New Roman" w:cs="Times New Roman"/>
                <w:bCs/>
                <w:color w:val="auto"/>
                <w:kern w:val="28"/>
                <w:szCs w:val="21"/>
                <w:lang w:eastAsia="zh-CN"/>
              </w:rPr>
            </w:pPr>
            <w:r>
              <w:rPr>
                <w:rFonts w:hint="default" w:ascii="Times New Roman" w:hAnsi="Times New Roman" w:cs="Times New Roman"/>
                <w:bCs/>
                <w:color w:val="auto"/>
                <w:kern w:val="28"/>
                <w:szCs w:val="21"/>
                <w:lang w:eastAsia="zh-CN"/>
              </w:rPr>
              <w:t>恶臭</w:t>
            </w:r>
          </w:p>
        </w:tc>
        <w:tc>
          <w:tcPr>
            <w:tcW w:w="2423" w:type="dxa"/>
            <w:tcBorders>
              <w:right w:val="single" w:color="auto" w:sz="4" w:space="0"/>
            </w:tcBorders>
            <w:vAlign w:val="center"/>
          </w:tcPr>
          <w:p>
            <w:pPr>
              <w:jc w:val="center"/>
              <w:rPr>
                <w:rFonts w:hint="default" w:ascii="Times New Roman" w:hAnsi="Times New Roman" w:cs="Times New Roman"/>
                <w:bCs/>
                <w:color w:val="auto"/>
                <w:kern w:val="28"/>
                <w:szCs w:val="21"/>
                <w:lang w:val="en-US" w:eastAsia="zh-CN"/>
              </w:rPr>
            </w:pPr>
            <w:r>
              <w:rPr>
                <w:rFonts w:hint="default" w:ascii="Times New Roman" w:hAnsi="Times New Roman" w:cs="Times New Roman"/>
                <w:bCs/>
                <w:color w:val="auto"/>
                <w:kern w:val="28"/>
                <w:szCs w:val="21"/>
                <w:lang w:val="en-US" w:eastAsia="zh-CN"/>
              </w:rPr>
              <w:t>少量</w:t>
            </w:r>
          </w:p>
        </w:tc>
        <w:tc>
          <w:tcPr>
            <w:tcW w:w="2366" w:type="dxa"/>
            <w:tcBorders>
              <w:left w:val="single" w:color="auto" w:sz="4" w:space="0"/>
            </w:tcBorders>
            <w:vAlign w:val="center"/>
          </w:tcPr>
          <w:p>
            <w:pPr>
              <w:jc w:val="center"/>
              <w:rPr>
                <w:rFonts w:hint="default" w:ascii="Times New Roman" w:hAnsi="Times New Roman" w:cs="Times New Roman"/>
                <w:bCs/>
                <w:color w:val="auto"/>
                <w:kern w:val="28"/>
                <w:szCs w:val="21"/>
                <w:lang w:val="en-US" w:eastAsia="zh-CN"/>
              </w:rPr>
            </w:pPr>
            <w:r>
              <w:rPr>
                <w:rFonts w:hint="default" w:ascii="Times New Roman" w:hAnsi="Times New Roman" w:cs="Times New Roman"/>
                <w:bCs/>
                <w:color w:val="auto"/>
                <w:kern w:val="28"/>
                <w:szCs w:val="21"/>
                <w:lang w:val="en-US" w:eastAsia="zh-CN"/>
              </w:rPr>
              <w:t>少量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19" w:hRule="atLeast"/>
          <w:jc w:val="center"/>
        </w:trPr>
        <w:tc>
          <w:tcPr>
            <w:tcW w:w="877" w:type="dxa"/>
            <w:vMerge w:val="restart"/>
            <w:tcBorders>
              <w:top w:val="single" w:color="auto" w:sz="4" w:space="0"/>
            </w:tcBorders>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固</w:t>
            </w:r>
          </w:p>
          <w:p>
            <w:pPr>
              <w:jc w:val="center"/>
              <w:rPr>
                <w:rFonts w:hint="default" w:ascii="Times New Roman" w:hAnsi="Times New Roman" w:cs="Times New Roman"/>
                <w:b/>
                <w:bCs/>
                <w:color w:val="auto"/>
              </w:rPr>
            </w:pPr>
            <w:r>
              <w:rPr>
                <w:rFonts w:hint="default" w:ascii="Times New Roman" w:hAnsi="Times New Roman" w:cs="Times New Roman"/>
                <w:b/>
                <w:bCs/>
                <w:color w:val="auto"/>
              </w:rPr>
              <w:t>体</w:t>
            </w:r>
          </w:p>
          <w:p>
            <w:pPr>
              <w:jc w:val="center"/>
              <w:rPr>
                <w:rFonts w:hint="default" w:ascii="Times New Roman" w:hAnsi="Times New Roman" w:cs="Times New Roman"/>
                <w:b/>
                <w:bCs/>
                <w:color w:val="auto"/>
              </w:rPr>
            </w:pPr>
            <w:r>
              <w:rPr>
                <w:rFonts w:hint="default" w:ascii="Times New Roman" w:hAnsi="Times New Roman" w:cs="Times New Roman"/>
                <w:b/>
                <w:bCs/>
                <w:color w:val="auto"/>
              </w:rPr>
              <w:t>废</w:t>
            </w:r>
          </w:p>
          <w:p>
            <w:pPr>
              <w:jc w:val="center"/>
              <w:rPr>
                <w:rFonts w:hint="default" w:ascii="Times New Roman" w:hAnsi="Times New Roman" w:cs="Times New Roman"/>
                <w:b/>
                <w:bCs/>
                <w:color w:val="auto"/>
              </w:rPr>
            </w:pPr>
            <w:r>
              <w:rPr>
                <w:rFonts w:hint="default" w:ascii="Times New Roman" w:hAnsi="Times New Roman" w:cs="Times New Roman"/>
                <w:b/>
                <w:bCs/>
                <w:color w:val="auto"/>
              </w:rPr>
              <w:t>物</w:t>
            </w:r>
          </w:p>
        </w:tc>
        <w:tc>
          <w:tcPr>
            <w:tcW w:w="1921" w:type="dxa"/>
            <w:tcBorders>
              <w:top w:val="single" w:color="auto" w:sz="4" w:space="0"/>
            </w:tcBorders>
            <w:vAlign w:val="center"/>
          </w:tcPr>
          <w:p>
            <w:pPr>
              <w:jc w:val="center"/>
              <w:rPr>
                <w:rFonts w:hint="default" w:ascii="Times New Roman" w:hAnsi="Times New Roman" w:cs="Times New Roman"/>
                <w:bCs/>
                <w:color w:val="auto"/>
                <w:kern w:val="28"/>
                <w:szCs w:val="21"/>
              </w:rPr>
            </w:pPr>
            <w:r>
              <w:rPr>
                <w:rFonts w:hint="default" w:ascii="Times New Roman" w:hAnsi="Times New Roman" w:cs="Times New Roman"/>
                <w:bCs/>
                <w:color w:val="auto"/>
                <w:kern w:val="28"/>
                <w:szCs w:val="21"/>
                <w:lang w:val="en-GB" w:eastAsia="zh-CN"/>
              </w:rPr>
              <w:t>一般办公生活垃圾</w:t>
            </w:r>
          </w:p>
        </w:tc>
        <w:tc>
          <w:tcPr>
            <w:tcW w:w="1984" w:type="dxa"/>
            <w:tcBorders>
              <w:top w:val="single" w:color="auto" w:sz="4" w:space="0"/>
            </w:tcBorders>
            <w:vAlign w:val="center"/>
          </w:tcPr>
          <w:p>
            <w:pPr>
              <w:jc w:val="center"/>
              <w:rPr>
                <w:rFonts w:hint="default" w:ascii="Times New Roman" w:hAnsi="Times New Roman" w:eastAsia="宋体" w:cs="Times New Roman"/>
                <w:color w:val="auto"/>
                <w:lang w:eastAsia="zh-CN"/>
              </w:rPr>
            </w:pPr>
            <w:r>
              <w:rPr>
                <w:rFonts w:hint="default" w:ascii="Times New Roman" w:hAnsi="Times New Roman" w:cs="Times New Roman"/>
                <w:bCs/>
                <w:color w:val="auto"/>
                <w:kern w:val="28"/>
                <w:szCs w:val="21"/>
                <w:lang w:val="en-GB" w:eastAsia="zh-CN"/>
              </w:rPr>
              <w:t>一般办公生活垃圾</w:t>
            </w:r>
          </w:p>
        </w:tc>
        <w:tc>
          <w:tcPr>
            <w:tcW w:w="2423" w:type="dxa"/>
            <w:tcBorders>
              <w:top w:val="single" w:color="auto" w:sz="4" w:space="0"/>
              <w:bottom w:val="single" w:color="auto" w:sz="4" w:space="0"/>
            </w:tcBorders>
            <w:vAlign w:val="center"/>
          </w:tcPr>
          <w:p>
            <w:pPr>
              <w:pStyle w:val="66"/>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45.13</w:t>
            </w:r>
            <w:r>
              <w:rPr>
                <w:rFonts w:hint="default" w:ascii="Times New Roman" w:hAnsi="Times New Roman" w:cs="Times New Roman"/>
                <w:color w:val="auto"/>
                <w:szCs w:val="21"/>
              </w:rPr>
              <w:t>t/a</w:t>
            </w:r>
          </w:p>
        </w:tc>
        <w:tc>
          <w:tcPr>
            <w:tcW w:w="2366" w:type="dxa"/>
            <w:tcBorders>
              <w:top w:val="single" w:color="auto" w:sz="4" w:space="0"/>
            </w:tcBorders>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19" w:hRule="atLeast"/>
          <w:jc w:val="center"/>
        </w:trPr>
        <w:tc>
          <w:tcPr>
            <w:tcW w:w="877" w:type="dxa"/>
            <w:vMerge w:val="continue"/>
            <w:vAlign w:val="center"/>
          </w:tcPr>
          <w:p>
            <w:pPr>
              <w:jc w:val="center"/>
              <w:rPr>
                <w:rFonts w:hint="default" w:ascii="Times New Roman" w:hAnsi="Times New Roman" w:cs="Times New Roman"/>
                <w:b/>
                <w:bCs/>
                <w:color w:val="auto"/>
              </w:rPr>
            </w:pPr>
          </w:p>
        </w:tc>
        <w:tc>
          <w:tcPr>
            <w:tcW w:w="1921" w:type="dxa"/>
            <w:tcBorders>
              <w:top w:val="single" w:color="auto" w:sz="4" w:space="0"/>
            </w:tcBorders>
            <w:vAlign w:val="center"/>
          </w:tcPr>
          <w:p>
            <w:pPr>
              <w:jc w:val="center"/>
              <w:rPr>
                <w:rFonts w:hint="default" w:ascii="Times New Roman" w:hAnsi="Times New Roman" w:cs="Times New Roman"/>
                <w:bCs/>
                <w:color w:val="auto"/>
                <w:kern w:val="28"/>
                <w:szCs w:val="21"/>
                <w:lang w:val="en-GB" w:eastAsia="zh-CN"/>
              </w:rPr>
            </w:pPr>
            <w:r>
              <w:rPr>
                <w:rFonts w:hint="default" w:ascii="Times New Roman" w:hAnsi="Times New Roman" w:cs="Times New Roman"/>
                <w:bCs/>
                <w:color w:val="auto"/>
                <w:kern w:val="28"/>
                <w:szCs w:val="21"/>
                <w:lang w:val="en-GB" w:eastAsia="zh-CN"/>
              </w:rPr>
              <w:t>医疗废物</w:t>
            </w:r>
          </w:p>
        </w:tc>
        <w:tc>
          <w:tcPr>
            <w:tcW w:w="1984" w:type="dxa"/>
            <w:tcBorders>
              <w:top w:val="single" w:color="auto" w:sz="4" w:space="0"/>
            </w:tcBorders>
            <w:vAlign w:val="center"/>
          </w:tcPr>
          <w:p>
            <w:pPr>
              <w:jc w:val="center"/>
              <w:rPr>
                <w:rFonts w:hint="default" w:ascii="Times New Roman" w:hAnsi="Times New Roman" w:cs="Times New Roman"/>
                <w:color w:val="auto"/>
                <w:lang w:eastAsia="zh-CN"/>
              </w:rPr>
            </w:pPr>
            <w:r>
              <w:rPr>
                <w:rFonts w:hint="default" w:ascii="Times New Roman" w:hAnsi="Times New Roman" w:cs="Times New Roman"/>
                <w:bCs/>
                <w:color w:val="auto"/>
                <w:kern w:val="28"/>
                <w:szCs w:val="21"/>
                <w:lang w:val="en-GB" w:eastAsia="zh-CN"/>
              </w:rPr>
              <w:t>医疗废物</w:t>
            </w:r>
          </w:p>
        </w:tc>
        <w:tc>
          <w:tcPr>
            <w:tcW w:w="2423" w:type="dxa"/>
            <w:tcBorders>
              <w:top w:val="single" w:color="auto" w:sz="4" w:space="0"/>
              <w:bottom w:val="single" w:color="auto" w:sz="4" w:space="0"/>
            </w:tcBorders>
            <w:vAlign w:val="center"/>
          </w:tcPr>
          <w:p>
            <w:pPr>
              <w:pStyle w:val="66"/>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13.14</w:t>
            </w:r>
            <w:r>
              <w:rPr>
                <w:rFonts w:hint="default" w:ascii="Times New Roman" w:hAnsi="Times New Roman" w:cs="Times New Roman"/>
                <w:color w:val="auto"/>
                <w:szCs w:val="21"/>
                <w:lang w:val="en-US" w:eastAsia="zh-CN"/>
              </w:rPr>
              <w:t>t/a</w:t>
            </w:r>
          </w:p>
        </w:tc>
        <w:tc>
          <w:tcPr>
            <w:tcW w:w="2366" w:type="dxa"/>
            <w:tcBorders>
              <w:top w:val="single" w:color="auto" w:sz="4" w:space="0"/>
            </w:tcBorders>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13" w:hRule="atLeast"/>
          <w:jc w:val="center"/>
        </w:trPr>
        <w:tc>
          <w:tcPr>
            <w:tcW w:w="877" w:type="dxa"/>
            <w:vMerge w:val="continue"/>
            <w:vAlign w:val="center"/>
          </w:tcPr>
          <w:p>
            <w:pPr>
              <w:jc w:val="center"/>
              <w:rPr>
                <w:rFonts w:hint="default" w:ascii="Times New Roman" w:hAnsi="Times New Roman" w:cs="Times New Roman"/>
                <w:b/>
                <w:bCs/>
                <w:color w:val="auto"/>
              </w:rPr>
            </w:pPr>
          </w:p>
        </w:tc>
        <w:tc>
          <w:tcPr>
            <w:tcW w:w="1921" w:type="dxa"/>
            <w:vAlign w:val="center"/>
          </w:tcPr>
          <w:p>
            <w:pPr>
              <w:jc w:val="center"/>
              <w:rPr>
                <w:rFonts w:hint="default" w:ascii="Times New Roman" w:hAnsi="Times New Roman" w:eastAsia="宋体" w:cs="Times New Roman"/>
                <w:bCs/>
                <w:color w:val="auto"/>
                <w:kern w:val="28"/>
                <w:szCs w:val="21"/>
                <w:lang w:eastAsia="zh-CN"/>
              </w:rPr>
            </w:pPr>
            <w:r>
              <w:rPr>
                <w:rFonts w:hint="default" w:ascii="Times New Roman" w:hAnsi="Times New Roman" w:cs="Times New Roman"/>
                <w:bCs/>
                <w:color w:val="auto"/>
                <w:kern w:val="28"/>
                <w:szCs w:val="21"/>
                <w:lang w:eastAsia="zh-CN"/>
              </w:rPr>
              <w:t>污水处理站污泥</w:t>
            </w:r>
          </w:p>
        </w:tc>
        <w:tc>
          <w:tcPr>
            <w:tcW w:w="1984" w:type="dxa"/>
            <w:tcBorders>
              <w:top w:val="single" w:color="auto" w:sz="4" w:space="0"/>
              <w:bottom w:val="single" w:color="auto" w:sz="4" w:space="0"/>
            </w:tcBorders>
            <w:vAlign w:val="center"/>
          </w:tcPr>
          <w:p>
            <w:pPr>
              <w:jc w:val="center"/>
              <w:rPr>
                <w:rFonts w:hint="default" w:ascii="Times New Roman" w:hAnsi="Times New Roman" w:cs="Times New Roman"/>
                <w:bCs/>
                <w:color w:val="auto"/>
                <w:kern w:val="28"/>
                <w:szCs w:val="21"/>
              </w:rPr>
            </w:pPr>
            <w:r>
              <w:rPr>
                <w:rFonts w:hint="default" w:ascii="Times New Roman" w:hAnsi="Times New Roman" w:cs="Times New Roman"/>
                <w:bCs/>
                <w:color w:val="auto"/>
                <w:kern w:val="28"/>
                <w:szCs w:val="21"/>
                <w:lang w:eastAsia="zh-CN"/>
              </w:rPr>
              <w:t>污水处理站污泥</w:t>
            </w:r>
          </w:p>
        </w:tc>
        <w:tc>
          <w:tcPr>
            <w:tcW w:w="2423" w:type="dxa"/>
            <w:tcBorders>
              <w:top w:val="single" w:color="auto" w:sz="4" w:space="0"/>
              <w:bottom w:val="single" w:color="auto" w:sz="4" w:space="0"/>
            </w:tcBorders>
            <w:vAlign w:val="center"/>
          </w:tcPr>
          <w:p>
            <w:pPr>
              <w:jc w:val="center"/>
              <w:rPr>
                <w:rFonts w:hint="default" w:ascii="Times New Roman" w:hAnsi="Times New Roman" w:cs="Times New Roman"/>
                <w:bCs/>
                <w:color w:val="auto"/>
                <w:kern w:val="28"/>
                <w:szCs w:val="21"/>
              </w:rPr>
            </w:pPr>
            <w:r>
              <w:rPr>
                <w:rFonts w:hint="eastAsia" w:cs="Times New Roman"/>
                <w:bCs/>
                <w:color w:val="auto"/>
                <w:kern w:val="28"/>
                <w:szCs w:val="21"/>
                <w:lang w:val="en-US" w:eastAsia="zh-CN"/>
              </w:rPr>
              <w:t>7.21</w:t>
            </w:r>
            <w:r>
              <w:rPr>
                <w:rFonts w:hint="default" w:ascii="Times New Roman" w:hAnsi="Times New Roman" w:cs="Times New Roman"/>
                <w:bCs/>
                <w:color w:val="auto"/>
                <w:kern w:val="28"/>
                <w:szCs w:val="21"/>
              </w:rPr>
              <w:t>t/a</w:t>
            </w:r>
          </w:p>
        </w:tc>
        <w:tc>
          <w:tcPr>
            <w:tcW w:w="2366" w:type="dxa"/>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750" w:hRule="atLeast"/>
          <w:jc w:val="center"/>
        </w:trPr>
        <w:tc>
          <w:tcPr>
            <w:tcW w:w="877" w:type="dxa"/>
            <w:tcBorders>
              <w:top w:val="single" w:color="auto" w:sz="4" w:space="0"/>
              <w:bottom w:val="single" w:color="auto" w:sz="4" w:space="0"/>
            </w:tcBorders>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噪</w:t>
            </w:r>
          </w:p>
          <w:p>
            <w:pPr>
              <w:jc w:val="center"/>
              <w:rPr>
                <w:rFonts w:hint="default" w:ascii="Times New Roman" w:hAnsi="Times New Roman" w:cs="Times New Roman"/>
                <w:b/>
                <w:bCs/>
                <w:color w:val="auto"/>
              </w:rPr>
            </w:pPr>
            <w:r>
              <w:rPr>
                <w:rFonts w:hint="default" w:ascii="Times New Roman" w:hAnsi="Times New Roman" w:cs="Times New Roman"/>
                <w:b/>
                <w:bCs/>
                <w:color w:val="auto"/>
              </w:rPr>
              <w:t>声</w:t>
            </w:r>
          </w:p>
        </w:tc>
        <w:tc>
          <w:tcPr>
            <w:tcW w:w="1921" w:type="dxa"/>
            <w:vAlign w:val="center"/>
          </w:tcPr>
          <w:p>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各种配套设备（水泵、发电机、抽排风机、</w:t>
            </w:r>
            <w:r>
              <w:rPr>
                <w:rFonts w:hint="default" w:ascii="Times New Roman" w:hAnsi="Times New Roman" w:cs="Times New Roman"/>
                <w:color w:val="auto"/>
                <w:szCs w:val="21"/>
                <w:lang w:eastAsia="zh-CN"/>
              </w:rPr>
              <w:t>空调系统</w:t>
            </w:r>
            <w:r>
              <w:rPr>
                <w:rFonts w:hint="default" w:ascii="Times New Roman" w:hAnsi="Times New Roman" w:cs="Times New Roman"/>
                <w:color w:val="auto"/>
                <w:szCs w:val="21"/>
              </w:rPr>
              <w:t>等）运行时产生的噪声、进出车辆噪声及社会活动噪声</w:t>
            </w:r>
          </w:p>
        </w:tc>
        <w:tc>
          <w:tcPr>
            <w:tcW w:w="1984" w:type="dxa"/>
            <w:vAlign w:val="center"/>
          </w:tcPr>
          <w:p>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噪声</w:t>
            </w:r>
          </w:p>
        </w:tc>
        <w:tc>
          <w:tcPr>
            <w:tcW w:w="2423" w:type="dxa"/>
            <w:tcBorders>
              <w:bottom w:val="single" w:color="auto" w:sz="4" w:space="0"/>
            </w:tcBorders>
            <w:vAlign w:val="center"/>
          </w:tcPr>
          <w:p>
            <w:pPr>
              <w:jc w:val="center"/>
              <w:rPr>
                <w:rFonts w:hint="default" w:ascii="Times New Roman" w:hAnsi="Times New Roman" w:cs="Times New Roman"/>
                <w:color w:val="auto"/>
                <w:szCs w:val="21"/>
              </w:rPr>
            </w:pPr>
            <w:r>
              <w:rPr>
                <w:rFonts w:hint="default" w:ascii="Times New Roman" w:hAnsi="Times New Roman" w:cs="Times New Roman"/>
                <w:bCs/>
                <w:color w:val="auto"/>
                <w:kern w:val="28"/>
                <w:szCs w:val="21"/>
                <w:lang w:val="en-US" w:eastAsia="zh-CN"/>
              </w:rPr>
              <w:t>75</w:t>
            </w:r>
            <w:r>
              <w:rPr>
                <w:rFonts w:hint="default" w:ascii="Times New Roman" w:hAnsi="Times New Roman" w:cs="Times New Roman"/>
                <w:bCs/>
                <w:color w:val="auto"/>
                <w:kern w:val="28"/>
                <w:szCs w:val="21"/>
              </w:rPr>
              <w:t>～</w:t>
            </w:r>
            <w:r>
              <w:rPr>
                <w:rFonts w:hint="default" w:ascii="Times New Roman" w:hAnsi="Times New Roman" w:cs="Times New Roman"/>
                <w:bCs/>
                <w:color w:val="auto"/>
                <w:kern w:val="28"/>
                <w:szCs w:val="21"/>
                <w:lang w:val="en-US" w:eastAsia="zh-CN"/>
              </w:rPr>
              <w:t>105</w:t>
            </w:r>
            <w:r>
              <w:rPr>
                <w:rFonts w:hint="default" w:ascii="Times New Roman" w:hAnsi="Times New Roman" w:cs="Times New Roman"/>
                <w:bCs/>
                <w:color w:val="auto"/>
                <w:kern w:val="28"/>
                <w:szCs w:val="21"/>
              </w:rPr>
              <w:t>dB(A)</w:t>
            </w:r>
          </w:p>
        </w:tc>
        <w:tc>
          <w:tcPr>
            <w:tcW w:w="2366" w:type="dxa"/>
            <w:tcBorders>
              <w:bottom w:val="single" w:color="auto" w:sz="4" w:space="0"/>
            </w:tcBorders>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57" w:hRule="atLeast"/>
          <w:jc w:val="center"/>
        </w:trPr>
        <w:tc>
          <w:tcPr>
            <w:tcW w:w="877" w:type="dxa"/>
            <w:tcBorders>
              <w:top w:val="single" w:color="auto" w:sz="4" w:space="0"/>
            </w:tcBorders>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其他</w:t>
            </w:r>
          </w:p>
        </w:tc>
        <w:tc>
          <w:tcPr>
            <w:tcW w:w="8694" w:type="dxa"/>
            <w:gridSpan w:val="4"/>
            <w:vAlign w:val="center"/>
          </w:tcPr>
          <w:p>
            <w:pPr>
              <w:jc w:val="center"/>
              <w:rPr>
                <w:rFonts w:hint="default" w:ascii="Times New Roman" w:hAnsi="Times New Roman" w:cs="Times New Roman"/>
                <w:color w:val="auto"/>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571" w:type="dxa"/>
            <w:gridSpan w:val="5"/>
          </w:tcPr>
          <w:p>
            <w:pPr>
              <w:rPr>
                <w:rFonts w:hint="default" w:ascii="Times New Roman" w:hAnsi="Times New Roman" w:cs="Times New Roman"/>
                <w:b/>
                <w:bCs/>
                <w:color w:val="auto"/>
              </w:rPr>
            </w:pPr>
            <w:r>
              <w:rPr>
                <w:rFonts w:hint="default" w:ascii="Times New Roman" w:hAnsi="Times New Roman" w:cs="Times New Roman"/>
                <w:b/>
                <w:bCs/>
                <w:color w:val="auto"/>
              </w:rPr>
              <w:t>主要生态影响(不够时可附另页):</w:t>
            </w:r>
          </w:p>
          <w:p>
            <w:pPr>
              <w:spacing w:line="360" w:lineRule="auto"/>
              <w:ind w:firstLine="360" w:firstLineChars="150"/>
              <w:rPr>
                <w:rFonts w:hint="default" w:ascii="Times New Roman" w:hAnsi="Times New Roman" w:cs="Times New Roman"/>
                <w:color w:val="auto"/>
                <w:sz w:val="24"/>
              </w:rPr>
            </w:pPr>
            <w:r>
              <w:rPr>
                <w:rFonts w:hint="default" w:ascii="Times New Roman" w:hAnsi="Times New Roman" w:cs="Times New Roman"/>
                <w:color w:val="auto"/>
                <w:sz w:val="24"/>
              </w:rPr>
              <w:t>本项目位于</w:t>
            </w:r>
            <w:r>
              <w:rPr>
                <w:rFonts w:hint="default" w:ascii="Times New Roman" w:hAnsi="Times New Roman" w:cs="Times New Roman"/>
                <w:color w:val="auto"/>
                <w:sz w:val="24"/>
                <w:lang w:eastAsia="zh-CN"/>
              </w:rPr>
              <w:t>揭东区锡场镇华清村山沟西片</w:t>
            </w:r>
            <w:r>
              <w:rPr>
                <w:rFonts w:hint="default" w:ascii="Times New Roman" w:hAnsi="Times New Roman" w:cs="Times New Roman"/>
                <w:color w:val="auto"/>
                <w:sz w:val="24"/>
              </w:rPr>
              <w:t>。据现场调查，项目所在区域内无国家重点保护的动植物和无大型或珍贵受保护生物，该区域不属生态环境保护区，没有特别受保护的生境和生物区系及水产资源，本项目的建设对当地的生态环境影响不大。</w:t>
            </w:r>
          </w:p>
          <w:p>
            <w:pPr>
              <w:ind w:firstLine="480"/>
              <w:rPr>
                <w:rFonts w:hint="default" w:ascii="Times New Roman" w:hAnsi="Times New Roman" w:cs="Times New Roman"/>
                <w:color w:val="auto"/>
              </w:rPr>
            </w:pPr>
          </w:p>
        </w:tc>
      </w:tr>
    </w:tbl>
    <w:p>
      <w:pPr>
        <w:rPr>
          <w:rFonts w:hint="default" w:ascii="Times New Roman" w:hAnsi="Times New Roman" w:cs="Times New Roman"/>
          <w:color w:val="auto"/>
        </w:rPr>
      </w:pPr>
    </w:p>
    <w:p>
      <w:pPr>
        <w:rPr>
          <w:rFonts w:hint="default" w:ascii="Times New Roman" w:hAnsi="Times New Roman" w:cs="Times New Roman"/>
          <w:color w:val="auto"/>
        </w:rPr>
      </w:pPr>
    </w:p>
    <w:p>
      <w:pPr>
        <w:spacing w:line="300" w:lineRule="auto"/>
        <w:rPr>
          <w:rFonts w:hint="default" w:ascii="Times New Roman" w:hAnsi="Times New Roman" w:cs="Times New Roman"/>
          <w:color w:val="auto"/>
          <w:sz w:val="24"/>
        </w:rPr>
        <w:sectPr>
          <w:footerReference r:id="rId8" w:type="default"/>
          <w:pgSz w:w="11907" w:h="16840"/>
          <w:pgMar w:top="1531" w:right="1134" w:bottom="1134" w:left="1418" w:header="907" w:footer="907" w:gutter="0"/>
          <w:pgBorders>
            <w:top w:val="none" w:sz="0" w:space="0"/>
            <w:left w:val="none" w:sz="0" w:space="0"/>
            <w:bottom w:val="none" w:sz="0" w:space="0"/>
            <w:right w:val="none" w:sz="0" w:space="0"/>
          </w:pgBorders>
          <w:cols w:space="720" w:num="1"/>
          <w:docGrid w:linePitch="326" w:charSpace="-4916"/>
        </w:sectPr>
      </w:pPr>
    </w:p>
    <w:p>
      <w:pPr>
        <w:pStyle w:val="3"/>
        <w:jc w:val="left"/>
        <w:rPr>
          <w:rFonts w:hint="default" w:ascii="Times New Roman" w:hAnsi="Times New Roman" w:cs="Times New Roman"/>
          <w:b/>
          <w:bCs/>
          <w:color w:val="auto"/>
          <w:szCs w:val="28"/>
        </w:rPr>
      </w:pPr>
      <w:r>
        <w:rPr>
          <w:rFonts w:hint="default" w:ascii="Times New Roman" w:hAnsi="Times New Roman" w:cs="Times New Roman"/>
          <w:b/>
          <w:bCs/>
          <w:color w:val="auto"/>
          <w:szCs w:val="28"/>
        </w:rPr>
        <w:t>环境影响分析</w:t>
      </w:r>
    </w:p>
    <w:tbl>
      <w:tblPr>
        <w:tblStyle w:val="31"/>
        <w:tblW w:w="9571"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57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79" w:hRule="atLeast"/>
        </w:trPr>
        <w:tc>
          <w:tcPr>
            <w:tcW w:w="9571" w:type="dxa"/>
          </w:tcPr>
          <w:p>
            <w:pPr>
              <w:spacing w:line="360" w:lineRule="auto"/>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施工期环境影响分析：</w:t>
            </w:r>
          </w:p>
          <w:p>
            <w:pPr>
              <w:adjustRightIn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eastAsia="zh-CN"/>
              </w:rPr>
              <w:t>项目施工期约</w:t>
            </w:r>
            <w:r>
              <w:rPr>
                <w:rFonts w:hint="default" w:ascii="Times New Roman" w:hAnsi="Times New Roman" w:cs="Times New Roman"/>
                <w:color w:val="auto"/>
                <w:sz w:val="24"/>
                <w:highlight w:val="none"/>
                <w:lang w:val="en-US" w:eastAsia="zh-CN"/>
              </w:rPr>
              <w:t>1年，施工内容包括场地平整、土建施工、管线铺设、室内装修、设备安装等。</w:t>
            </w:r>
          </w:p>
          <w:p>
            <w:pPr>
              <w:adjustRightInd w:val="0"/>
              <w:spacing w:line="360" w:lineRule="auto"/>
              <w:ind w:firstLine="482" w:firstLineChars="200"/>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lang w:eastAsia="zh-CN"/>
              </w:rPr>
              <w:t>一、</w:t>
            </w:r>
            <w:r>
              <w:rPr>
                <w:rFonts w:hint="default" w:ascii="Times New Roman" w:hAnsi="Times New Roman" w:cs="Times New Roman"/>
                <w:b/>
                <w:bCs/>
                <w:color w:val="auto"/>
                <w:sz w:val="24"/>
                <w:highlight w:val="none"/>
              </w:rPr>
              <w:t>大气环境影响分析</w:t>
            </w:r>
          </w:p>
          <w:p>
            <w:pPr>
              <w:adjustRightIn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1、大气环境影响分析</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施工期大气污染物主要来自土建施工及土石方和建筑材料运输所产生的扬尘、机动车排放的废气和房屋装修产生的废气。</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1</w:t>
            </w:r>
            <w:r>
              <w:rPr>
                <w:rFonts w:hint="default" w:ascii="Times New Roman" w:hAnsi="Times New Roman" w:cs="Times New Roman"/>
                <w:color w:val="auto"/>
                <w:sz w:val="24"/>
                <w:highlight w:val="none"/>
                <w:lang w:eastAsia="zh-CN"/>
              </w:rPr>
              <w:t>）土建施工废气</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土建施工废气主要包括施工扬尘、施工机械和运输车辆尾气等，对环境空气影响最大的是扬尘。由于项目土建周期较长，且本项目施工场地紧邻居民楼和商住楼，施工期间若不采取扬尘防治措施，对于周边环境敏感点影响较大。</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干燥地表的开挖和钻孔产生的粉尘，一部分悬浮于空中，另一部分随风飘落到附近地面和建筑物表面；开挖的泥土堆砌过程中，在风力较大时，会产生粉尘扬起；而装卸和运输过程中，又会造成部分粉尘扬起和洒落；雨水冲刷夹带的泥土散布路面，晒干后因车辆的移动或刮风再次扬尘；开挖的回填过程中也会引起大量粉尘飞扬；建筑材料的装卸、运输、堆砌过程中也必然引起洒落及飞扬。</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施工过程中粉尘污染的危害性不容忽视。浮于空气中的粉尘被施工人员和周围居民吸入，不但会引起各种呼吸道疾病，而且粉尘夹带大量的病原菌，传染各种疾病，严重影响施工人员及周围居民的身体健康。此外，粉尘飘扬，降低能见度，易引发交通事故。粉尘飘落在各种建筑物和树木枝叶上，影响景观。</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经验表明，若在施工时采取必要的控制措施，包括工地洒水和降低散料堆放区风速（通过挡风栅栏或者其他构筑物），则可明显减少扬尘量。采用以上两种措施并规定在积尘路面减速行驶，清洗车轮和车体，用帆布覆盖易起扬尘的物料等，则工地扬尘量可减少 70-80%。可大大减少工地扬尘对周围空气环境的影响，基本上将扬尘的影响范围控制在工地范围。</w:t>
            </w:r>
          </w:p>
          <w:p>
            <w:pPr>
              <w:adjustRightIn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2）装修废气</w:t>
            </w:r>
          </w:p>
          <w:p>
            <w:pPr>
              <w:adjustRightIn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装修期工程内容有结构加固，水电安装、表面涂抹喷漆等，还有楼面、窗门的装饰与安装。建筑装修过程具有粉尘逸散性的物料或废物，进出工地的物料、垃圾运输车辆，将会产生粉尘，如不采取相应的防护措施，将会对项目附近的居民和施工人员的健康造成影响。装修施工阶段，处理墙面装饰，处理楼面等作业，均需要大量涂料，油漆等建筑材料。油漆涂料的组成一般包括膜物质、颜色、助剂和溶剂。涂料使用后其中溶剂将百分百挥发到大气中去。据了解这些溶剂有苯类、丙酮、醋酸丁酯、乙醛、丁醇、甲酸、水等挥发物，该气体易产生恶臭，经呼吸道吸入可能引起眩晕、头痛、恶心等症状，有人经接触可能引起过敏、皮炎等，有毒溶剂的严重影响可能引起气喘、神态不清、呕吐等急性中毒。有机溶剂废气在室内累积，并向室外弥散，影响室内作业人员和室外活动人员。</w:t>
            </w:r>
          </w:p>
          <w:p>
            <w:pPr>
              <w:adjustRightIn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2、大气环境污染防护措施</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为使本项目施工过程中产生的废气对周围环境空气的影响降低到最小程度，建议采取以下防护措施：</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1）</w:t>
            </w:r>
            <w:r>
              <w:rPr>
                <w:rFonts w:hint="default" w:ascii="Times New Roman" w:hAnsi="Times New Roman" w:cs="Times New Roman"/>
                <w:color w:val="auto"/>
                <w:sz w:val="24"/>
                <w:highlight w:val="none"/>
                <w:lang w:eastAsia="zh-CN"/>
              </w:rPr>
              <w:t>施工期围挡</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围挡作用主要是阻挡一部分施工扬尘扩散到施工区外，当风力不大时也可减少自然扬尘。较好的围挡应当有一定的高度，挡扳与挡板之间，挡板与地面之间要密封。</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2）</w:t>
            </w:r>
            <w:r>
              <w:rPr>
                <w:rFonts w:hint="default" w:ascii="Times New Roman" w:hAnsi="Times New Roman" w:cs="Times New Roman"/>
                <w:color w:val="auto"/>
                <w:sz w:val="24"/>
                <w:highlight w:val="none"/>
                <w:lang w:eastAsia="zh-CN"/>
              </w:rPr>
              <w:t>洒水压尘</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开挖、钻孔过程中，应洒水使作业面保持一定的湿度；对施工场地内松散、干涸的表土，也应经常洒水防止粉尘。运输车辆在土路上行驶时造成的扬尘，洒水有特殊控制作用。</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3）</w:t>
            </w:r>
            <w:r>
              <w:rPr>
                <w:rFonts w:hint="default" w:ascii="Times New Roman" w:hAnsi="Times New Roman" w:cs="Times New Roman"/>
                <w:color w:val="auto"/>
                <w:sz w:val="24"/>
                <w:highlight w:val="none"/>
                <w:lang w:eastAsia="zh-CN"/>
              </w:rPr>
              <w:t>分段施工</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边挖边填，做到填挖土石方平衡，不弃土。加强回填土方堆放场的管理，要将土方表面压实、定期喷水、覆盖等措施；不需要的泥土，建筑材料弃渣应及时运走，不宜长时间堆积。</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4）</w:t>
            </w:r>
            <w:r>
              <w:rPr>
                <w:rFonts w:hint="default" w:ascii="Times New Roman" w:hAnsi="Times New Roman" w:cs="Times New Roman"/>
                <w:color w:val="auto"/>
                <w:sz w:val="24"/>
                <w:highlight w:val="none"/>
                <w:lang w:eastAsia="zh-CN"/>
              </w:rPr>
              <w:t>地面硬化</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建筑工地除了挖槽区以外的裸土地面。这些地方经过水泥、沥青及其它固化材料固化，可以有效防止交通扬尘和自然扬尘，另外还便于工地的施工和管理。</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5）</w:t>
            </w:r>
            <w:r>
              <w:rPr>
                <w:rFonts w:hint="default" w:ascii="Times New Roman" w:hAnsi="Times New Roman" w:cs="Times New Roman"/>
                <w:color w:val="auto"/>
                <w:sz w:val="24"/>
                <w:highlight w:val="none"/>
                <w:lang w:eastAsia="zh-CN"/>
              </w:rPr>
              <w:t>交通扬尘控制</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运土卡车及建筑材料运输车应按规定配置防洒落装备，装载不宜过满，保证运输过程中不散落；并规划好运输车辆的运行路线与时间，尽量避免在繁华区、交通集中区和居民住宅等敏感区行驶；运输车辆及时冲洗，对产生尘量多的物资应加湿或密闭后运输，对液体物资运输采用密闭专用车辆，严禁封装破损时运输；对运输过程中散落在路面上的泥土要及时清扫，以减少运行过程中的扬尘。在场址内及周围运输车辆主要行径路线及进出口洒水压尘，减少地面粉尘随车流及风力扰动而扬起的粉尘量。</w:t>
            </w:r>
          </w:p>
          <w:p>
            <w:pPr>
              <w:adjustRightInd w:val="0"/>
              <w:spacing w:line="360" w:lineRule="auto"/>
              <w:ind w:firstLine="482" w:firstLineChars="200"/>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lang w:eastAsia="zh-CN"/>
              </w:rPr>
              <w:t>二、</w:t>
            </w:r>
            <w:r>
              <w:rPr>
                <w:rFonts w:hint="default" w:ascii="Times New Roman" w:hAnsi="Times New Roman" w:cs="Times New Roman"/>
                <w:b/>
                <w:bCs/>
                <w:color w:val="auto"/>
                <w:sz w:val="24"/>
                <w:highlight w:val="none"/>
              </w:rPr>
              <w:t>水环境影响分析</w:t>
            </w:r>
          </w:p>
          <w:p>
            <w:pPr>
              <w:adjustRightIn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1、水环境影响分析</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施工期污水主要来自暴雨的地表径流、施工污水及施工人员的生活污水。</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1）</w:t>
            </w:r>
            <w:r>
              <w:rPr>
                <w:rFonts w:hint="default" w:ascii="Times New Roman" w:hAnsi="Times New Roman" w:cs="Times New Roman"/>
                <w:color w:val="auto"/>
                <w:sz w:val="24"/>
                <w:highlight w:val="none"/>
                <w:lang w:eastAsia="zh-CN"/>
              </w:rPr>
              <w:t>施工污水包括开挖和钻孔产生的泥浆水、机械设备运转的冷却水和洗涤水、输送系统冲洗污水。主要污染物包括 SS、pH 和油类等；</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2）</w:t>
            </w:r>
            <w:r>
              <w:rPr>
                <w:rFonts w:hint="default" w:ascii="Times New Roman" w:hAnsi="Times New Roman" w:cs="Times New Roman"/>
                <w:color w:val="auto"/>
                <w:sz w:val="24"/>
                <w:highlight w:val="none"/>
                <w:lang w:eastAsia="zh-CN"/>
              </w:rPr>
              <w:t>生活污水包括施工人员的生活污水。主要污染物包括SS、BOD</w:t>
            </w:r>
            <w:r>
              <w:rPr>
                <w:rFonts w:hint="default" w:ascii="Times New Roman" w:hAnsi="Times New Roman" w:cs="Times New Roman"/>
                <w:color w:val="auto"/>
                <w:sz w:val="24"/>
                <w:highlight w:val="none"/>
                <w:vertAlign w:val="subscript"/>
                <w:lang w:eastAsia="zh-CN"/>
              </w:rPr>
              <w:t>5</w:t>
            </w:r>
            <w:r>
              <w:rPr>
                <w:rFonts w:hint="default" w:ascii="Times New Roman" w:hAnsi="Times New Roman" w:cs="Times New Roman"/>
                <w:color w:val="auto"/>
                <w:sz w:val="24"/>
                <w:highlight w:val="none"/>
                <w:lang w:eastAsia="zh-CN"/>
              </w:rPr>
              <w:t>、CODcr和动植物油类、粪大肠菌群、LAS 等；</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3）</w:t>
            </w:r>
            <w:r>
              <w:rPr>
                <w:rFonts w:hint="default" w:ascii="Times New Roman" w:hAnsi="Times New Roman" w:cs="Times New Roman"/>
                <w:color w:val="auto"/>
                <w:sz w:val="24"/>
                <w:highlight w:val="none"/>
                <w:lang w:eastAsia="zh-CN"/>
              </w:rPr>
              <w:t>暴雨地表径流冲刷浮土、建筑砂石、垃圾、弃土等，不但会夹带大量泥沙，而且会携带水泥、油类、化学品等各种污染物；</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施工期间如不注意搞好工地污水的导流和排放，污水一方面会泛滥于工地，影响施工，另一方面可能流到工地外污染环境，造成地面水体的污染。污水挟带的沙土可能会引起排水通道淤积、堵塞，影响排水。</w:t>
            </w:r>
          </w:p>
          <w:p>
            <w:pPr>
              <w:adjustRightIn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2、施工期废水防治措施</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1）</w:t>
            </w:r>
            <w:r>
              <w:rPr>
                <w:rFonts w:hint="default" w:ascii="Times New Roman" w:hAnsi="Times New Roman" w:cs="Times New Roman"/>
                <w:color w:val="auto"/>
                <w:sz w:val="24"/>
                <w:highlight w:val="none"/>
                <w:lang w:eastAsia="zh-CN"/>
              </w:rPr>
              <w:t>施工时产生的泥浆水及冲孔钻孔桩产生的泥浆要与开挖地基产生的多余土方掺合后外运至规定地点处置，不得污染现场及周围环境；</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2）</w:t>
            </w:r>
            <w:r>
              <w:rPr>
                <w:rFonts w:hint="default" w:ascii="Times New Roman" w:hAnsi="Times New Roman" w:cs="Times New Roman"/>
                <w:color w:val="auto"/>
                <w:sz w:val="24"/>
                <w:highlight w:val="none"/>
                <w:lang w:eastAsia="zh-CN"/>
              </w:rPr>
              <w:t>在回填土堆放场、施工泥浆产生点以及混凝土搅拌机及输送系统的冲洗污水应设置临时沉沙池，含泥沙雨水、泥浆水经沉沙池沉淀后回用到施工中去，剩余部分经</w:t>
            </w:r>
            <w:r>
              <w:rPr>
                <w:rFonts w:hint="eastAsia" w:cs="Times New Roman"/>
                <w:color w:val="auto"/>
                <w:sz w:val="24"/>
                <w:highlight w:val="none"/>
                <w:lang w:eastAsia="zh-CN"/>
              </w:rPr>
              <w:t>临时污水处理站处理后回用周边灌溉，不外排</w:t>
            </w:r>
            <w:r>
              <w:rPr>
                <w:rFonts w:hint="default" w:ascii="Times New Roman" w:hAnsi="Times New Roman" w:cs="Times New Roman"/>
                <w:color w:val="auto"/>
                <w:sz w:val="24"/>
                <w:highlight w:val="none"/>
                <w:lang w:eastAsia="zh-CN"/>
              </w:rPr>
              <w:t>；</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3）</w:t>
            </w:r>
            <w:r>
              <w:rPr>
                <w:rFonts w:hint="default" w:ascii="Times New Roman" w:hAnsi="Times New Roman" w:cs="Times New Roman"/>
                <w:color w:val="auto"/>
                <w:sz w:val="24"/>
                <w:highlight w:val="none"/>
                <w:lang w:eastAsia="zh-CN"/>
              </w:rPr>
              <w:t>施工工地的生活污水经</w:t>
            </w:r>
            <w:r>
              <w:rPr>
                <w:rFonts w:hint="eastAsia" w:cs="Times New Roman"/>
                <w:color w:val="auto"/>
                <w:sz w:val="24"/>
                <w:highlight w:val="none"/>
                <w:lang w:eastAsia="zh-CN"/>
              </w:rPr>
              <w:t>临时污水处理站处理后回用周边灌溉，不外排；</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4）</w:t>
            </w:r>
            <w:r>
              <w:rPr>
                <w:rFonts w:hint="default" w:ascii="Times New Roman" w:hAnsi="Times New Roman" w:cs="Times New Roman"/>
                <w:color w:val="auto"/>
                <w:sz w:val="24"/>
                <w:highlight w:val="none"/>
                <w:lang w:eastAsia="zh-CN"/>
              </w:rPr>
              <w:t>施工场地内应设置的防洪沟，保证施工地面污水不流入本项目内部及周围的水体。</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通过上述措施，施工期的污水可得到妥善处理，不会对周围水体环境产生明显影响。</w:t>
            </w:r>
          </w:p>
          <w:p>
            <w:pPr>
              <w:adjustRightInd w:val="0"/>
              <w:spacing w:line="360" w:lineRule="auto"/>
              <w:ind w:firstLine="482" w:firstLineChars="200"/>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lang w:eastAsia="zh-CN"/>
              </w:rPr>
              <w:t>三、</w:t>
            </w:r>
            <w:r>
              <w:rPr>
                <w:rFonts w:hint="default" w:ascii="Times New Roman" w:hAnsi="Times New Roman" w:cs="Times New Roman"/>
                <w:b/>
                <w:bCs/>
                <w:color w:val="auto"/>
                <w:sz w:val="24"/>
                <w:highlight w:val="none"/>
              </w:rPr>
              <w:t>声环境影响分析</w:t>
            </w:r>
          </w:p>
          <w:p>
            <w:pPr>
              <w:adjustRightIn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1、声环境影响分析</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产生建筑施工噪声的机械包括挖掘机、推土机、吊车等。距这些机械 1m 处的声级测值列于下表。</w:t>
            </w:r>
          </w:p>
          <w:p>
            <w:pPr>
              <w:pStyle w:val="117"/>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eastAsia="zh-CN"/>
              </w:rPr>
              <w:t>表</w:t>
            </w:r>
            <w:r>
              <w:rPr>
                <w:rFonts w:hint="default" w:ascii="Times New Roman" w:hAnsi="Times New Roman" w:cs="Times New Roman"/>
                <w:color w:val="auto"/>
                <w:highlight w:val="none"/>
                <w:lang w:val="en-US" w:eastAsia="zh-CN"/>
              </w:rPr>
              <w:t>7-1 各类施工机械 1m处声级值  单位 dB（A）</w:t>
            </w:r>
          </w:p>
          <w:tbl>
            <w:tblPr>
              <w:tblStyle w:val="32"/>
              <w:tblW w:w="93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8"/>
              <w:gridCol w:w="3118"/>
              <w:gridCol w:w="3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3118"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施工阶段</w:t>
                  </w:r>
                </w:p>
              </w:tc>
              <w:tc>
                <w:tcPr>
                  <w:tcW w:w="3118"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机械名称</w:t>
                  </w:r>
                </w:p>
              </w:tc>
              <w:tc>
                <w:tcPr>
                  <w:tcW w:w="3119"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1m处升级测值dB（A）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3118" w:type="dxa"/>
                  <w:vMerge w:val="restart"/>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土石方工程阶段</w:t>
                  </w:r>
                </w:p>
              </w:tc>
              <w:tc>
                <w:tcPr>
                  <w:tcW w:w="3118"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推土机</w:t>
                  </w:r>
                </w:p>
              </w:tc>
              <w:tc>
                <w:tcPr>
                  <w:tcW w:w="3119"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3118" w:type="dxa"/>
                  <w:vMerge w:val="continue"/>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p>
              </w:tc>
              <w:tc>
                <w:tcPr>
                  <w:tcW w:w="3118"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挖掘机</w:t>
                  </w:r>
                </w:p>
              </w:tc>
              <w:tc>
                <w:tcPr>
                  <w:tcW w:w="3119"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118" w:type="dxa"/>
                  <w:vMerge w:val="continue"/>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p>
              </w:tc>
              <w:tc>
                <w:tcPr>
                  <w:tcW w:w="3118"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自卸卡车</w:t>
                  </w:r>
                </w:p>
              </w:tc>
              <w:tc>
                <w:tcPr>
                  <w:tcW w:w="3119"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3118" w:type="dxa"/>
                  <w:vMerge w:val="restart"/>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基础施工阶段</w:t>
                  </w:r>
                </w:p>
              </w:tc>
              <w:tc>
                <w:tcPr>
                  <w:tcW w:w="3118"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液压桩</w:t>
                  </w:r>
                </w:p>
              </w:tc>
              <w:tc>
                <w:tcPr>
                  <w:tcW w:w="3119"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3118" w:type="dxa"/>
                  <w:vMerge w:val="continue"/>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p>
              </w:tc>
              <w:tc>
                <w:tcPr>
                  <w:tcW w:w="3118"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钻孔机</w:t>
                  </w:r>
                </w:p>
              </w:tc>
              <w:tc>
                <w:tcPr>
                  <w:tcW w:w="3119"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3118" w:type="dxa"/>
                  <w:vMerge w:val="restart"/>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结构施工阶段</w:t>
                  </w:r>
                </w:p>
              </w:tc>
              <w:tc>
                <w:tcPr>
                  <w:tcW w:w="3118"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振捣棒</w:t>
                  </w:r>
                </w:p>
              </w:tc>
              <w:tc>
                <w:tcPr>
                  <w:tcW w:w="3119"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3118" w:type="dxa"/>
                  <w:vMerge w:val="continue"/>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p>
              </w:tc>
              <w:tc>
                <w:tcPr>
                  <w:tcW w:w="3118"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吊车、升降机</w:t>
                  </w:r>
                </w:p>
              </w:tc>
              <w:tc>
                <w:tcPr>
                  <w:tcW w:w="3119"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3118" w:type="dxa"/>
                  <w:vMerge w:val="continue"/>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p>
              </w:tc>
              <w:tc>
                <w:tcPr>
                  <w:tcW w:w="3118"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电锯、电刨</w:t>
                  </w:r>
                </w:p>
              </w:tc>
              <w:tc>
                <w:tcPr>
                  <w:tcW w:w="3119"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3118"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装修阶段</w:t>
                  </w:r>
                </w:p>
              </w:tc>
              <w:tc>
                <w:tcPr>
                  <w:tcW w:w="3118"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切割机</w:t>
                  </w:r>
                </w:p>
              </w:tc>
              <w:tc>
                <w:tcPr>
                  <w:tcW w:w="3119"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95</w:t>
                  </w:r>
                </w:p>
              </w:tc>
            </w:tr>
          </w:tbl>
          <w:p>
            <w:pPr>
              <w:adjustRightIn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本项目施工噪声源可近似作为点声源处理，根据点声源噪声衰减模式，可估算其施工期间离噪声源不同距离处的噪声值，预测模式如下：</w:t>
            </w:r>
          </w:p>
          <w:p>
            <w:pPr>
              <w:tabs>
                <w:tab w:val="left" w:pos="480"/>
              </w:tabs>
              <w:adjustRightInd w:val="0"/>
              <w:snapToGrid w:val="0"/>
              <w:spacing w:line="360" w:lineRule="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position w:val="-24"/>
                <w:sz w:val="24"/>
                <w:szCs w:val="24"/>
                <w:highlight w:val="none"/>
              </w:rPr>
              <w:object>
                <v:shape id="_x0000_i1026" o:spt="75" type="#_x0000_t75" style="height:27pt;width:99pt;" o:ole="t" filled="f" o:preferrelative="t" stroked="f" coordsize="21600,21600">
                  <v:path/>
                  <v:fill on="f" focussize="0,0"/>
                  <v:stroke on="f"/>
                  <v:imagedata r:id="rId18" o:title=""/>
                  <o:lock v:ext="edit" aspectratio="t"/>
                  <w10:wrap type="none"/>
                  <w10:anchorlock/>
                </v:shape>
                <o:OLEObject Type="Embed" ProgID="Equation.3" ShapeID="_x0000_i1026" DrawAspect="Content" ObjectID="_1468075726" r:id="rId17">
                  <o:LockedField>false</o:LockedField>
                </o:OLEObject>
              </w:object>
            </w:r>
          </w:p>
          <w:p>
            <w:pPr>
              <w:tabs>
                <w:tab w:val="left" w:pos="480"/>
              </w:tabs>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式中：</w:t>
            </w:r>
            <w:r>
              <w:rPr>
                <w:rFonts w:hint="default" w:ascii="Times New Roman" w:hAnsi="Times New Roman" w:cs="Times New Roman"/>
                <w:i/>
                <w:color w:val="auto"/>
                <w:sz w:val="24"/>
                <w:szCs w:val="24"/>
                <w:highlight w:val="none"/>
              </w:rPr>
              <w:t>L</w:t>
            </w:r>
            <w:r>
              <w:rPr>
                <w:rFonts w:hint="default" w:ascii="Times New Roman" w:hAnsi="Times New Roman" w:cs="Times New Roman"/>
                <w:i/>
                <w:color w:val="auto"/>
                <w:sz w:val="24"/>
                <w:szCs w:val="24"/>
                <w:highlight w:val="none"/>
                <w:vertAlign w:val="subscript"/>
              </w:rPr>
              <w:t>r</w:t>
            </w:r>
            <w:r>
              <w:rPr>
                <w:rFonts w:hint="default" w:ascii="Times New Roman" w:hAnsi="Times New Roman" w:cs="Times New Roman"/>
                <w:color w:val="auto"/>
                <w:sz w:val="24"/>
                <w:szCs w:val="24"/>
                <w:highlight w:val="none"/>
                <w:vertAlign w:val="subscript"/>
              </w:rPr>
              <w:t xml:space="preserve"> </w:t>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t>点声源在预测点产生的声压级，dB；</w:t>
            </w:r>
          </w:p>
          <w:p>
            <w:pPr>
              <w:tabs>
                <w:tab w:val="left" w:pos="480"/>
              </w:tabs>
              <w:snapToGrid w:val="0"/>
              <w:spacing w:line="360" w:lineRule="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i/>
                <w:color w:val="auto"/>
                <w:sz w:val="24"/>
                <w:szCs w:val="24"/>
                <w:highlight w:val="none"/>
              </w:rPr>
              <w:t>L</w:t>
            </w:r>
            <w:r>
              <w:rPr>
                <w:rFonts w:hint="default" w:ascii="Times New Roman" w:hAnsi="Times New Roman" w:cs="Times New Roman"/>
                <w:i/>
                <w:color w:val="auto"/>
                <w:sz w:val="24"/>
                <w:szCs w:val="24"/>
                <w:highlight w:val="none"/>
                <w:vertAlign w:val="subscript"/>
              </w:rPr>
              <w:t>r0</w:t>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t>点声源在参考点产生的声压级，dB；</w:t>
            </w:r>
          </w:p>
          <w:p>
            <w:pPr>
              <w:tabs>
                <w:tab w:val="left" w:pos="480"/>
              </w:tabs>
              <w:snapToGrid w:val="0"/>
              <w:spacing w:line="360" w:lineRule="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i/>
                <w:color w:val="auto"/>
                <w:sz w:val="24"/>
                <w:szCs w:val="24"/>
                <w:highlight w:val="none"/>
              </w:rPr>
              <w:t xml:space="preserve"> r </w:t>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t>预测点距声源的距离，m；</w:t>
            </w:r>
          </w:p>
          <w:p>
            <w:pPr>
              <w:tabs>
                <w:tab w:val="left" w:pos="480"/>
              </w:tabs>
              <w:snapToGrid w:val="0"/>
              <w:spacing w:line="360" w:lineRule="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i/>
                <w:color w:val="auto"/>
                <w:sz w:val="24"/>
                <w:szCs w:val="24"/>
                <w:highlight w:val="none"/>
              </w:rPr>
              <w:t>r</w:t>
            </w:r>
            <w:r>
              <w:rPr>
                <w:rFonts w:hint="default" w:ascii="Times New Roman" w:hAnsi="Times New Roman" w:cs="Times New Roman"/>
                <w:i/>
                <w:color w:val="auto"/>
                <w:sz w:val="24"/>
                <w:szCs w:val="24"/>
                <w:highlight w:val="none"/>
                <w:vertAlign w:val="subscript"/>
              </w:rPr>
              <w:t>0</w:t>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t>参考点距声源的距离，m。</w:t>
            </w:r>
          </w:p>
          <w:p>
            <w:pPr>
              <w:adjustRightIn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lang w:eastAsia="zh-CN"/>
              </w:rPr>
              <w:t>根据上述公式及上表中的噪声源强，可计算出在无屏障的情形下，各施工设备的声级衰减情况，其噪声级如表</w:t>
            </w:r>
            <w:r>
              <w:rPr>
                <w:rFonts w:hint="default" w:ascii="Times New Roman" w:hAnsi="Times New Roman" w:cs="Times New Roman"/>
                <w:color w:val="auto"/>
                <w:sz w:val="24"/>
                <w:highlight w:val="none"/>
                <w:lang w:val="en-US" w:eastAsia="zh-CN"/>
              </w:rPr>
              <w:t>7-2所列。</w:t>
            </w:r>
          </w:p>
          <w:p>
            <w:pPr>
              <w:pStyle w:val="117"/>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eastAsia="zh-CN"/>
              </w:rPr>
              <w:t>表</w:t>
            </w:r>
            <w:r>
              <w:rPr>
                <w:rFonts w:hint="default" w:ascii="Times New Roman" w:hAnsi="Times New Roman" w:cs="Times New Roman"/>
                <w:color w:val="auto"/>
                <w:highlight w:val="none"/>
                <w:lang w:val="en-US" w:eastAsia="zh-CN"/>
              </w:rPr>
              <w:t>7-2 施工机械噪声衰减情况 单位 dB（A）</w:t>
            </w:r>
          </w:p>
          <w:tbl>
            <w:tblPr>
              <w:tblStyle w:val="32"/>
              <w:tblW w:w="93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1"/>
              <w:gridCol w:w="749"/>
              <w:gridCol w:w="850"/>
              <w:gridCol w:w="850"/>
              <w:gridCol w:w="850"/>
              <w:gridCol w:w="850"/>
              <w:gridCol w:w="851"/>
              <w:gridCol w:w="851"/>
              <w:gridCol w:w="851"/>
              <w:gridCol w:w="851"/>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951" w:type="dxa"/>
                  <w:vMerge w:val="restart"/>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机械名称</w:t>
                  </w:r>
                </w:p>
              </w:tc>
              <w:tc>
                <w:tcPr>
                  <w:tcW w:w="749" w:type="dxa"/>
                  <w:vMerge w:val="restart"/>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声级测值</w:t>
                  </w:r>
                </w:p>
              </w:tc>
              <w:tc>
                <w:tcPr>
                  <w:tcW w:w="7655" w:type="dxa"/>
                  <w:gridSpan w:val="9"/>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边界外距离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951" w:type="dxa"/>
                  <w:vMerge w:val="continue"/>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b/>
                      <w:bCs/>
                      <w:color w:val="auto"/>
                      <w:sz w:val="21"/>
                      <w:szCs w:val="21"/>
                      <w:vertAlign w:val="baseline"/>
                      <w:lang w:val="en-US" w:eastAsia="zh-CN"/>
                    </w:rPr>
                  </w:pPr>
                </w:p>
              </w:tc>
              <w:tc>
                <w:tcPr>
                  <w:tcW w:w="749" w:type="dxa"/>
                  <w:vMerge w:val="continue"/>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b/>
                      <w:bCs/>
                      <w:color w:val="auto"/>
                      <w:sz w:val="21"/>
                      <w:szCs w:val="21"/>
                      <w:vertAlign w:val="baseline"/>
                      <w:lang w:val="en-US" w:eastAsia="zh-CN"/>
                    </w:rPr>
                  </w:pP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20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40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60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80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100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150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200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250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9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推土机</w:t>
                  </w:r>
                </w:p>
              </w:tc>
              <w:tc>
                <w:tcPr>
                  <w:tcW w:w="749"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100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74.0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68.0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64.4</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61.9</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60.0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56.5</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54.0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52.0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9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挖掘机</w:t>
                  </w:r>
                </w:p>
              </w:tc>
              <w:tc>
                <w:tcPr>
                  <w:tcW w:w="749"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100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74.0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68.0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64.4</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61.9</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60.0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56.5</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54.0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52.0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9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自卸卡车</w:t>
                  </w:r>
                </w:p>
              </w:tc>
              <w:tc>
                <w:tcPr>
                  <w:tcW w:w="749"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95</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69.0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63.0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59.4</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56.9</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55.0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51.5</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49.0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47.0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45.5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9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液压桩</w:t>
                  </w:r>
                </w:p>
              </w:tc>
              <w:tc>
                <w:tcPr>
                  <w:tcW w:w="749"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100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74.0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68.0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64.4</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61.9</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60.0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56.5</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54.0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52.0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9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钻孔机</w:t>
                  </w:r>
                </w:p>
              </w:tc>
              <w:tc>
                <w:tcPr>
                  <w:tcW w:w="749"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100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74.0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68.0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64.4</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61.9</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60.0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56.5</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54.0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52.0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9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振捣棒</w:t>
                  </w:r>
                </w:p>
              </w:tc>
              <w:tc>
                <w:tcPr>
                  <w:tcW w:w="749"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95</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69.0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63.0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59.4</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56.9</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55.0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51.5</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49.4</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47.0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45.5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9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吊车、升降机</w:t>
                  </w:r>
                </w:p>
              </w:tc>
              <w:tc>
                <w:tcPr>
                  <w:tcW w:w="749"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90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64.0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58.0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54.4</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51.9</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50.0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46.5</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44.0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42.0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40.5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9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电锯、电刨</w:t>
                  </w:r>
                </w:p>
              </w:tc>
              <w:tc>
                <w:tcPr>
                  <w:tcW w:w="749"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110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84.0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78.0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74.4</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71.9</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70.0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66.5</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64.0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62.0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9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切割机</w:t>
                  </w:r>
                </w:p>
              </w:tc>
              <w:tc>
                <w:tcPr>
                  <w:tcW w:w="749"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95</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69.0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63.0</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59.4</w:t>
                  </w:r>
                </w:p>
              </w:tc>
              <w:tc>
                <w:tcPr>
                  <w:tcW w:w="850"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56.9</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55.0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51.5</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49.0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47.0</w:t>
                  </w:r>
                </w:p>
              </w:tc>
              <w:tc>
                <w:tcPr>
                  <w:tcW w:w="851" w:type="dxa"/>
                  <w:vAlign w:val="center"/>
                </w:tcPr>
                <w:p>
                  <w:pPr>
                    <w:pStyle w:val="84"/>
                    <w:keepNext w:val="0"/>
                    <w:keepLines w:val="0"/>
                    <w:pageBreakBefore w:val="0"/>
                    <w:widowControl w:val="0"/>
                    <w:kinsoku/>
                    <w:wordWrap/>
                    <w:overflowPunct/>
                    <w:topLinePunct w:val="0"/>
                    <w:autoSpaceDE/>
                    <w:autoSpaceDN/>
                    <w:bidi w:val="0"/>
                    <w:adjustRightInd w:val="0"/>
                    <w:snapToGrid/>
                    <w:spacing w:line="240" w:lineRule="auto"/>
                    <w:ind w:left="0" w:right="0" w:firstLine="0"/>
                    <w:jc w:val="center"/>
                    <w:textAlignment w:val="baseline"/>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45.5</w:t>
                  </w:r>
                </w:p>
              </w:tc>
            </w:tr>
          </w:tbl>
          <w:p>
            <w:pPr>
              <w:adjustRightIn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从上表可以看出，对于一般的施工设备，其瞬时噪声在20m范围内超过70dB（A），80m范围内超出60dB（A），噪声级较高的施工（如钻孔等），其瞬时噪声在100m范围以外可以满足《建筑施工厂界噪声限值》（GB12523-2011）昼间70dB（A）的标准。一般而言，施工机械是在露天的环境中进行施工，通常的情况下无法进行有效的密闭隔声处理，施工期间作业噪声对周围的影响不可避免。与本项目施工集中区域最近的敏感点为相邻的商住楼，属新安村。本项目施工机械噪声在对新安村商铺及周边居民会产生一定影响。</w:t>
            </w:r>
          </w:p>
          <w:p>
            <w:pPr>
              <w:adjustRightIn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因此，为降低本项目施工过程产生的噪声对周边噪声敏感点的影响，建议建设单位根据周边敏感点的作息习惯，合理安排项目的施工作业时间。</w:t>
            </w:r>
          </w:p>
          <w:p>
            <w:pPr>
              <w:adjustRightIn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2、噪声影响防治措施</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施工期应采取如下降噪措施：</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1）</w:t>
            </w:r>
            <w:r>
              <w:rPr>
                <w:rFonts w:hint="default" w:ascii="Times New Roman" w:hAnsi="Times New Roman" w:cs="Times New Roman"/>
                <w:color w:val="auto"/>
                <w:sz w:val="24"/>
                <w:highlight w:val="none"/>
                <w:lang w:eastAsia="zh-CN"/>
              </w:rPr>
              <w:t>必须在场址四周施工区面向敏感点的一面设立移动式隔声屏障，降低噪声的向外传递。</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2）</w:t>
            </w:r>
            <w:r>
              <w:rPr>
                <w:rFonts w:hint="default" w:ascii="Times New Roman" w:hAnsi="Times New Roman" w:cs="Times New Roman"/>
                <w:color w:val="auto"/>
                <w:sz w:val="24"/>
                <w:highlight w:val="none"/>
                <w:lang w:eastAsia="zh-CN"/>
              </w:rPr>
              <w:t>合理安排施工时间，制订施工计划时，应尽可能避免大量的高噪声设备同时施工。除此之外，高噪声施工时间尽量安排在白天，由于夜间噪声超标严重，影响很大，故应限制夜间（晚22点到次日早6点之间）施工。</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3）</w:t>
            </w:r>
            <w:r>
              <w:rPr>
                <w:rFonts w:hint="default" w:ascii="Times New Roman" w:hAnsi="Times New Roman" w:cs="Times New Roman"/>
                <w:color w:val="auto"/>
                <w:sz w:val="24"/>
                <w:highlight w:val="none"/>
                <w:lang w:eastAsia="zh-CN"/>
              </w:rPr>
              <w:t>合理布局施工现场，避免在同一地点安排大量动力机械设备，以免局部声级过高。</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4）</w:t>
            </w:r>
            <w:r>
              <w:rPr>
                <w:rFonts w:hint="default" w:ascii="Times New Roman" w:hAnsi="Times New Roman" w:cs="Times New Roman"/>
                <w:color w:val="auto"/>
                <w:sz w:val="24"/>
                <w:highlight w:val="none"/>
                <w:lang w:eastAsia="zh-CN"/>
              </w:rPr>
              <w:t>降低设备声级，设备选型上尽量采用低噪声设备，如以液压机械代替燃油机械，振捣器采用高频型等。</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5）</w:t>
            </w:r>
            <w:r>
              <w:rPr>
                <w:rFonts w:hint="default" w:ascii="Times New Roman" w:hAnsi="Times New Roman" w:cs="Times New Roman"/>
                <w:color w:val="auto"/>
                <w:sz w:val="24"/>
                <w:highlight w:val="none"/>
                <w:lang w:eastAsia="zh-CN"/>
              </w:rPr>
              <w:t>降低人为噪声，按规定操作机械设备，模板、支架拆卸吊装过程中，遵守作业规定，减少碰撞噪音。尽量少用哨子等指挥作业，而代以现代化设备，如用无线对讲机等。</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6）</w:t>
            </w:r>
            <w:r>
              <w:rPr>
                <w:rFonts w:hint="default" w:ascii="Times New Roman" w:hAnsi="Times New Roman" w:cs="Times New Roman"/>
                <w:color w:val="auto"/>
                <w:sz w:val="24"/>
                <w:highlight w:val="none"/>
                <w:lang w:eastAsia="zh-CN"/>
              </w:rPr>
              <w:t>设置临时声屏障，对位置相对固定的机械设备，尽量在工棚内操作；不能进入棚内的，可采取围档之类的单面声屏障。</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7）</w:t>
            </w:r>
            <w:r>
              <w:rPr>
                <w:rFonts w:hint="default" w:ascii="Times New Roman" w:hAnsi="Times New Roman" w:cs="Times New Roman"/>
                <w:color w:val="auto"/>
                <w:sz w:val="24"/>
                <w:highlight w:val="none"/>
                <w:lang w:eastAsia="zh-CN"/>
              </w:rPr>
              <w:t>加强运输车辆的管理，按规定组织车辆运输，合理规定运输通道和设计运输路线，尽量避免在居民区出入，一旦经过居民区时，车辆应限速行驶，减少鸣笛。</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8）</w:t>
            </w:r>
            <w:r>
              <w:rPr>
                <w:rFonts w:hint="default" w:ascii="Times New Roman" w:hAnsi="Times New Roman" w:cs="Times New Roman"/>
                <w:color w:val="auto"/>
                <w:sz w:val="24"/>
                <w:highlight w:val="none"/>
                <w:lang w:eastAsia="zh-CN"/>
              </w:rPr>
              <w:t>与周围单位、居民建立良好关系，对受施工干扰的单位和居民在作业前做好安民告示，并给予适当的补偿，取得社会的理解和支持。同时尽量缩短夜间的施工时段，中午禁止大噪声施工，以确保居民正常的休息。</w:t>
            </w:r>
          </w:p>
          <w:p>
            <w:pPr>
              <w:adjustRightInd w:val="0"/>
              <w:spacing w:line="360" w:lineRule="auto"/>
              <w:ind w:firstLine="482" w:firstLineChars="200"/>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lang w:eastAsia="zh-CN"/>
              </w:rPr>
              <w:t>四、</w:t>
            </w:r>
            <w:r>
              <w:rPr>
                <w:rFonts w:hint="default" w:ascii="Times New Roman" w:hAnsi="Times New Roman" w:cs="Times New Roman"/>
                <w:b/>
                <w:bCs/>
                <w:color w:val="auto"/>
                <w:sz w:val="24"/>
                <w:highlight w:val="none"/>
              </w:rPr>
              <w:t>固体废物影响分析</w:t>
            </w:r>
          </w:p>
          <w:p>
            <w:pPr>
              <w:adjustRightIn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1、固体废物影响分析</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施工期间建筑工地会产生余泥、渣土、地表开挖的余泥、施工剩余废物料、施工人员生活垃圾等。如不妥善处理这些固体废弃物，则会污染环境，不利影响包括：</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1）</w:t>
            </w:r>
            <w:r>
              <w:rPr>
                <w:rFonts w:hint="default" w:ascii="Times New Roman" w:hAnsi="Times New Roman" w:cs="Times New Roman"/>
                <w:color w:val="auto"/>
                <w:sz w:val="24"/>
                <w:highlight w:val="none"/>
                <w:lang w:eastAsia="zh-CN"/>
              </w:rPr>
              <w:t>在运输过程中，车辆如不注意清洁运输，沿途撒漏泥土，污染街道和公路，将会影响市容与交通，给城市环境卫生带来不利影响；</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2）</w:t>
            </w:r>
            <w:r>
              <w:rPr>
                <w:rFonts w:hint="default" w:ascii="Times New Roman" w:hAnsi="Times New Roman" w:cs="Times New Roman"/>
                <w:color w:val="auto"/>
                <w:sz w:val="24"/>
                <w:highlight w:val="none"/>
                <w:lang w:eastAsia="zh-CN"/>
              </w:rPr>
              <w:t>在堆放过程中，开挖弃土如果无组织堆放、倒弃，如遇暴雨冲刷，则会造成水土流失。项目所在处于多雨地区，暴雨频率高，强度大，极易引起水土流失。如泥浆水直接排入河涌，增加河水的含沙量，造成河床沉积。同时泥浆水还夹带施工场地上的水泥、油污等污染物进入水体，造成水体污染。</w:t>
            </w:r>
          </w:p>
          <w:p>
            <w:pPr>
              <w:adjustRightIn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2、固体废物影响防治措施</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为减少施工期固体废物在堆放和运输过程中对环境的不利影响，建议采取如下措施：</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1）</w:t>
            </w:r>
            <w:r>
              <w:rPr>
                <w:rFonts w:hint="default" w:ascii="Times New Roman" w:hAnsi="Times New Roman" w:cs="Times New Roman"/>
                <w:color w:val="auto"/>
                <w:sz w:val="24"/>
                <w:highlight w:val="none"/>
                <w:lang w:eastAsia="zh-CN"/>
              </w:rPr>
              <w:t>施工单位必须严格执行地方余泥渣土运输管理办法的相关规定，做好建筑余泥渣土排放管理工作，本评价建议建筑余泥渣土交由揭阳市绿源和联环保有限公司清运；</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2）</w:t>
            </w:r>
            <w:r>
              <w:rPr>
                <w:rFonts w:hint="default" w:ascii="Times New Roman" w:hAnsi="Times New Roman" w:cs="Times New Roman"/>
                <w:color w:val="auto"/>
                <w:sz w:val="24"/>
                <w:highlight w:val="none"/>
                <w:lang w:eastAsia="zh-CN"/>
              </w:rPr>
              <w:t>施工期车辆运输散体物料和废弃物时，必须密闭、包扎、覆盖，不得沿途漏撒；运载土方的车辆必须在规定的时间内，按指定路段行驶；</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3）</w:t>
            </w:r>
            <w:r>
              <w:rPr>
                <w:rFonts w:hint="default" w:ascii="Times New Roman" w:hAnsi="Times New Roman" w:cs="Times New Roman"/>
                <w:color w:val="auto"/>
                <w:sz w:val="24"/>
                <w:highlight w:val="none"/>
                <w:lang w:eastAsia="zh-CN"/>
              </w:rPr>
              <w:t>施工期产生的垃圾应运送至城管、环卫、环保等部门规定的地点合理处置；</w:t>
            </w:r>
          </w:p>
          <w:p>
            <w:pPr>
              <w:pStyle w:val="116"/>
              <w:ind w:firstLine="48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4）</w:t>
            </w:r>
            <w:r>
              <w:rPr>
                <w:rFonts w:hint="default" w:ascii="Times New Roman" w:hAnsi="Times New Roman" w:cs="Times New Roman"/>
                <w:color w:val="auto"/>
                <w:sz w:val="24"/>
                <w:highlight w:val="none"/>
              </w:rPr>
              <w:t>施工人员生活垃圾收集后由环卫部门送到卫生填埋场进行填埋处置</w:t>
            </w:r>
            <w:r>
              <w:rPr>
                <w:rFonts w:hint="default" w:ascii="Times New Roman" w:hAnsi="Times New Roman" w:cs="Times New Roman"/>
                <w:color w:val="auto"/>
                <w:sz w:val="24"/>
                <w:highlight w:val="none"/>
                <w:lang w:eastAsia="zh-CN"/>
              </w:rPr>
              <w:t>。</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eastAsia="zh-CN"/>
              </w:rPr>
              <w:t>通过上述措施，施工期的固体废物可得到妥善处理，不会对周围环境产生不良影响。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952" w:hRule="atLeast"/>
        </w:trPr>
        <w:tc>
          <w:tcPr>
            <w:tcW w:w="9571" w:type="dxa"/>
            <w:tcBorders>
              <w:bottom w:val="single" w:color="auto" w:sz="4" w:space="0"/>
            </w:tcBorders>
          </w:tcPr>
          <w:p>
            <w:pPr>
              <w:widowControl/>
              <w:tabs>
                <w:tab w:val="left" w:pos="945"/>
              </w:tabs>
              <w:autoSpaceDE w:val="0"/>
              <w:autoSpaceDN w:val="0"/>
              <w:spacing w:line="360" w:lineRule="auto"/>
              <w:jc w:val="left"/>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营运期环境影响分析：</w:t>
            </w:r>
          </w:p>
          <w:p>
            <w:pPr>
              <w:spacing w:line="360" w:lineRule="auto"/>
              <w:ind w:firstLine="482" w:firstLineChars="200"/>
              <w:rPr>
                <w:rFonts w:hint="default" w:ascii="Times New Roman" w:hAnsi="Times New Roman" w:cs="Times New Roman"/>
                <w:b/>
                <w:bCs/>
                <w:color w:val="auto"/>
                <w:sz w:val="24"/>
                <w:highlight w:val="none"/>
              </w:rPr>
            </w:pPr>
            <w:bookmarkStart w:id="14" w:name="_Toc343665622"/>
            <w:bookmarkStart w:id="15" w:name="_Toc319526752"/>
            <w:bookmarkStart w:id="16" w:name="_Toc343664438"/>
            <w:r>
              <w:rPr>
                <w:rFonts w:hint="default" w:ascii="Times New Roman" w:hAnsi="Times New Roman" w:cs="Times New Roman"/>
                <w:b/>
                <w:bCs/>
                <w:color w:val="auto"/>
                <w:sz w:val="24"/>
                <w:highlight w:val="none"/>
              </w:rPr>
              <w:t>一、</w:t>
            </w:r>
            <w:r>
              <w:rPr>
                <w:rFonts w:hint="default" w:ascii="Times New Roman" w:hAnsi="Times New Roman" w:cs="Times New Roman"/>
                <w:b/>
                <w:bCs/>
                <w:color w:val="auto"/>
                <w:sz w:val="24"/>
                <w:highlight w:val="none"/>
                <w:lang w:eastAsia="zh-CN"/>
              </w:rPr>
              <w:t>大气环境</w:t>
            </w:r>
            <w:r>
              <w:rPr>
                <w:rFonts w:hint="default" w:ascii="Times New Roman" w:hAnsi="Times New Roman" w:cs="Times New Roman"/>
                <w:b/>
                <w:bCs/>
                <w:color w:val="auto"/>
                <w:sz w:val="24"/>
                <w:highlight w:val="none"/>
              </w:rPr>
              <w:t>影响分析</w:t>
            </w:r>
            <w:bookmarkEnd w:id="14"/>
            <w:bookmarkEnd w:id="15"/>
            <w:bookmarkEnd w:id="16"/>
          </w:p>
          <w:p>
            <w:pPr>
              <w:pStyle w:val="116"/>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本项目运营期间大气污染主要为食堂油烟、备用发电机尾气、污水处理站臭气、</w:t>
            </w:r>
            <w:r>
              <w:rPr>
                <w:rFonts w:hint="default" w:ascii="Times New Roman" w:hAnsi="Times New Roman" w:cs="Times New Roman"/>
                <w:bCs/>
                <w:color w:val="auto"/>
                <w:sz w:val="24"/>
                <w:highlight w:val="none"/>
              </w:rPr>
              <w:t>垃圾收集房臭气</w:t>
            </w:r>
            <w:r>
              <w:rPr>
                <w:rFonts w:hint="default" w:ascii="Times New Roman" w:hAnsi="Times New Roman" w:cs="Times New Roman"/>
                <w:color w:val="auto"/>
                <w:highlight w:val="none"/>
              </w:rPr>
              <w:t>。</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本项目环境空气影响评价等级主要考虑食堂油烟、备用发电机尾气、污水处理站及垃圾收集房恶臭。按《环境影响评价技术导则  大气环境》（HJ2.2-20</w:t>
            </w:r>
            <w:r>
              <w:rPr>
                <w:rFonts w:hint="default" w:ascii="Times New Roman" w:hAnsi="Times New Roman" w:cs="Times New Roman"/>
                <w:color w:val="auto"/>
                <w:sz w:val="24"/>
                <w:highlight w:val="none"/>
                <w:lang w:val="en-US" w:eastAsia="zh-CN"/>
              </w:rPr>
              <w:t>1</w:t>
            </w:r>
            <w:r>
              <w:rPr>
                <w:rFonts w:hint="default" w:ascii="Times New Roman" w:hAnsi="Times New Roman" w:cs="Times New Roman"/>
                <w:color w:val="auto"/>
                <w:sz w:val="24"/>
                <w:highlight w:val="none"/>
                <w:lang w:eastAsia="zh-CN"/>
              </w:rPr>
              <w:t>8）和环境保护部环境工程评估中心在环境质量模拟重点实验室网站发布《修订版大气导则条款说明与实施问答》，最大地面浓度占标率的公式仅适合于连续排放的污染源，备用发电机燃油废气属间歇排放，且本项目的其他大气污染物排放量不大。因此，大气环境影响评价工作等级可定为三级。</w:t>
            </w:r>
          </w:p>
          <w:p>
            <w:pPr>
              <w:pStyle w:val="116"/>
              <w:ind w:firstLine="48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1、食堂油烟</w:t>
            </w:r>
          </w:p>
          <w:p>
            <w:pPr>
              <w:pStyle w:val="116"/>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医院配套设置的食堂，采用煤气作为燃料，本项目食堂厨房设有炉头1台</w:t>
            </w:r>
            <w:r>
              <w:rPr>
                <w:rFonts w:hint="default" w:ascii="Times New Roman" w:hAnsi="Times New Roman" w:cs="Times New Roman"/>
                <w:color w:val="auto"/>
                <w:highlight w:val="none"/>
              </w:rPr>
              <w:t>，食堂废气主要是烹制过程中产生的油烟废气，</w:t>
            </w:r>
            <w:r>
              <w:rPr>
                <w:rFonts w:hint="default" w:ascii="Times New Roman" w:hAnsi="Times New Roman" w:cs="Times New Roman"/>
                <w:color w:val="auto"/>
                <w:highlight w:val="none"/>
                <w:lang w:eastAsia="zh-CN"/>
              </w:rPr>
              <w:t>项目提供</w:t>
            </w:r>
            <w:r>
              <w:rPr>
                <w:rFonts w:hint="default" w:ascii="Times New Roman" w:hAnsi="Times New Roman" w:cs="Times New Roman"/>
                <w:color w:val="auto"/>
                <w:sz w:val="24"/>
                <w:highlight w:val="none"/>
              </w:rPr>
              <w:t>一日三餐，每餐的就餐人数约为</w:t>
            </w:r>
            <w:r>
              <w:rPr>
                <w:rFonts w:hint="eastAsia" w:ascii="Times New Roman" w:hAnsi="Times New Roman" w:cs="Times New Roman"/>
                <w:color w:val="auto"/>
                <w:sz w:val="24"/>
                <w:highlight w:val="none"/>
                <w:lang w:val="en-US" w:eastAsia="zh-CN"/>
              </w:rPr>
              <w:t>50</w:t>
            </w:r>
            <w:r>
              <w:rPr>
                <w:rFonts w:hint="default" w:ascii="Times New Roman" w:hAnsi="Times New Roman" w:cs="Times New Roman"/>
                <w:color w:val="auto"/>
                <w:sz w:val="24"/>
                <w:highlight w:val="none"/>
              </w:rPr>
              <w:t>人，据统计，人均耗油系数以30g/d计，油的平均挥发量为总耗油量的2.83%。项目年工作365d，则耗油量为</w:t>
            </w:r>
            <w:r>
              <w:rPr>
                <w:rFonts w:hint="eastAsia" w:ascii="Times New Roman" w:hAnsi="Times New Roman" w:cs="Times New Roman"/>
                <w:color w:val="auto"/>
                <w:sz w:val="24"/>
                <w:highlight w:val="none"/>
                <w:lang w:val="en-US" w:eastAsia="zh-CN"/>
              </w:rPr>
              <w:t>1.5</w:t>
            </w:r>
            <w:r>
              <w:rPr>
                <w:rFonts w:hint="default" w:ascii="Times New Roman" w:hAnsi="Times New Roman" w:cs="Times New Roman"/>
                <w:color w:val="auto"/>
                <w:sz w:val="24"/>
                <w:highlight w:val="none"/>
              </w:rPr>
              <w:t>kg/d（</w:t>
            </w:r>
            <w:r>
              <w:rPr>
                <w:rFonts w:hint="eastAsia" w:ascii="Times New Roman" w:hAnsi="Times New Roman" w:cs="Times New Roman"/>
                <w:color w:val="auto"/>
                <w:sz w:val="24"/>
                <w:highlight w:val="none"/>
                <w:lang w:val="en-US" w:eastAsia="zh-CN"/>
              </w:rPr>
              <w:t>547.5</w:t>
            </w:r>
            <w:r>
              <w:rPr>
                <w:rFonts w:hint="default" w:ascii="Times New Roman" w:hAnsi="Times New Roman" w:cs="Times New Roman"/>
                <w:color w:val="auto"/>
                <w:sz w:val="24"/>
                <w:highlight w:val="none"/>
              </w:rPr>
              <w:t>kg/a），油烟产生量为0.0</w:t>
            </w:r>
            <w:r>
              <w:rPr>
                <w:rFonts w:hint="default" w:ascii="Times New Roman" w:hAnsi="Times New Roman" w:cs="Times New Roman"/>
                <w:color w:val="auto"/>
                <w:sz w:val="24"/>
                <w:highlight w:val="none"/>
                <w:lang w:val="en-US" w:eastAsia="zh-CN"/>
              </w:rPr>
              <w:t>4</w:t>
            </w:r>
            <w:r>
              <w:rPr>
                <w:rFonts w:hint="eastAsia" w:ascii="Times New Roman" w:hAnsi="Times New Roman" w:cs="Times New Roman"/>
                <w:color w:val="auto"/>
                <w:sz w:val="24"/>
                <w:highlight w:val="none"/>
                <w:lang w:val="en-US" w:eastAsia="zh-CN"/>
              </w:rPr>
              <w:t>2</w:t>
            </w:r>
            <w:r>
              <w:rPr>
                <w:rFonts w:hint="default" w:ascii="Times New Roman" w:hAnsi="Times New Roman" w:cs="Times New Roman"/>
                <w:color w:val="auto"/>
                <w:sz w:val="24"/>
                <w:highlight w:val="none"/>
              </w:rPr>
              <w:t>kg/d（</w:t>
            </w:r>
            <w:r>
              <w:rPr>
                <w:rFonts w:hint="eastAsia" w:ascii="Times New Roman" w:hAnsi="Times New Roman" w:cs="Times New Roman"/>
                <w:color w:val="auto"/>
                <w:sz w:val="24"/>
                <w:highlight w:val="none"/>
                <w:lang w:val="en-US" w:eastAsia="zh-CN"/>
              </w:rPr>
              <w:t>15.49</w:t>
            </w:r>
            <w:r>
              <w:rPr>
                <w:rFonts w:hint="default" w:ascii="Times New Roman" w:hAnsi="Times New Roman" w:cs="Times New Roman"/>
                <w:color w:val="auto"/>
                <w:sz w:val="24"/>
                <w:highlight w:val="none"/>
              </w:rPr>
              <w:t>kg/a）。炉头配套油烟净化装置，排风量为</w:t>
            </w:r>
            <w:r>
              <w:rPr>
                <w:rFonts w:hint="default" w:ascii="Times New Roman" w:hAnsi="Times New Roman" w:cs="Times New Roman"/>
                <w:color w:val="auto"/>
                <w:sz w:val="24"/>
                <w:highlight w:val="none"/>
                <w:lang w:val="en-US" w:eastAsia="zh-CN"/>
              </w:rPr>
              <w:t>2</w:t>
            </w:r>
            <w:r>
              <w:rPr>
                <w:rFonts w:hint="default" w:ascii="Times New Roman" w:hAnsi="Times New Roman" w:cs="Times New Roman"/>
                <w:color w:val="auto"/>
                <w:sz w:val="24"/>
                <w:highlight w:val="none"/>
              </w:rPr>
              <w:t>000m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/h，风机每天平均使用</w:t>
            </w:r>
            <w:r>
              <w:rPr>
                <w:rFonts w:hint="default" w:ascii="Times New Roman" w:hAnsi="Times New Roman" w:cs="Times New Roman"/>
                <w:color w:val="auto"/>
                <w:sz w:val="24"/>
                <w:highlight w:val="none"/>
                <w:lang w:val="en-US" w:eastAsia="zh-CN"/>
              </w:rPr>
              <w:t>5</w:t>
            </w:r>
            <w:r>
              <w:rPr>
                <w:rFonts w:hint="default" w:ascii="Times New Roman" w:hAnsi="Times New Roman" w:cs="Times New Roman"/>
                <w:color w:val="auto"/>
                <w:sz w:val="24"/>
                <w:highlight w:val="none"/>
              </w:rPr>
              <w:t>h，则项目油总烟废气量为</w:t>
            </w:r>
            <w:r>
              <w:rPr>
                <w:rFonts w:hint="default" w:ascii="Times New Roman" w:hAnsi="Times New Roman" w:cs="Times New Roman"/>
                <w:color w:val="auto"/>
                <w:sz w:val="24"/>
                <w:highlight w:val="none"/>
                <w:lang w:val="en-US" w:eastAsia="zh-CN"/>
              </w:rPr>
              <w:t>10</w:t>
            </w:r>
            <w:r>
              <w:rPr>
                <w:rFonts w:hint="default" w:ascii="Times New Roman" w:hAnsi="Times New Roman" w:cs="Times New Roman"/>
                <w:color w:val="auto"/>
                <w:sz w:val="24"/>
                <w:highlight w:val="none"/>
              </w:rPr>
              <w:t>000m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/d（</w:t>
            </w:r>
            <w:r>
              <w:rPr>
                <w:rFonts w:hint="default" w:ascii="Times New Roman" w:hAnsi="Times New Roman" w:cs="Times New Roman"/>
                <w:color w:val="auto"/>
                <w:sz w:val="24"/>
                <w:highlight w:val="none"/>
                <w:lang w:val="en-US" w:eastAsia="zh-CN"/>
              </w:rPr>
              <w:t>365</w:t>
            </w:r>
            <w:r>
              <w:rPr>
                <w:rFonts w:hint="default" w:ascii="Times New Roman" w:hAnsi="Times New Roman" w:cs="Times New Roman"/>
                <w:color w:val="auto"/>
                <w:sz w:val="24"/>
                <w:highlight w:val="none"/>
              </w:rPr>
              <w:t>万m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/a）。项目油烟产生浓度为</w:t>
            </w:r>
            <w:r>
              <w:rPr>
                <w:rFonts w:hint="default" w:ascii="Times New Roman" w:hAnsi="Times New Roman" w:cs="Times New Roman"/>
                <w:color w:val="auto"/>
                <w:sz w:val="24"/>
                <w:highlight w:val="none"/>
                <w:lang w:val="en-US" w:eastAsia="zh-CN"/>
              </w:rPr>
              <w:t>4.</w:t>
            </w:r>
            <w:r>
              <w:rPr>
                <w:rFonts w:hint="eastAsia" w:ascii="Times New Roman" w:hAnsi="Times New Roman" w:cs="Times New Roman"/>
                <w:color w:val="auto"/>
                <w:sz w:val="24"/>
                <w:highlight w:val="none"/>
                <w:lang w:val="en-US" w:eastAsia="zh-CN"/>
              </w:rPr>
              <w:t>24</w:t>
            </w:r>
            <w:r>
              <w:rPr>
                <w:rFonts w:hint="default" w:ascii="Times New Roman" w:hAnsi="Times New Roman" w:cs="Times New Roman"/>
                <w:color w:val="auto"/>
                <w:sz w:val="24"/>
                <w:highlight w:val="none"/>
              </w:rPr>
              <w:t>mg/m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。项目产生的油烟经过</w:t>
            </w:r>
            <w:r>
              <w:rPr>
                <w:rFonts w:hint="default" w:ascii="Times New Roman" w:hAnsi="Times New Roman" w:cs="Times New Roman"/>
                <w:color w:val="auto"/>
                <w:sz w:val="24"/>
                <w:highlight w:val="none"/>
                <w:lang w:eastAsia="zh-CN"/>
              </w:rPr>
              <w:t>高效</w:t>
            </w:r>
            <w:r>
              <w:rPr>
                <w:rFonts w:hint="default" w:ascii="Times New Roman" w:hAnsi="Times New Roman" w:cs="Times New Roman"/>
                <w:color w:val="auto"/>
                <w:sz w:val="24"/>
                <w:highlight w:val="none"/>
              </w:rPr>
              <w:t>油烟净化装置处理后排放，油烟净化装置处理效率为60%，油烟排放浓度为</w:t>
            </w:r>
            <w:r>
              <w:rPr>
                <w:rFonts w:hint="eastAsia" w:ascii="Times New Roman" w:hAnsi="Times New Roman" w:cs="Times New Roman"/>
                <w:color w:val="auto"/>
                <w:sz w:val="24"/>
                <w:highlight w:val="none"/>
                <w:lang w:val="en-US" w:eastAsia="zh-CN"/>
              </w:rPr>
              <w:t>1.69</w:t>
            </w:r>
            <w:r>
              <w:rPr>
                <w:rFonts w:hint="default" w:ascii="Times New Roman" w:hAnsi="Times New Roman" w:cs="Times New Roman"/>
                <w:color w:val="auto"/>
                <w:sz w:val="24"/>
                <w:highlight w:val="none"/>
              </w:rPr>
              <w:t>mg/m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，处理后油烟排放量为0.0</w:t>
            </w:r>
            <w:r>
              <w:rPr>
                <w:rFonts w:hint="default" w:ascii="Times New Roman" w:hAnsi="Times New Roman" w:cs="Times New Roman"/>
                <w:color w:val="auto"/>
                <w:sz w:val="24"/>
                <w:highlight w:val="none"/>
                <w:lang w:val="en-US" w:eastAsia="zh-CN"/>
              </w:rPr>
              <w:t>1</w:t>
            </w:r>
            <w:r>
              <w:rPr>
                <w:rFonts w:hint="eastAsia" w:ascii="Times New Roman" w:hAnsi="Times New Roman" w:cs="Times New Roman"/>
                <w:color w:val="auto"/>
                <w:sz w:val="24"/>
                <w:highlight w:val="none"/>
                <w:lang w:val="en-US" w:eastAsia="zh-CN"/>
              </w:rPr>
              <w:t>7</w:t>
            </w:r>
            <w:r>
              <w:rPr>
                <w:rFonts w:hint="default" w:ascii="Times New Roman" w:hAnsi="Times New Roman" w:cs="Times New Roman"/>
                <w:color w:val="auto"/>
                <w:sz w:val="24"/>
                <w:highlight w:val="none"/>
              </w:rPr>
              <w:t>kg/d（</w:t>
            </w:r>
            <w:r>
              <w:rPr>
                <w:rFonts w:hint="eastAsia" w:ascii="Times New Roman" w:hAnsi="Times New Roman" w:cs="Times New Roman"/>
                <w:color w:val="auto"/>
                <w:sz w:val="24"/>
                <w:highlight w:val="none"/>
                <w:lang w:val="en-US" w:eastAsia="zh-CN"/>
              </w:rPr>
              <w:t>6.19</w:t>
            </w:r>
            <w:r>
              <w:rPr>
                <w:rFonts w:hint="default" w:ascii="Times New Roman" w:hAnsi="Times New Roman" w:cs="Times New Roman"/>
                <w:color w:val="auto"/>
                <w:sz w:val="24"/>
                <w:highlight w:val="none"/>
              </w:rPr>
              <w:t>kg/a）。油烟的排放浓度能够达到《饮食业油烟排放标准》（GB18483-2001）中标准要求，实现达标排放。</w:t>
            </w:r>
          </w:p>
          <w:p>
            <w:pPr>
              <w:pStyle w:val="84"/>
              <w:spacing w:line="360" w:lineRule="auto"/>
              <w:ind w:firstLine="48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2、备用发电机尾气</w:t>
            </w:r>
          </w:p>
          <w:p>
            <w:pPr>
              <w:pStyle w:val="116"/>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设1台备用发电机，功率均为200KW。根据《车用柴油（V）》（GB19147-2013）备用柴油发电机使用的柴油为含硫率低于0.005%的0#柴油，根据建设单位提供的资料可知，备用发电机仅在电力系统日常保养时使用或是当地停电（一年不超过一次），平均使用时间预计为</w:t>
            </w:r>
            <w:r>
              <w:rPr>
                <w:rFonts w:hint="default" w:ascii="Times New Roman" w:hAnsi="Times New Roman" w:cs="Times New Roman"/>
                <w:color w:val="auto"/>
                <w:highlight w:val="none"/>
                <w:lang w:val="en-US" w:eastAsia="zh-CN"/>
              </w:rPr>
              <w:t>50</w:t>
            </w:r>
            <w:r>
              <w:rPr>
                <w:rFonts w:hint="default" w:ascii="Times New Roman" w:hAnsi="Times New Roman" w:cs="Times New Roman"/>
                <w:color w:val="auto"/>
                <w:highlight w:val="none"/>
              </w:rPr>
              <w:t>h/a，因此，项目备用发电机的耗油量为</w:t>
            </w:r>
            <w:r>
              <w:rPr>
                <w:rFonts w:hint="default" w:ascii="Times New Roman" w:hAnsi="Times New Roman" w:cs="Times New Roman"/>
                <w:color w:val="auto"/>
                <w:highlight w:val="none"/>
                <w:lang w:val="en-US" w:eastAsia="zh-CN"/>
              </w:rPr>
              <w:t>0.2</w:t>
            </w:r>
            <w:r>
              <w:rPr>
                <w:rFonts w:hint="default" w:ascii="Times New Roman" w:hAnsi="Times New Roman" w:cs="Times New Roman"/>
                <w:color w:val="auto"/>
                <w:highlight w:val="none"/>
              </w:rPr>
              <w:t>t/a。</w:t>
            </w:r>
          </w:p>
          <w:p>
            <w:pPr>
              <w:pStyle w:val="116"/>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根据《大气污染工程师手册》，当空气过剩系数为1时，1kg柴油产生的烟气量约为11Nm</w:t>
            </w:r>
            <w:r>
              <w:rPr>
                <w:rFonts w:hint="default" w:ascii="Times New Roman" w:hAnsi="Times New Roman" w:cs="Times New Roman"/>
                <w:color w:val="auto"/>
                <w:highlight w:val="none"/>
                <w:vertAlign w:val="superscript"/>
                <w:lang w:val="en-US" w:eastAsia="zh-CN"/>
              </w:rPr>
              <w:t>3</w:t>
            </w:r>
            <w:r>
              <w:rPr>
                <w:rFonts w:hint="default" w:ascii="Times New Roman" w:hAnsi="Times New Roman" w:cs="Times New Roman"/>
                <w:color w:val="auto"/>
                <w:highlight w:val="none"/>
              </w:rPr>
              <w:t>，一般情况下，柴油发电机空气过剩系数为1.8，即柴油发电机的烟气量按20Nm</w:t>
            </w:r>
            <w:r>
              <w:rPr>
                <w:rFonts w:hint="default" w:ascii="Times New Roman" w:hAnsi="Times New Roman" w:cs="Times New Roman"/>
                <w:color w:val="auto"/>
                <w:highlight w:val="none"/>
                <w:vertAlign w:val="superscript"/>
                <w:lang w:val="en-US" w:eastAsia="zh-CN"/>
              </w:rPr>
              <w:t>3</w:t>
            </w:r>
            <w:r>
              <w:rPr>
                <w:rFonts w:hint="default" w:ascii="Times New Roman" w:hAnsi="Times New Roman" w:cs="Times New Roman"/>
                <w:color w:val="auto"/>
                <w:highlight w:val="none"/>
              </w:rPr>
              <w:t>/kg柴油计，则发电机的废气排放量为</w:t>
            </w:r>
            <w:r>
              <w:rPr>
                <w:rFonts w:hint="default" w:ascii="Times New Roman" w:hAnsi="Times New Roman" w:cs="Times New Roman"/>
                <w:color w:val="auto"/>
                <w:highlight w:val="none"/>
                <w:lang w:val="en-US" w:eastAsia="zh-CN"/>
              </w:rPr>
              <w:t>4000</w:t>
            </w:r>
            <w:r>
              <w:rPr>
                <w:rFonts w:hint="default" w:ascii="Times New Roman" w:hAnsi="Times New Roman" w:cs="Times New Roman"/>
                <w:color w:val="auto"/>
                <w:highlight w:val="none"/>
              </w:rPr>
              <w:t>m</w:t>
            </w:r>
            <w:r>
              <w:rPr>
                <w:rFonts w:hint="default" w:ascii="Times New Roman" w:hAnsi="Times New Roman" w:cs="Times New Roman"/>
                <w:color w:val="auto"/>
                <w:highlight w:val="none"/>
                <w:vertAlign w:val="superscript"/>
                <w:lang w:val="en-US" w:eastAsia="zh-CN"/>
              </w:rPr>
              <w:t>3</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a（80</w:t>
            </w:r>
            <w:r>
              <w:rPr>
                <w:rFonts w:hint="default" w:ascii="Times New Roman" w:hAnsi="Times New Roman" w:cs="Times New Roman"/>
                <w:color w:val="auto"/>
                <w:highlight w:val="none"/>
              </w:rPr>
              <w:t>m</w:t>
            </w:r>
            <w:r>
              <w:rPr>
                <w:rFonts w:hint="default" w:ascii="Times New Roman" w:hAnsi="Times New Roman" w:cs="Times New Roman"/>
                <w:color w:val="auto"/>
                <w:highlight w:val="none"/>
                <w:vertAlign w:val="superscript"/>
                <w:lang w:val="en-US" w:eastAsia="zh-CN"/>
              </w:rPr>
              <w:t>3</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h）</w:t>
            </w:r>
            <w:r>
              <w:rPr>
                <w:rFonts w:hint="default" w:ascii="Times New Roman" w:hAnsi="Times New Roman" w:cs="Times New Roman"/>
                <w:color w:val="auto"/>
                <w:highlight w:val="none"/>
              </w:rPr>
              <w:t>。NO</w:t>
            </w:r>
            <w:r>
              <w:rPr>
                <w:rFonts w:hint="default" w:ascii="Times New Roman" w:hAnsi="Times New Roman" w:cs="Times New Roman"/>
                <w:color w:val="auto"/>
                <w:highlight w:val="none"/>
                <w:vertAlign w:val="subscript"/>
              </w:rPr>
              <w:t>X</w:t>
            </w:r>
            <w:r>
              <w:rPr>
                <w:rFonts w:hint="default" w:ascii="Times New Roman" w:hAnsi="Times New Roman" w:cs="Times New Roman"/>
                <w:color w:val="auto"/>
                <w:highlight w:val="none"/>
              </w:rPr>
              <w:t>产生系数为2.86kg/m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，NO</w:t>
            </w:r>
            <w:r>
              <w:rPr>
                <w:rFonts w:hint="default" w:ascii="Times New Roman" w:hAnsi="Times New Roman" w:cs="Times New Roman"/>
                <w:color w:val="auto"/>
                <w:highlight w:val="none"/>
                <w:vertAlign w:val="subscript"/>
              </w:rPr>
              <w:t>X</w:t>
            </w:r>
            <w:r>
              <w:rPr>
                <w:rFonts w:hint="default" w:ascii="Times New Roman" w:hAnsi="Times New Roman" w:cs="Times New Roman"/>
                <w:color w:val="auto"/>
                <w:highlight w:val="none"/>
              </w:rPr>
              <w:t>产生系数可换算为3.4（kg/t油）；SO</w:t>
            </w:r>
            <w:r>
              <w:rPr>
                <w:rFonts w:hint="default" w:ascii="Times New Roman" w:hAnsi="Times New Roman" w:cs="Times New Roman"/>
                <w:color w:val="auto"/>
                <w:highlight w:val="none"/>
                <w:vertAlign w:val="subscript"/>
              </w:rPr>
              <w:t>2</w:t>
            </w:r>
            <w:r>
              <w:rPr>
                <w:rFonts w:hint="default" w:ascii="Times New Roman" w:hAnsi="Times New Roman" w:cs="Times New Roman"/>
                <w:color w:val="auto"/>
                <w:highlight w:val="none"/>
              </w:rPr>
              <w:t>的产污系数为20S*（kg/t油），S*为硫的百分含量%，烟尘产生系数为2.2（kg/t油）。</w:t>
            </w:r>
            <w:r>
              <w:rPr>
                <w:rFonts w:hint="default" w:ascii="Times New Roman" w:hAnsi="Times New Roman" w:cs="Times New Roman"/>
                <w:color w:val="auto"/>
                <w:sz w:val="24"/>
                <w:szCs w:val="24"/>
                <w:highlight w:val="none"/>
                <w:lang w:eastAsia="zh-CN"/>
              </w:rPr>
              <w:t>备用发电机废气执行广东省《大气污染物排放限值》（DB44/27-2001）中二级标准。</w:t>
            </w:r>
            <w:r>
              <w:rPr>
                <w:rFonts w:hint="default" w:ascii="Times New Roman" w:hAnsi="Times New Roman" w:cs="Times New Roman"/>
                <w:color w:val="auto"/>
                <w:highlight w:val="none"/>
              </w:rPr>
              <w:t>本项目发电机尾气产</w:t>
            </w:r>
            <w:r>
              <w:rPr>
                <w:rFonts w:hint="default" w:ascii="Times New Roman" w:hAnsi="Times New Roman" w:cs="Times New Roman"/>
                <w:color w:val="auto"/>
                <w:highlight w:val="none"/>
                <w:lang w:eastAsia="zh-CN"/>
              </w:rPr>
              <w:t>排情况</w:t>
            </w:r>
            <w:r>
              <w:rPr>
                <w:rFonts w:hint="default" w:ascii="Times New Roman" w:hAnsi="Times New Roman" w:cs="Times New Roman"/>
                <w:color w:val="auto"/>
                <w:highlight w:val="none"/>
              </w:rPr>
              <w:t>见表7-</w:t>
            </w:r>
            <w:r>
              <w:rPr>
                <w:rFonts w:hint="default" w:ascii="Times New Roman" w:hAnsi="Times New Roman" w:cs="Times New Roman"/>
                <w:color w:val="auto"/>
                <w:highlight w:val="none"/>
                <w:lang w:val="en-US" w:eastAsia="zh-CN"/>
              </w:rPr>
              <w:t>3</w:t>
            </w:r>
            <w:r>
              <w:rPr>
                <w:rFonts w:hint="default" w:ascii="Times New Roman" w:hAnsi="Times New Roman" w:cs="Times New Roman"/>
                <w:color w:val="auto"/>
                <w:highlight w:val="none"/>
              </w:rPr>
              <w:t>。</w:t>
            </w:r>
          </w:p>
          <w:p>
            <w:pPr>
              <w:pStyle w:val="117"/>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highlight w:val="none"/>
              </w:rPr>
              <w:t>表7-</w:t>
            </w:r>
            <w:r>
              <w:rPr>
                <w:rFonts w:hint="default" w:ascii="Times New Roman" w:hAnsi="Times New Roman" w:cs="Times New Roman"/>
                <w:color w:val="auto"/>
                <w:highlight w:val="none"/>
                <w:lang w:val="en-US" w:eastAsia="zh-CN"/>
              </w:rPr>
              <w:t>3</w:t>
            </w:r>
            <w:r>
              <w:rPr>
                <w:rFonts w:hint="default" w:ascii="Times New Roman" w:hAnsi="Times New Roman" w:cs="Times New Roman"/>
                <w:color w:val="auto"/>
                <w:highlight w:val="none"/>
              </w:rPr>
              <w:t xml:space="preserve">  备用发电机烟气产</w:t>
            </w:r>
            <w:r>
              <w:rPr>
                <w:rFonts w:hint="default" w:ascii="Times New Roman" w:hAnsi="Times New Roman" w:cs="Times New Roman"/>
                <w:color w:val="auto"/>
                <w:highlight w:val="none"/>
                <w:lang w:eastAsia="zh-CN"/>
              </w:rPr>
              <w:t>排情况一览表</w:t>
            </w:r>
          </w:p>
          <w:tbl>
            <w:tblPr>
              <w:tblStyle w:val="31"/>
              <w:tblW w:w="9314" w:type="dxa"/>
              <w:jc w:val="center"/>
              <w:tblInd w:w="-4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
              <w:gridCol w:w="917"/>
              <w:gridCol w:w="659"/>
              <w:gridCol w:w="996"/>
              <w:gridCol w:w="963"/>
              <w:gridCol w:w="1003"/>
              <w:gridCol w:w="818"/>
              <w:gridCol w:w="705"/>
              <w:gridCol w:w="795"/>
              <w:gridCol w:w="691"/>
              <w:gridCol w:w="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6" w:hRule="atLeast"/>
                <w:jc w:val="center"/>
              </w:trPr>
              <w:tc>
                <w:tcPr>
                  <w:tcW w:w="834" w:type="dxa"/>
                  <w:vMerge w:val="restart"/>
                  <w:vAlign w:val="center"/>
                </w:tcPr>
                <w:p>
                  <w:pPr>
                    <w:pStyle w:val="11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排放场所</w:t>
                  </w:r>
                </w:p>
              </w:tc>
              <w:tc>
                <w:tcPr>
                  <w:tcW w:w="917" w:type="dxa"/>
                  <w:vMerge w:val="restart"/>
                  <w:vAlign w:val="center"/>
                </w:tcPr>
                <w:p>
                  <w:pPr>
                    <w:pStyle w:val="11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排气量(m³/h)</w:t>
                  </w:r>
                </w:p>
              </w:tc>
              <w:tc>
                <w:tcPr>
                  <w:tcW w:w="659" w:type="dxa"/>
                  <w:vMerge w:val="restart"/>
                  <w:vAlign w:val="center"/>
                </w:tcPr>
                <w:p>
                  <w:pPr>
                    <w:pStyle w:val="11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主要污染物</w:t>
                  </w:r>
                </w:p>
              </w:tc>
              <w:tc>
                <w:tcPr>
                  <w:tcW w:w="996" w:type="dxa"/>
                  <w:vMerge w:val="restart"/>
                  <w:vAlign w:val="center"/>
                </w:tcPr>
                <w:p>
                  <w:pPr>
                    <w:pStyle w:val="11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产生浓度(mg/m³)</w:t>
                  </w:r>
                </w:p>
              </w:tc>
              <w:tc>
                <w:tcPr>
                  <w:tcW w:w="963" w:type="dxa"/>
                  <w:vMerge w:val="restart"/>
                  <w:vAlign w:val="center"/>
                </w:tcPr>
                <w:p>
                  <w:pPr>
                    <w:pStyle w:val="11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产生速率(kg/h)</w:t>
                  </w:r>
                </w:p>
              </w:tc>
              <w:tc>
                <w:tcPr>
                  <w:tcW w:w="1003" w:type="dxa"/>
                  <w:vMerge w:val="restart"/>
                  <w:vAlign w:val="center"/>
                </w:tcPr>
                <w:p>
                  <w:pPr>
                    <w:pStyle w:val="11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产生量（t/a）</w:t>
                  </w:r>
                </w:p>
              </w:tc>
              <w:tc>
                <w:tcPr>
                  <w:tcW w:w="1523" w:type="dxa"/>
                  <w:gridSpan w:val="2"/>
                  <w:vMerge w:val="restart"/>
                  <w:vAlign w:val="center"/>
                </w:tcPr>
                <w:p>
                  <w:pPr>
                    <w:pStyle w:val="118"/>
                    <w:rPr>
                      <w:rFonts w:hint="default" w:ascii="Times New Roman" w:hAnsi="Times New Roman" w:eastAsia="宋体" w:cs="Times New Roman"/>
                      <w:b/>
                      <w:bCs/>
                      <w:color w:val="auto"/>
                      <w:highlight w:val="none"/>
                      <w:lang w:val="en-US" w:eastAsia="zh-CN"/>
                    </w:rPr>
                  </w:pPr>
                  <w:r>
                    <w:rPr>
                      <w:rFonts w:hint="default" w:ascii="Times New Roman" w:hAnsi="Times New Roman" w:cs="Times New Roman"/>
                      <w:b/>
                      <w:bCs/>
                      <w:color w:val="auto"/>
                      <w:highlight w:val="none"/>
                    </w:rPr>
                    <w:t>排放浓度(mg/m³)</w:t>
                  </w:r>
                  <w:r>
                    <w:rPr>
                      <w:rFonts w:hint="default" w:ascii="Times New Roman" w:hAnsi="Times New Roman" w:cs="Times New Roman"/>
                      <w:b/>
                      <w:bCs/>
                      <w:color w:val="auto"/>
                      <w:highlight w:val="none"/>
                      <w:lang w:val="en-US" w:eastAsia="zh-CN"/>
                    </w:rPr>
                    <w:t xml:space="preserve">                                                                                                                                                                                                                                                                                                                                                                                                                                                                                                                                                                                                                                                                                                                                                                                                                                                                                                                                                                                                                                                                                                                                                                                                                                                                                                                                                                                                                                                                                                                                                                                                                                                                                                                                                                                                                                                                                                                                                                                                                                                                                                                                                                                                                                                                                                                                                                                                                                                                                                                                                                                                                                                                                                                                                                                                                                                                                                                                                                                                                                                                                                                                                                                                                                                                                                                                                                                                                                                                                                                                                                                                                                                                                                                                                                                                                                                                                                                                                                                                                                                                                                                                                                                                                </w:t>
                  </w:r>
                  <w:r>
                    <w:rPr>
                      <w:rFonts w:hint="default" w:ascii="Times New Roman" w:hAnsi="Times New Roman" w:cs="Times New Roman"/>
                      <w:b/>
                      <w:bCs/>
                      <w:color w:val="auto"/>
                      <w:highlight w:val="none"/>
                      <w:lang w:val="en-US" w:eastAsia="zh-CN"/>
                    </w:rPr>
                    <w:t xml:space="preserve">                                                                                                       </w:t>
                  </w:r>
                </w:p>
              </w:tc>
              <w:tc>
                <w:tcPr>
                  <w:tcW w:w="1486" w:type="dxa"/>
                  <w:gridSpan w:val="2"/>
                  <w:vMerge w:val="restart"/>
                  <w:vAlign w:val="center"/>
                </w:tcPr>
                <w:p>
                  <w:pPr>
                    <w:pStyle w:val="11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排放速率(kg/h)</w:t>
                  </w:r>
                </w:p>
              </w:tc>
              <w:tc>
                <w:tcPr>
                  <w:tcW w:w="933" w:type="dxa"/>
                  <w:vMerge w:val="restart"/>
                  <w:vAlign w:val="center"/>
                </w:tcPr>
                <w:p>
                  <w:pPr>
                    <w:pStyle w:val="11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jc w:val="center"/>
              </w:trPr>
              <w:tc>
                <w:tcPr>
                  <w:tcW w:w="834" w:type="dxa"/>
                  <w:vMerge w:val="continue"/>
                  <w:vAlign w:val="center"/>
                </w:tcPr>
                <w:p>
                  <w:pPr>
                    <w:pStyle w:val="118"/>
                    <w:rPr>
                      <w:rFonts w:hint="default" w:ascii="Times New Roman" w:hAnsi="Times New Roman" w:cs="Times New Roman"/>
                      <w:color w:val="auto"/>
                      <w:highlight w:val="none"/>
                    </w:rPr>
                  </w:pPr>
                </w:p>
              </w:tc>
              <w:tc>
                <w:tcPr>
                  <w:tcW w:w="917" w:type="dxa"/>
                  <w:vMerge w:val="continue"/>
                  <w:vAlign w:val="center"/>
                </w:tcPr>
                <w:p>
                  <w:pPr>
                    <w:pStyle w:val="118"/>
                    <w:rPr>
                      <w:rFonts w:hint="default" w:ascii="Times New Roman" w:hAnsi="Times New Roman" w:cs="Times New Roman"/>
                      <w:color w:val="auto"/>
                      <w:highlight w:val="none"/>
                    </w:rPr>
                  </w:pPr>
                </w:p>
              </w:tc>
              <w:tc>
                <w:tcPr>
                  <w:tcW w:w="659" w:type="dxa"/>
                  <w:vMerge w:val="continue"/>
                  <w:vAlign w:val="center"/>
                </w:tcPr>
                <w:p>
                  <w:pPr>
                    <w:pStyle w:val="118"/>
                    <w:rPr>
                      <w:rFonts w:hint="default" w:ascii="Times New Roman" w:hAnsi="Times New Roman" w:cs="Times New Roman"/>
                      <w:color w:val="auto"/>
                      <w:highlight w:val="none"/>
                    </w:rPr>
                  </w:pPr>
                </w:p>
              </w:tc>
              <w:tc>
                <w:tcPr>
                  <w:tcW w:w="996" w:type="dxa"/>
                  <w:vMerge w:val="continue"/>
                  <w:vAlign w:val="center"/>
                </w:tcPr>
                <w:p>
                  <w:pPr>
                    <w:pStyle w:val="118"/>
                    <w:rPr>
                      <w:rFonts w:hint="default" w:ascii="Times New Roman" w:hAnsi="Times New Roman" w:cs="Times New Roman"/>
                      <w:color w:val="auto"/>
                      <w:highlight w:val="none"/>
                    </w:rPr>
                  </w:pPr>
                </w:p>
              </w:tc>
              <w:tc>
                <w:tcPr>
                  <w:tcW w:w="963" w:type="dxa"/>
                  <w:vMerge w:val="continue"/>
                  <w:vAlign w:val="center"/>
                </w:tcPr>
                <w:p>
                  <w:pPr>
                    <w:pStyle w:val="118"/>
                    <w:rPr>
                      <w:rFonts w:hint="default" w:ascii="Times New Roman" w:hAnsi="Times New Roman" w:cs="Times New Roman"/>
                      <w:color w:val="auto"/>
                      <w:highlight w:val="none"/>
                    </w:rPr>
                  </w:pPr>
                </w:p>
              </w:tc>
              <w:tc>
                <w:tcPr>
                  <w:tcW w:w="1003" w:type="dxa"/>
                  <w:vMerge w:val="continue"/>
                  <w:vAlign w:val="center"/>
                </w:tcPr>
                <w:p>
                  <w:pPr>
                    <w:pStyle w:val="118"/>
                    <w:rPr>
                      <w:rFonts w:hint="default" w:ascii="Times New Roman" w:hAnsi="Times New Roman" w:cs="Times New Roman"/>
                      <w:color w:val="auto"/>
                      <w:highlight w:val="none"/>
                    </w:rPr>
                  </w:pPr>
                </w:p>
              </w:tc>
              <w:tc>
                <w:tcPr>
                  <w:tcW w:w="1523" w:type="dxa"/>
                  <w:gridSpan w:val="2"/>
                  <w:vMerge w:val="continue"/>
                  <w:vAlign w:val="center"/>
                </w:tcPr>
                <w:p>
                  <w:pPr>
                    <w:pStyle w:val="118"/>
                    <w:rPr>
                      <w:rFonts w:hint="default" w:ascii="Times New Roman" w:hAnsi="Times New Roman" w:cs="Times New Roman"/>
                      <w:b/>
                      <w:bCs/>
                      <w:color w:val="auto"/>
                      <w:highlight w:val="none"/>
                    </w:rPr>
                  </w:pPr>
                </w:p>
              </w:tc>
              <w:tc>
                <w:tcPr>
                  <w:tcW w:w="1486" w:type="dxa"/>
                  <w:gridSpan w:val="2"/>
                  <w:vMerge w:val="continue"/>
                  <w:vAlign w:val="center"/>
                </w:tcPr>
                <w:p>
                  <w:pPr>
                    <w:pStyle w:val="118"/>
                    <w:rPr>
                      <w:rFonts w:hint="default" w:ascii="Times New Roman" w:hAnsi="Times New Roman" w:cs="Times New Roman"/>
                      <w:b/>
                      <w:bCs/>
                      <w:color w:val="auto"/>
                      <w:highlight w:val="none"/>
                    </w:rPr>
                  </w:pPr>
                </w:p>
              </w:tc>
              <w:tc>
                <w:tcPr>
                  <w:tcW w:w="933" w:type="dxa"/>
                  <w:vMerge w:val="continue"/>
                  <w:vAlign w:val="center"/>
                </w:tcPr>
                <w:p>
                  <w:pPr>
                    <w:pStyle w:val="118"/>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4" w:type="dxa"/>
                  <w:vMerge w:val="continue"/>
                  <w:vAlign w:val="center"/>
                </w:tcPr>
                <w:p>
                  <w:pPr>
                    <w:pStyle w:val="118"/>
                    <w:rPr>
                      <w:rFonts w:hint="default" w:ascii="Times New Roman" w:hAnsi="Times New Roman" w:cs="Times New Roman"/>
                      <w:color w:val="auto"/>
                      <w:highlight w:val="none"/>
                    </w:rPr>
                  </w:pPr>
                </w:p>
              </w:tc>
              <w:tc>
                <w:tcPr>
                  <w:tcW w:w="917" w:type="dxa"/>
                  <w:vMerge w:val="continue"/>
                  <w:vAlign w:val="center"/>
                </w:tcPr>
                <w:p>
                  <w:pPr>
                    <w:pStyle w:val="118"/>
                    <w:rPr>
                      <w:rFonts w:hint="default" w:ascii="Times New Roman" w:hAnsi="Times New Roman" w:cs="Times New Roman"/>
                      <w:color w:val="auto"/>
                      <w:highlight w:val="none"/>
                    </w:rPr>
                  </w:pPr>
                </w:p>
              </w:tc>
              <w:tc>
                <w:tcPr>
                  <w:tcW w:w="659" w:type="dxa"/>
                  <w:vMerge w:val="continue"/>
                  <w:vAlign w:val="center"/>
                </w:tcPr>
                <w:p>
                  <w:pPr>
                    <w:pStyle w:val="118"/>
                    <w:rPr>
                      <w:rFonts w:hint="default" w:ascii="Times New Roman" w:hAnsi="Times New Roman" w:cs="Times New Roman"/>
                      <w:color w:val="auto"/>
                      <w:highlight w:val="none"/>
                    </w:rPr>
                  </w:pPr>
                </w:p>
              </w:tc>
              <w:tc>
                <w:tcPr>
                  <w:tcW w:w="996" w:type="dxa"/>
                  <w:vMerge w:val="continue"/>
                  <w:vAlign w:val="center"/>
                </w:tcPr>
                <w:p>
                  <w:pPr>
                    <w:pStyle w:val="118"/>
                    <w:rPr>
                      <w:rFonts w:hint="default" w:ascii="Times New Roman" w:hAnsi="Times New Roman" w:cs="Times New Roman"/>
                      <w:color w:val="auto"/>
                      <w:highlight w:val="none"/>
                    </w:rPr>
                  </w:pPr>
                </w:p>
              </w:tc>
              <w:tc>
                <w:tcPr>
                  <w:tcW w:w="963" w:type="dxa"/>
                  <w:vMerge w:val="continue"/>
                  <w:vAlign w:val="center"/>
                </w:tcPr>
                <w:p>
                  <w:pPr>
                    <w:pStyle w:val="118"/>
                    <w:rPr>
                      <w:rFonts w:hint="default" w:ascii="Times New Roman" w:hAnsi="Times New Roman" w:cs="Times New Roman"/>
                      <w:color w:val="auto"/>
                      <w:highlight w:val="none"/>
                    </w:rPr>
                  </w:pPr>
                </w:p>
              </w:tc>
              <w:tc>
                <w:tcPr>
                  <w:tcW w:w="1003" w:type="dxa"/>
                  <w:vMerge w:val="continue"/>
                  <w:vAlign w:val="center"/>
                </w:tcPr>
                <w:p>
                  <w:pPr>
                    <w:pStyle w:val="118"/>
                    <w:rPr>
                      <w:rFonts w:hint="default" w:ascii="Times New Roman" w:hAnsi="Times New Roman" w:cs="Times New Roman"/>
                      <w:color w:val="auto"/>
                      <w:highlight w:val="none"/>
                    </w:rPr>
                  </w:pPr>
                </w:p>
              </w:tc>
              <w:tc>
                <w:tcPr>
                  <w:tcW w:w="818" w:type="dxa"/>
                  <w:vAlign w:val="center"/>
                </w:tcPr>
                <w:p>
                  <w:pPr>
                    <w:pStyle w:val="11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预测</w:t>
                  </w:r>
                </w:p>
              </w:tc>
              <w:tc>
                <w:tcPr>
                  <w:tcW w:w="705" w:type="dxa"/>
                  <w:vAlign w:val="center"/>
                </w:tcPr>
                <w:p>
                  <w:pPr>
                    <w:pStyle w:val="11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标准</w:t>
                  </w:r>
                </w:p>
              </w:tc>
              <w:tc>
                <w:tcPr>
                  <w:tcW w:w="795" w:type="dxa"/>
                  <w:vAlign w:val="center"/>
                </w:tcPr>
                <w:p>
                  <w:pPr>
                    <w:pStyle w:val="11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预测</w:t>
                  </w:r>
                </w:p>
              </w:tc>
              <w:tc>
                <w:tcPr>
                  <w:tcW w:w="691" w:type="dxa"/>
                  <w:vAlign w:val="center"/>
                </w:tcPr>
                <w:p>
                  <w:pPr>
                    <w:pStyle w:val="11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标准</w:t>
                  </w:r>
                </w:p>
              </w:tc>
              <w:tc>
                <w:tcPr>
                  <w:tcW w:w="933" w:type="dxa"/>
                  <w:vMerge w:val="continue"/>
                  <w:vAlign w:val="center"/>
                </w:tcPr>
                <w:p>
                  <w:pPr>
                    <w:pStyle w:val="118"/>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1" w:hRule="atLeast"/>
                <w:jc w:val="center"/>
              </w:trPr>
              <w:tc>
                <w:tcPr>
                  <w:tcW w:w="834" w:type="dxa"/>
                  <w:vMerge w:val="restart"/>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发电机尾气</w:t>
                  </w:r>
                </w:p>
              </w:tc>
              <w:tc>
                <w:tcPr>
                  <w:tcW w:w="917" w:type="dxa"/>
                  <w:vMerge w:val="restart"/>
                  <w:vAlign w:val="center"/>
                </w:tcPr>
                <w:p>
                  <w:pPr>
                    <w:pStyle w:val="118"/>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80</w:t>
                  </w:r>
                </w:p>
              </w:tc>
              <w:tc>
                <w:tcPr>
                  <w:tcW w:w="659" w:type="dxa"/>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SO</w:t>
                  </w:r>
                  <w:r>
                    <w:rPr>
                      <w:rFonts w:hint="default" w:ascii="Times New Roman" w:hAnsi="Times New Roman" w:cs="Times New Roman"/>
                      <w:color w:val="auto"/>
                      <w:highlight w:val="none"/>
                      <w:vertAlign w:val="subscript"/>
                    </w:rPr>
                    <w:t>2</w:t>
                  </w:r>
                </w:p>
              </w:tc>
              <w:tc>
                <w:tcPr>
                  <w:tcW w:w="996" w:type="dxa"/>
                  <w:vAlign w:val="center"/>
                </w:tcPr>
                <w:p>
                  <w:pPr>
                    <w:pStyle w:val="118"/>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8.0</w:t>
                  </w:r>
                </w:p>
              </w:tc>
              <w:tc>
                <w:tcPr>
                  <w:tcW w:w="963" w:type="dxa"/>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0.00</w:t>
                  </w:r>
                  <w:r>
                    <w:rPr>
                      <w:rFonts w:hint="default" w:ascii="Times New Roman" w:hAnsi="Times New Roman" w:cs="Times New Roman"/>
                      <w:color w:val="auto"/>
                      <w:highlight w:val="none"/>
                      <w:lang w:val="en-US" w:eastAsia="zh-CN"/>
                    </w:rPr>
                    <w:t>04</w:t>
                  </w:r>
                  <w:r>
                    <w:rPr>
                      <w:rFonts w:hint="default" w:ascii="Times New Roman" w:hAnsi="Times New Roman" w:cs="Times New Roman"/>
                      <w:color w:val="auto"/>
                      <w:highlight w:val="none"/>
                    </w:rPr>
                    <w:t xml:space="preserve"> </w:t>
                  </w:r>
                </w:p>
              </w:tc>
              <w:tc>
                <w:tcPr>
                  <w:tcW w:w="1003" w:type="dxa"/>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0.000</w:t>
                  </w:r>
                  <w:r>
                    <w:rPr>
                      <w:rFonts w:hint="default" w:ascii="Times New Roman" w:hAnsi="Times New Roman" w:cs="Times New Roman"/>
                      <w:color w:val="auto"/>
                      <w:highlight w:val="none"/>
                      <w:lang w:val="en-US" w:eastAsia="zh-CN"/>
                    </w:rPr>
                    <w:t>02</w:t>
                  </w:r>
                  <w:r>
                    <w:rPr>
                      <w:rFonts w:hint="default" w:ascii="Times New Roman" w:hAnsi="Times New Roman" w:cs="Times New Roman"/>
                      <w:color w:val="auto"/>
                      <w:highlight w:val="none"/>
                    </w:rPr>
                    <w:t xml:space="preserve"> </w:t>
                  </w:r>
                </w:p>
              </w:tc>
              <w:tc>
                <w:tcPr>
                  <w:tcW w:w="818" w:type="dxa"/>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8.0</w:t>
                  </w:r>
                </w:p>
              </w:tc>
              <w:tc>
                <w:tcPr>
                  <w:tcW w:w="705" w:type="dxa"/>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550</w:t>
                  </w:r>
                </w:p>
              </w:tc>
              <w:tc>
                <w:tcPr>
                  <w:tcW w:w="795" w:type="dxa"/>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0.00</w:t>
                  </w:r>
                  <w:r>
                    <w:rPr>
                      <w:rFonts w:hint="default" w:ascii="Times New Roman" w:hAnsi="Times New Roman" w:cs="Times New Roman"/>
                      <w:color w:val="auto"/>
                      <w:highlight w:val="none"/>
                      <w:lang w:val="en-US" w:eastAsia="zh-CN"/>
                    </w:rPr>
                    <w:t>04</w:t>
                  </w:r>
                  <w:r>
                    <w:rPr>
                      <w:rFonts w:hint="default" w:ascii="Times New Roman" w:hAnsi="Times New Roman" w:cs="Times New Roman"/>
                      <w:color w:val="auto"/>
                      <w:highlight w:val="none"/>
                    </w:rPr>
                    <w:t xml:space="preserve"> </w:t>
                  </w:r>
                </w:p>
              </w:tc>
              <w:tc>
                <w:tcPr>
                  <w:tcW w:w="691" w:type="dxa"/>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2.6</w:t>
                  </w:r>
                </w:p>
              </w:tc>
              <w:tc>
                <w:tcPr>
                  <w:tcW w:w="933" w:type="dxa"/>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0.000</w:t>
                  </w:r>
                  <w:r>
                    <w:rPr>
                      <w:rFonts w:hint="default" w:ascii="Times New Roman" w:hAnsi="Times New Roman" w:cs="Times New Roman"/>
                      <w:color w:val="auto"/>
                      <w:highlight w:val="none"/>
                      <w:lang w:val="en-US" w:eastAsia="zh-CN"/>
                    </w:rPr>
                    <w:t>02</w:t>
                  </w:r>
                  <w:r>
                    <w:rPr>
                      <w:rFonts w:hint="default" w:ascii="Times New Roman" w:hAnsi="Times New Roman" w:cs="Times New Roman"/>
                      <w:color w:val="auto"/>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jc w:val="center"/>
              </w:trPr>
              <w:tc>
                <w:tcPr>
                  <w:tcW w:w="834" w:type="dxa"/>
                  <w:vMerge w:val="continue"/>
                  <w:vAlign w:val="center"/>
                </w:tcPr>
                <w:p>
                  <w:pPr>
                    <w:pStyle w:val="118"/>
                    <w:rPr>
                      <w:rFonts w:hint="default" w:ascii="Times New Roman" w:hAnsi="Times New Roman" w:cs="Times New Roman"/>
                      <w:color w:val="auto"/>
                      <w:highlight w:val="none"/>
                    </w:rPr>
                  </w:pPr>
                </w:p>
              </w:tc>
              <w:tc>
                <w:tcPr>
                  <w:tcW w:w="917" w:type="dxa"/>
                  <w:vMerge w:val="continue"/>
                  <w:vAlign w:val="center"/>
                </w:tcPr>
                <w:p>
                  <w:pPr>
                    <w:pStyle w:val="118"/>
                    <w:rPr>
                      <w:rFonts w:hint="default" w:ascii="Times New Roman" w:hAnsi="Times New Roman" w:cs="Times New Roman"/>
                      <w:color w:val="auto"/>
                      <w:highlight w:val="none"/>
                    </w:rPr>
                  </w:pPr>
                </w:p>
              </w:tc>
              <w:tc>
                <w:tcPr>
                  <w:tcW w:w="659" w:type="dxa"/>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NOx</w:t>
                  </w:r>
                </w:p>
              </w:tc>
              <w:tc>
                <w:tcPr>
                  <w:tcW w:w="996" w:type="dxa"/>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default" w:ascii="Times New Roman" w:hAnsi="Times New Roman" w:cs="Times New Roman"/>
                      <w:color w:val="auto"/>
                      <w:highlight w:val="none"/>
                      <w:lang w:val="en-US" w:eastAsia="zh-CN"/>
                    </w:rPr>
                    <w:t>75</w:t>
                  </w:r>
                  <w:r>
                    <w:rPr>
                      <w:rFonts w:hint="default" w:ascii="Times New Roman" w:hAnsi="Times New Roman" w:cs="Times New Roman"/>
                      <w:color w:val="auto"/>
                      <w:highlight w:val="none"/>
                    </w:rPr>
                    <w:t xml:space="preserve"> </w:t>
                  </w:r>
                </w:p>
              </w:tc>
              <w:tc>
                <w:tcPr>
                  <w:tcW w:w="963" w:type="dxa"/>
                  <w:vAlign w:val="center"/>
                </w:tcPr>
                <w:p>
                  <w:pPr>
                    <w:pStyle w:val="118"/>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rPr>
                    <w:t>0.</w:t>
                  </w:r>
                  <w:r>
                    <w:rPr>
                      <w:rFonts w:hint="default" w:ascii="Times New Roman" w:hAnsi="Times New Roman" w:cs="Times New Roman"/>
                      <w:color w:val="auto"/>
                      <w:highlight w:val="none"/>
                      <w:lang w:val="en-US" w:eastAsia="zh-CN"/>
                    </w:rPr>
                    <w:t>014</w:t>
                  </w:r>
                </w:p>
              </w:tc>
              <w:tc>
                <w:tcPr>
                  <w:tcW w:w="1003" w:type="dxa"/>
                  <w:vAlign w:val="center"/>
                </w:tcPr>
                <w:p>
                  <w:pPr>
                    <w:pStyle w:val="118"/>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rPr>
                    <w:t>0.0</w:t>
                  </w:r>
                  <w:r>
                    <w:rPr>
                      <w:rFonts w:hint="default" w:ascii="Times New Roman" w:hAnsi="Times New Roman" w:cs="Times New Roman"/>
                      <w:color w:val="auto"/>
                      <w:highlight w:val="none"/>
                      <w:lang w:val="en-US" w:eastAsia="zh-CN"/>
                    </w:rPr>
                    <w:t>0068</w:t>
                  </w:r>
                </w:p>
              </w:tc>
              <w:tc>
                <w:tcPr>
                  <w:tcW w:w="818" w:type="dxa"/>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default" w:ascii="Times New Roman" w:hAnsi="Times New Roman" w:cs="Times New Roman"/>
                      <w:color w:val="auto"/>
                      <w:highlight w:val="none"/>
                      <w:lang w:val="en-US" w:eastAsia="zh-CN"/>
                    </w:rPr>
                    <w:t>75</w:t>
                  </w:r>
                  <w:r>
                    <w:rPr>
                      <w:rFonts w:hint="default" w:ascii="Times New Roman" w:hAnsi="Times New Roman" w:cs="Times New Roman"/>
                      <w:color w:val="auto"/>
                      <w:highlight w:val="none"/>
                    </w:rPr>
                    <w:t xml:space="preserve"> </w:t>
                  </w:r>
                </w:p>
              </w:tc>
              <w:tc>
                <w:tcPr>
                  <w:tcW w:w="705" w:type="dxa"/>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240</w:t>
                  </w:r>
                </w:p>
              </w:tc>
              <w:tc>
                <w:tcPr>
                  <w:tcW w:w="795" w:type="dxa"/>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0.</w:t>
                  </w:r>
                  <w:r>
                    <w:rPr>
                      <w:rFonts w:hint="default" w:ascii="Times New Roman" w:hAnsi="Times New Roman" w:cs="Times New Roman"/>
                      <w:color w:val="auto"/>
                      <w:highlight w:val="none"/>
                      <w:lang w:val="en-US" w:eastAsia="zh-CN"/>
                    </w:rPr>
                    <w:t>014</w:t>
                  </w:r>
                </w:p>
              </w:tc>
              <w:tc>
                <w:tcPr>
                  <w:tcW w:w="691" w:type="dxa"/>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0.77</w:t>
                  </w:r>
                </w:p>
              </w:tc>
              <w:tc>
                <w:tcPr>
                  <w:tcW w:w="933" w:type="dxa"/>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0.0</w:t>
                  </w:r>
                  <w:r>
                    <w:rPr>
                      <w:rFonts w:hint="default" w:ascii="Times New Roman" w:hAnsi="Times New Roman" w:cs="Times New Roman"/>
                      <w:color w:val="auto"/>
                      <w:highlight w:val="none"/>
                      <w:lang w:val="en-US" w:eastAsia="zh-CN"/>
                    </w:rPr>
                    <w:t>0068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4" w:type="dxa"/>
                  <w:vMerge w:val="continue"/>
                  <w:vAlign w:val="center"/>
                </w:tcPr>
                <w:p>
                  <w:pPr>
                    <w:pStyle w:val="118"/>
                    <w:rPr>
                      <w:rFonts w:hint="default" w:ascii="Times New Roman" w:hAnsi="Times New Roman" w:cs="Times New Roman"/>
                      <w:color w:val="auto"/>
                      <w:highlight w:val="none"/>
                    </w:rPr>
                  </w:pPr>
                </w:p>
              </w:tc>
              <w:tc>
                <w:tcPr>
                  <w:tcW w:w="917" w:type="dxa"/>
                  <w:vMerge w:val="continue"/>
                  <w:vAlign w:val="center"/>
                </w:tcPr>
                <w:p>
                  <w:pPr>
                    <w:pStyle w:val="118"/>
                    <w:rPr>
                      <w:rFonts w:hint="default" w:ascii="Times New Roman" w:hAnsi="Times New Roman" w:cs="Times New Roman"/>
                      <w:color w:val="auto"/>
                      <w:highlight w:val="none"/>
                    </w:rPr>
                  </w:pPr>
                </w:p>
              </w:tc>
              <w:tc>
                <w:tcPr>
                  <w:tcW w:w="659" w:type="dxa"/>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烟尘</w:t>
                  </w:r>
                </w:p>
              </w:tc>
              <w:tc>
                <w:tcPr>
                  <w:tcW w:w="996" w:type="dxa"/>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110</w:t>
                  </w:r>
                  <w:r>
                    <w:rPr>
                      <w:rFonts w:hint="default" w:ascii="Times New Roman" w:hAnsi="Times New Roman" w:cs="Times New Roman"/>
                      <w:color w:val="auto"/>
                      <w:highlight w:val="none"/>
                    </w:rPr>
                    <w:t xml:space="preserve"> </w:t>
                  </w:r>
                </w:p>
              </w:tc>
              <w:tc>
                <w:tcPr>
                  <w:tcW w:w="963" w:type="dxa"/>
                  <w:vAlign w:val="center"/>
                </w:tcPr>
                <w:p>
                  <w:pPr>
                    <w:pStyle w:val="118"/>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rPr>
                    <w:t>0.0</w:t>
                  </w:r>
                  <w:r>
                    <w:rPr>
                      <w:rFonts w:hint="default" w:ascii="Times New Roman" w:hAnsi="Times New Roman" w:cs="Times New Roman"/>
                      <w:color w:val="auto"/>
                      <w:highlight w:val="none"/>
                      <w:lang w:val="en-US" w:eastAsia="zh-CN"/>
                    </w:rPr>
                    <w:t>088</w:t>
                  </w:r>
                </w:p>
              </w:tc>
              <w:tc>
                <w:tcPr>
                  <w:tcW w:w="1003" w:type="dxa"/>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0.00</w:t>
                  </w:r>
                  <w:r>
                    <w:rPr>
                      <w:rFonts w:hint="default" w:ascii="Times New Roman" w:hAnsi="Times New Roman" w:cs="Times New Roman"/>
                      <w:color w:val="auto"/>
                      <w:highlight w:val="none"/>
                      <w:lang w:val="en-US" w:eastAsia="zh-CN"/>
                    </w:rPr>
                    <w:t>044</w:t>
                  </w:r>
                  <w:r>
                    <w:rPr>
                      <w:rFonts w:hint="default" w:ascii="Times New Roman" w:hAnsi="Times New Roman" w:cs="Times New Roman"/>
                      <w:color w:val="auto"/>
                      <w:highlight w:val="none"/>
                    </w:rPr>
                    <w:t xml:space="preserve"> </w:t>
                  </w:r>
                </w:p>
              </w:tc>
              <w:tc>
                <w:tcPr>
                  <w:tcW w:w="818" w:type="dxa"/>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110</w:t>
                  </w:r>
                  <w:r>
                    <w:rPr>
                      <w:rFonts w:hint="default" w:ascii="Times New Roman" w:hAnsi="Times New Roman" w:cs="Times New Roman"/>
                      <w:color w:val="auto"/>
                      <w:highlight w:val="none"/>
                    </w:rPr>
                    <w:t xml:space="preserve"> </w:t>
                  </w:r>
                </w:p>
              </w:tc>
              <w:tc>
                <w:tcPr>
                  <w:tcW w:w="705" w:type="dxa"/>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120</w:t>
                  </w:r>
                </w:p>
              </w:tc>
              <w:tc>
                <w:tcPr>
                  <w:tcW w:w="795" w:type="dxa"/>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0.0</w:t>
                  </w:r>
                  <w:r>
                    <w:rPr>
                      <w:rFonts w:hint="default" w:ascii="Times New Roman" w:hAnsi="Times New Roman" w:cs="Times New Roman"/>
                      <w:color w:val="auto"/>
                      <w:highlight w:val="none"/>
                      <w:lang w:val="en-US" w:eastAsia="zh-CN"/>
                    </w:rPr>
                    <w:t>088</w:t>
                  </w:r>
                </w:p>
              </w:tc>
              <w:tc>
                <w:tcPr>
                  <w:tcW w:w="691" w:type="dxa"/>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3.5</w:t>
                  </w:r>
                </w:p>
              </w:tc>
              <w:tc>
                <w:tcPr>
                  <w:tcW w:w="933" w:type="dxa"/>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0.00</w:t>
                  </w:r>
                  <w:r>
                    <w:rPr>
                      <w:rFonts w:hint="default" w:ascii="Times New Roman" w:hAnsi="Times New Roman" w:cs="Times New Roman"/>
                      <w:color w:val="auto"/>
                      <w:highlight w:val="none"/>
                      <w:lang w:val="en-US" w:eastAsia="zh-CN"/>
                    </w:rPr>
                    <w:t>044</w:t>
                  </w:r>
                  <w:r>
                    <w:rPr>
                      <w:rFonts w:hint="default" w:ascii="Times New Roman" w:hAnsi="Times New Roman" w:cs="Times New Roman"/>
                      <w:color w:val="auto"/>
                      <w:highlight w:val="none"/>
                    </w:rPr>
                    <w:t xml:space="preserve"> </w:t>
                  </w:r>
                </w:p>
              </w:tc>
            </w:tr>
          </w:tbl>
          <w:p>
            <w:pPr>
              <w:pStyle w:val="84"/>
              <w:spacing w:line="360" w:lineRule="auto"/>
              <w:ind w:firstLine="480"/>
              <w:rPr>
                <w:rFonts w:hint="default" w:ascii="Times New Roman" w:hAnsi="Times New Roman" w:eastAsia="宋体" w:cs="Times New Roman"/>
                <w:color w:val="auto"/>
                <w:kern w:val="2"/>
                <w:sz w:val="24"/>
                <w:szCs w:val="22"/>
                <w:highlight w:val="none"/>
                <w:lang w:val="en-US" w:eastAsia="zh-CN" w:bidi="ar-SA"/>
              </w:rPr>
            </w:pPr>
            <w:r>
              <w:rPr>
                <w:rFonts w:hint="default" w:ascii="Times New Roman" w:hAnsi="Times New Roman" w:eastAsia="宋体" w:cs="Times New Roman"/>
                <w:color w:val="auto"/>
                <w:kern w:val="2"/>
                <w:sz w:val="24"/>
                <w:szCs w:val="22"/>
                <w:highlight w:val="none"/>
                <w:lang w:val="en-US" w:eastAsia="zh-CN" w:bidi="ar-SA"/>
              </w:rPr>
              <w:t>3、污水处理站臭气</w:t>
            </w:r>
          </w:p>
          <w:p>
            <w:pPr>
              <w:pStyle w:val="116"/>
              <w:ind w:firstLine="480"/>
              <w:rPr>
                <w:rFonts w:hint="default" w:ascii="Times New Roman" w:hAnsi="Times New Roman" w:eastAsia="宋体" w:cs="Times New Roman"/>
                <w:color w:val="auto"/>
                <w:kern w:val="2"/>
                <w:sz w:val="24"/>
                <w:szCs w:val="22"/>
                <w:highlight w:val="none"/>
                <w:lang w:val="en-US" w:eastAsia="zh-CN" w:bidi="ar-SA"/>
              </w:rPr>
            </w:pPr>
            <w:r>
              <w:rPr>
                <w:rFonts w:hint="eastAsia" w:ascii="Times New Roman" w:hAnsi="Times New Roman" w:eastAsia="宋体" w:cs="Times New Roman"/>
                <w:color w:val="auto"/>
                <w:kern w:val="2"/>
                <w:sz w:val="24"/>
                <w:szCs w:val="22"/>
                <w:highlight w:val="none"/>
                <w:lang w:val="en-US" w:eastAsia="zh-CN" w:bidi="ar-SA"/>
              </w:rPr>
              <w:t>项目拟建设污水处理站，一般污水处理站运营过程中均会有臭味产生。恶臭主要来源于污水、污泥中有机物的分解、发酵过程中散发的化学物质，主要种类有硫化物、氨等。本项目采用地埋式污水处理设施，污水处理站臭气无组织排放量极少。</w:t>
            </w:r>
          </w:p>
          <w:p>
            <w:pPr>
              <w:pStyle w:val="84"/>
              <w:spacing w:line="360" w:lineRule="auto"/>
              <w:ind w:firstLine="480"/>
              <w:rPr>
                <w:rFonts w:hint="default" w:ascii="Times New Roman" w:hAnsi="Times New Roman" w:eastAsia="宋体" w:cs="Times New Roman"/>
                <w:color w:val="auto"/>
                <w:kern w:val="2"/>
                <w:sz w:val="24"/>
                <w:szCs w:val="22"/>
                <w:highlight w:val="none"/>
                <w:lang w:val="en-US" w:eastAsia="zh-CN" w:bidi="ar-SA"/>
              </w:rPr>
            </w:pPr>
            <w:r>
              <w:rPr>
                <w:rFonts w:hint="default" w:ascii="Times New Roman" w:hAnsi="Times New Roman" w:eastAsia="宋体" w:cs="Times New Roman"/>
                <w:color w:val="auto"/>
                <w:kern w:val="2"/>
                <w:sz w:val="24"/>
                <w:szCs w:val="22"/>
                <w:highlight w:val="none"/>
                <w:lang w:val="en-US" w:eastAsia="zh-CN" w:bidi="ar-SA"/>
              </w:rPr>
              <w:t>4、垃圾收集房臭气</w:t>
            </w:r>
          </w:p>
          <w:p>
            <w:pPr>
              <w:pStyle w:val="116"/>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本项目垃圾收集房仅作为垃圾清运前的暂存，不进行垃圾压缩及分拣功能。垃圾收集房属于封闭式设计，垃圾收集入房即关闭房门。</w:t>
            </w:r>
          </w:p>
          <w:p>
            <w:pPr>
              <w:pStyle w:val="116"/>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建设单位每天对垃圾收集房喷洒除臭剂、消毒剂，</w:t>
            </w:r>
            <w:r>
              <w:rPr>
                <w:rFonts w:hint="default" w:ascii="Times New Roman" w:hAnsi="Times New Roman" w:cs="Times New Roman"/>
                <w:color w:val="auto"/>
                <w:highlight w:val="none"/>
                <w:lang w:eastAsia="zh-CN"/>
              </w:rPr>
              <w:t>经常</w:t>
            </w:r>
            <w:r>
              <w:rPr>
                <w:rFonts w:hint="default" w:ascii="Times New Roman" w:hAnsi="Times New Roman" w:cs="Times New Roman"/>
                <w:color w:val="auto"/>
                <w:highlight w:val="none"/>
              </w:rPr>
              <w:t>地面清洗处理，则垃圾收集房产生的恶臭较少，对周围空气环境影响较小。</w:t>
            </w:r>
          </w:p>
          <w:p>
            <w:pPr>
              <w:adjustRightInd w:val="0"/>
              <w:spacing w:line="360" w:lineRule="auto"/>
              <w:ind w:firstLine="482" w:firstLineChars="200"/>
              <w:rPr>
                <w:rFonts w:hint="default" w:ascii="Times New Roman" w:hAnsi="Times New Roman" w:cs="Times New Roman"/>
                <w:b/>
                <w:bCs/>
                <w:color w:val="auto"/>
                <w:sz w:val="24"/>
                <w:highlight w:val="none"/>
              </w:rPr>
            </w:pPr>
            <w:bookmarkStart w:id="17" w:name="_Toc477702084"/>
            <w:r>
              <w:rPr>
                <w:rFonts w:hint="default" w:ascii="Times New Roman" w:hAnsi="Times New Roman" w:cs="Times New Roman"/>
                <w:b/>
                <w:bCs/>
                <w:color w:val="auto"/>
                <w:sz w:val="24"/>
                <w:highlight w:val="none"/>
              </w:rPr>
              <w:t>二、</w:t>
            </w:r>
            <w:bookmarkEnd w:id="17"/>
            <w:r>
              <w:rPr>
                <w:rFonts w:hint="default" w:ascii="Times New Roman" w:hAnsi="Times New Roman" w:cs="Times New Roman"/>
                <w:b/>
                <w:bCs/>
                <w:color w:val="auto"/>
                <w:sz w:val="24"/>
                <w:highlight w:val="none"/>
              </w:rPr>
              <w:t>水环境影响分析</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本项目废水主要为各类医疗活动产生的医疗废水、洗衣房废水和生活污水。主要污染因子包括：COD</w:t>
            </w:r>
            <w:r>
              <w:rPr>
                <w:rFonts w:hint="default" w:ascii="Times New Roman" w:hAnsi="Times New Roman" w:cs="Times New Roman"/>
                <w:color w:val="auto"/>
                <w:sz w:val="24"/>
                <w:highlight w:val="none"/>
                <w:vertAlign w:val="subscript"/>
                <w:lang w:eastAsia="zh-CN"/>
              </w:rPr>
              <w:t>Cr</w:t>
            </w:r>
            <w:r>
              <w:rPr>
                <w:rFonts w:hint="default" w:ascii="Times New Roman" w:hAnsi="Times New Roman" w:cs="Times New Roman"/>
                <w:color w:val="auto"/>
                <w:sz w:val="24"/>
                <w:highlight w:val="none"/>
                <w:lang w:eastAsia="zh-CN"/>
              </w:rPr>
              <w:t>、BOD</w:t>
            </w:r>
            <w:r>
              <w:rPr>
                <w:rFonts w:hint="default" w:ascii="Times New Roman" w:hAnsi="Times New Roman" w:cs="Times New Roman"/>
                <w:color w:val="auto"/>
                <w:sz w:val="24"/>
                <w:highlight w:val="none"/>
                <w:vertAlign w:val="subscript"/>
                <w:lang w:eastAsia="zh-CN"/>
              </w:rPr>
              <w:t>5</w:t>
            </w:r>
            <w:r>
              <w:rPr>
                <w:rFonts w:hint="default" w:ascii="Times New Roman" w:hAnsi="Times New Roman" w:cs="Times New Roman"/>
                <w:color w:val="auto"/>
                <w:sz w:val="24"/>
                <w:highlight w:val="none"/>
                <w:lang w:eastAsia="zh-CN"/>
              </w:rPr>
              <w:t>、SS、氨氮、粪大肠菌群等。污水（</w:t>
            </w:r>
            <w:r>
              <w:rPr>
                <w:rFonts w:hint="eastAsia" w:cs="Times New Roman"/>
                <w:color w:val="auto"/>
                <w:sz w:val="24"/>
                <w:highlight w:val="none"/>
                <w:lang w:val="en-US" w:eastAsia="zh-CN"/>
              </w:rPr>
              <w:t>39.49</w:t>
            </w:r>
            <w:r>
              <w:rPr>
                <w:rFonts w:hint="default" w:ascii="Times New Roman" w:hAnsi="Times New Roman" w:cs="Times New Roman"/>
                <w:color w:val="auto"/>
                <w:sz w:val="24"/>
                <w:highlight w:val="none"/>
                <w:lang w:eastAsia="zh-CN"/>
              </w:rPr>
              <w:t>m</w:t>
            </w:r>
            <w:r>
              <w:rPr>
                <w:rFonts w:hint="default" w:ascii="Times New Roman" w:hAnsi="Times New Roman" w:cs="Times New Roman"/>
                <w:color w:val="auto"/>
                <w:sz w:val="24"/>
                <w:highlight w:val="none"/>
                <w:vertAlign w:val="superscript"/>
                <w:lang w:eastAsia="zh-CN"/>
              </w:rPr>
              <w:t>3</w:t>
            </w:r>
            <w:r>
              <w:rPr>
                <w:rFonts w:hint="default" w:ascii="Times New Roman" w:hAnsi="Times New Roman" w:cs="Times New Roman"/>
                <w:color w:val="auto"/>
                <w:sz w:val="24"/>
                <w:highlight w:val="none"/>
                <w:lang w:eastAsia="zh-CN"/>
              </w:rPr>
              <w:t>/d）经“调节池+生化+沉淀+消毒”工艺处理达到</w:t>
            </w:r>
            <w:r>
              <w:rPr>
                <w:rFonts w:hint="default" w:ascii="Times New Roman" w:hAnsi="Times New Roman" w:cs="Times New Roman"/>
                <w:color w:val="auto"/>
                <w:spacing w:val="8"/>
                <w:sz w:val="24"/>
                <w:highlight w:val="none"/>
                <w:lang w:eastAsia="zh-CN"/>
              </w:rPr>
              <w:t>《城市污水再生利用</w:t>
            </w:r>
            <w:r>
              <w:rPr>
                <w:rFonts w:hint="default" w:ascii="Times New Roman" w:hAnsi="Times New Roman" w:cs="Times New Roman"/>
                <w:color w:val="auto"/>
                <w:spacing w:val="8"/>
                <w:sz w:val="24"/>
                <w:highlight w:val="none"/>
                <w:lang w:val="en-US" w:eastAsia="zh-CN"/>
              </w:rPr>
              <w:t xml:space="preserve"> 城市杂用水水质》（GB/T18920-2002）</w:t>
            </w:r>
            <w:r>
              <w:rPr>
                <w:rFonts w:hint="default" w:ascii="Times New Roman" w:hAnsi="Times New Roman" w:cs="Times New Roman"/>
                <w:color w:val="auto"/>
                <w:spacing w:val="8"/>
                <w:sz w:val="24"/>
                <w:lang w:val="en-US" w:eastAsia="zh-CN"/>
              </w:rPr>
              <w:t>中“城市绿化”标准后回用项目周边绿化用水</w:t>
            </w:r>
            <w:r>
              <w:rPr>
                <w:rFonts w:hint="default" w:ascii="Times New Roman" w:hAnsi="Times New Roman" w:cs="Times New Roman"/>
                <w:color w:val="auto"/>
                <w:sz w:val="24"/>
                <w:highlight w:val="none"/>
                <w:lang w:eastAsia="zh-CN"/>
              </w:rPr>
              <w:t>。</w:t>
            </w:r>
          </w:p>
          <w:p>
            <w:pPr>
              <w:pStyle w:val="116"/>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项目拟自建污水处理站对本项目污水进行处理，结合实际的废水产生量，考虑一定的余量，污水站的设计规模取</w:t>
            </w:r>
            <w:r>
              <w:rPr>
                <w:rFonts w:hint="eastAsia" w:ascii="Times New Roman" w:hAnsi="Times New Roman" w:cs="Times New Roman"/>
                <w:color w:val="auto"/>
                <w:highlight w:val="none"/>
                <w:lang w:val="en-US" w:eastAsia="zh-CN"/>
              </w:rPr>
              <w:t>50</w:t>
            </w:r>
            <w:r>
              <w:rPr>
                <w:rFonts w:hint="default" w:ascii="Times New Roman" w:hAnsi="Times New Roman" w:cs="Times New Roman"/>
                <w:color w:val="auto"/>
                <w:highlight w:val="none"/>
              </w:rPr>
              <w:t>t/d。污水处理站采用“调节池+生化+沉淀+消毒”处理工艺对医院污水进行处理，详细工艺流程见图7-1。</w:t>
            </w:r>
          </w:p>
          <w:p>
            <w:pPr>
              <w:adjustRightInd w:val="0"/>
              <w:spacing w:line="360" w:lineRule="auto"/>
              <w:jc w:val="center"/>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eastAsia="zh-CN"/>
              </w:rPr>
              <w:drawing>
                <wp:inline distT="0" distB="0" distL="114300" distR="114300">
                  <wp:extent cx="5939790" cy="1364615"/>
                  <wp:effectExtent l="0" t="0" r="3810" b="6985"/>
                  <wp:docPr id="12" name="图片 12" descr="1564626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564626728"/>
                          <pic:cNvPicPr>
                            <a:picLocks noChangeAspect="1"/>
                          </pic:cNvPicPr>
                        </pic:nvPicPr>
                        <pic:blipFill>
                          <a:blip r:embed="rId19"/>
                          <a:stretch>
                            <a:fillRect/>
                          </a:stretch>
                        </pic:blipFill>
                        <pic:spPr>
                          <a:xfrm>
                            <a:off x="0" y="0"/>
                            <a:ext cx="5939790" cy="1364615"/>
                          </a:xfrm>
                          <a:prstGeom prst="rect">
                            <a:avLst/>
                          </a:prstGeom>
                        </pic:spPr>
                      </pic:pic>
                    </a:graphicData>
                  </a:graphic>
                </wp:inline>
              </w:drawing>
            </w:r>
          </w:p>
          <w:p>
            <w:pPr>
              <w:pStyle w:val="117"/>
              <w:rPr>
                <w:rFonts w:hint="default" w:ascii="Times New Roman" w:hAnsi="Times New Roman" w:cs="Times New Roman"/>
                <w:color w:val="auto"/>
                <w:highlight w:val="none"/>
              </w:rPr>
            </w:pPr>
            <w:r>
              <w:rPr>
                <w:rFonts w:hint="default" w:ascii="Times New Roman" w:hAnsi="Times New Roman" w:cs="Times New Roman"/>
                <w:color w:val="auto"/>
                <w:highlight w:val="none"/>
              </w:rPr>
              <w:t>图7-1  污水处理站工艺流程图</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工艺流程说明：</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污</w:t>
            </w:r>
            <w:r>
              <w:rPr>
                <w:rFonts w:hint="default" w:ascii="Times New Roman" w:hAnsi="Times New Roman" w:cs="Times New Roman"/>
                <w:color w:val="auto"/>
                <w:sz w:val="24"/>
                <w:highlight w:val="none"/>
                <w:lang w:eastAsia="zh-CN"/>
              </w:rPr>
              <w:t>废</w:t>
            </w:r>
            <w:r>
              <w:rPr>
                <w:rFonts w:hint="default" w:ascii="Times New Roman" w:hAnsi="Times New Roman" w:cs="Times New Roman"/>
                <w:color w:val="auto"/>
                <w:sz w:val="24"/>
                <w:highlight w:val="none"/>
              </w:rPr>
              <w:t>水先经过格栅去除水中悬浮有机物，采用不锈钢自动格栅；医院污水变化系数较大，为保证后续生化处理装置的稳定运行和处理效果，污水在调节池内均衡水量和水质后再由潜污泵提升至接触氧化池中进行有机物的降解，在</w:t>
            </w:r>
            <w:r>
              <w:rPr>
                <w:rFonts w:hint="eastAsia" w:cs="Times New Roman"/>
                <w:color w:val="auto"/>
                <w:sz w:val="24"/>
                <w:highlight w:val="none"/>
                <w:lang w:eastAsia="zh-CN"/>
              </w:rPr>
              <w:t>沉淀池</w:t>
            </w:r>
            <w:r>
              <w:rPr>
                <w:rFonts w:hint="default" w:ascii="Times New Roman" w:hAnsi="Times New Roman" w:cs="Times New Roman"/>
                <w:color w:val="auto"/>
                <w:sz w:val="24"/>
                <w:highlight w:val="none"/>
              </w:rPr>
              <w:t>中泥水分离，出水经消毒后排放。</w:t>
            </w:r>
            <w:r>
              <w:rPr>
                <w:rFonts w:hint="eastAsia" w:cs="Times New Roman"/>
                <w:color w:val="auto"/>
                <w:sz w:val="24"/>
                <w:highlight w:val="none"/>
                <w:lang w:eastAsia="zh-CN"/>
              </w:rPr>
              <w:t>沉淀池</w:t>
            </w:r>
            <w:r>
              <w:rPr>
                <w:rFonts w:hint="default" w:ascii="Times New Roman" w:hAnsi="Times New Roman" w:cs="Times New Roman"/>
                <w:color w:val="auto"/>
                <w:sz w:val="24"/>
                <w:highlight w:val="none"/>
              </w:rPr>
              <w:t>中剩余污泥进入污泥浓缩池回流至氧化池处理。</w:t>
            </w:r>
          </w:p>
          <w:p>
            <w:pPr>
              <w:adjustRightIn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eastAsia="zh-CN"/>
              </w:rPr>
              <w:t>污废水中主要污染物排放情况见表</w:t>
            </w:r>
            <w:r>
              <w:rPr>
                <w:rFonts w:hint="default" w:ascii="Times New Roman" w:hAnsi="Times New Roman" w:cs="Times New Roman"/>
                <w:color w:val="auto"/>
                <w:sz w:val="24"/>
                <w:highlight w:val="none"/>
                <w:lang w:val="en-US" w:eastAsia="zh-CN"/>
              </w:rPr>
              <w:t>7-5。</w:t>
            </w:r>
          </w:p>
          <w:p>
            <w:pPr>
              <w:pStyle w:val="117"/>
              <w:rPr>
                <w:rFonts w:hint="default" w:ascii="Times New Roman" w:hAnsi="Times New Roman" w:cs="Times New Roman"/>
                <w:color w:val="auto"/>
                <w:highlight w:val="none"/>
              </w:rPr>
            </w:pPr>
            <w:r>
              <w:rPr>
                <w:rFonts w:hint="default" w:ascii="Times New Roman" w:hAnsi="Times New Roman" w:cs="Times New Roman"/>
                <w:color w:val="auto"/>
                <w:highlight w:val="none"/>
              </w:rPr>
              <w:t>表</w:t>
            </w:r>
            <w:r>
              <w:rPr>
                <w:rFonts w:hint="default" w:ascii="Times New Roman" w:hAnsi="Times New Roman" w:cs="Times New Roman"/>
                <w:color w:val="auto"/>
                <w:highlight w:val="none"/>
                <w:lang w:val="en-US" w:eastAsia="zh-CN"/>
              </w:rPr>
              <w:t>7-5</w:t>
            </w:r>
            <w:r>
              <w:rPr>
                <w:rFonts w:hint="default" w:ascii="Times New Roman" w:hAnsi="Times New Roman" w:cs="Times New Roman"/>
                <w:color w:val="auto"/>
                <w:highlight w:val="none"/>
              </w:rPr>
              <w:t xml:space="preserve"> 污水主要污染物排放情况一览表</w:t>
            </w:r>
          </w:p>
          <w:tbl>
            <w:tblPr>
              <w:tblStyle w:val="31"/>
              <w:tblW w:w="8657" w:type="dxa"/>
              <w:jc w:val="center"/>
              <w:tblInd w:w="-15" w:type="dxa"/>
              <w:tblLayout w:type="fixed"/>
              <w:tblCellMar>
                <w:top w:w="0" w:type="dxa"/>
                <w:left w:w="108" w:type="dxa"/>
                <w:bottom w:w="0" w:type="dxa"/>
                <w:right w:w="108" w:type="dxa"/>
              </w:tblCellMar>
            </w:tblPr>
            <w:tblGrid>
              <w:gridCol w:w="1033"/>
              <w:gridCol w:w="891"/>
              <w:gridCol w:w="944"/>
              <w:gridCol w:w="921"/>
              <w:gridCol w:w="856"/>
              <w:gridCol w:w="1014"/>
              <w:gridCol w:w="1170"/>
              <w:gridCol w:w="848"/>
              <w:gridCol w:w="980"/>
            </w:tblGrid>
            <w:tr>
              <w:tblPrEx>
                <w:tblLayout w:type="fixed"/>
                <w:tblCellMar>
                  <w:top w:w="0" w:type="dxa"/>
                  <w:left w:w="108" w:type="dxa"/>
                  <w:bottom w:w="0" w:type="dxa"/>
                  <w:right w:w="108" w:type="dxa"/>
                </w:tblCellMar>
              </w:tblPrEx>
              <w:trPr>
                <w:trHeight w:val="765" w:hRule="atLeast"/>
                <w:jc w:val="center"/>
              </w:trPr>
              <w:tc>
                <w:tcPr>
                  <w:tcW w:w="1033" w:type="dxa"/>
                  <w:tcBorders>
                    <w:top w:val="single" w:color="auto" w:sz="6" w:space="0"/>
                    <w:left w:val="single" w:color="auto" w:sz="4" w:space="0"/>
                    <w:bottom w:val="single" w:color="auto" w:sz="6" w:space="0"/>
                    <w:right w:val="single" w:color="auto" w:sz="6" w:space="0"/>
                  </w:tcBorders>
                  <w:shd w:val="clear" w:color="auto" w:fill="auto"/>
                  <w:vAlign w:val="center"/>
                </w:tcPr>
                <w:p>
                  <w:pPr>
                    <w:pStyle w:val="11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污水量</w:t>
                  </w:r>
                </w:p>
              </w:tc>
              <w:tc>
                <w:tcPr>
                  <w:tcW w:w="891" w:type="dxa"/>
                  <w:tcBorders>
                    <w:top w:val="single" w:color="auto" w:sz="8" w:space="0"/>
                    <w:left w:val="single" w:color="auto" w:sz="6" w:space="0"/>
                    <w:bottom w:val="single" w:color="000000" w:sz="8" w:space="0"/>
                    <w:right w:val="single" w:color="auto" w:sz="8" w:space="0"/>
                  </w:tcBorders>
                  <w:shd w:val="clear" w:color="auto" w:fill="auto"/>
                  <w:vAlign w:val="center"/>
                </w:tcPr>
                <w:p>
                  <w:pPr>
                    <w:pStyle w:val="11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污染物</w:t>
                  </w:r>
                </w:p>
              </w:tc>
              <w:tc>
                <w:tcPr>
                  <w:tcW w:w="944" w:type="dxa"/>
                  <w:tcBorders>
                    <w:top w:val="single" w:color="auto" w:sz="8" w:space="0"/>
                    <w:left w:val="single" w:color="auto" w:sz="8" w:space="0"/>
                    <w:bottom w:val="single" w:color="000000" w:sz="8" w:space="0"/>
                    <w:right w:val="single" w:color="auto" w:sz="8" w:space="0"/>
                  </w:tcBorders>
                  <w:shd w:val="clear" w:color="auto" w:fill="auto"/>
                  <w:vAlign w:val="center"/>
                </w:tcPr>
                <w:p>
                  <w:pPr>
                    <w:pStyle w:val="11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进水浓度mg/L</w:t>
                  </w:r>
                </w:p>
              </w:tc>
              <w:tc>
                <w:tcPr>
                  <w:tcW w:w="921" w:type="dxa"/>
                  <w:tcBorders>
                    <w:top w:val="single" w:color="auto" w:sz="8" w:space="0"/>
                    <w:left w:val="single" w:color="auto" w:sz="8" w:space="0"/>
                    <w:bottom w:val="single" w:color="000000" w:sz="8" w:space="0"/>
                    <w:right w:val="single" w:color="auto" w:sz="8" w:space="0"/>
                  </w:tcBorders>
                  <w:shd w:val="clear" w:color="auto" w:fill="auto"/>
                  <w:vAlign w:val="center"/>
                </w:tcPr>
                <w:p>
                  <w:pPr>
                    <w:pStyle w:val="11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日进入量kg/d</w:t>
                  </w:r>
                </w:p>
              </w:tc>
              <w:tc>
                <w:tcPr>
                  <w:tcW w:w="856" w:type="dxa"/>
                  <w:tcBorders>
                    <w:top w:val="single" w:color="auto" w:sz="8" w:space="0"/>
                    <w:left w:val="single" w:color="auto" w:sz="8" w:space="0"/>
                    <w:bottom w:val="single" w:color="000000" w:sz="8" w:space="0"/>
                    <w:right w:val="single" w:color="auto" w:sz="8" w:space="0"/>
                  </w:tcBorders>
                  <w:shd w:val="clear" w:color="auto" w:fill="auto"/>
                  <w:vAlign w:val="center"/>
                </w:tcPr>
                <w:p>
                  <w:pPr>
                    <w:pStyle w:val="11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年进入量t/a</w:t>
                  </w:r>
                </w:p>
              </w:tc>
              <w:tc>
                <w:tcPr>
                  <w:tcW w:w="1014" w:type="dxa"/>
                  <w:tcBorders>
                    <w:top w:val="single" w:color="auto" w:sz="8" w:space="0"/>
                    <w:left w:val="single" w:color="auto" w:sz="8" w:space="0"/>
                    <w:bottom w:val="single" w:color="000000" w:sz="8" w:space="0"/>
                    <w:right w:val="single" w:color="auto" w:sz="6" w:space="0"/>
                  </w:tcBorders>
                  <w:shd w:val="clear" w:color="auto" w:fill="auto"/>
                  <w:vAlign w:val="center"/>
                </w:tcPr>
                <w:p>
                  <w:pPr>
                    <w:pStyle w:val="11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排放标准mg/L</w:t>
                  </w:r>
                </w:p>
              </w:tc>
              <w:tc>
                <w:tcPr>
                  <w:tcW w:w="1170"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1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项目排放浓度mg/L</w:t>
                  </w:r>
                </w:p>
              </w:tc>
              <w:tc>
                <w:tcPr>
                  <w:tcW w:w="848"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1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日排放量</w:t>
                  </w:r>
                </w:p>
                <w:p>
                  <w:pPr>
                    <w:pStyle w:val="11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kg/d</w:t>
                  </w:r>
                </w:p>
              </w:tc>
              <w:tc>
                <w:tcPr>
                  <w:tcW w:w="980"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1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排放量</w:t>
                  </w:r>
                </w:p>
                <w:p>
                  <w:pPr>
                    <w:pStyle w:val="118"/>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t/a</w:t>
                  </w:r>
                </w:p>
              </w:tc>
            </w:tr>
            <w:tr>
              <w:tblPrEx>
                <w:tblLayout w:type="fixed"/>
                <w:tblCellMar>
                  <w:top w:w="0" w:type="dxa"/>
                  <w:left w:w="108" w:type="dxa"/>
                  <w:bottom w:w="0" w:type="dxa"/>
                  <w:right w:w="108" w:type="dxa"/>
                </w:tblCellMar>
              </w:tblPrEx>
              <w:trPr>
                <w:trHeight w:val="315" w:hRule="atLeast"/>
                <w:jc w:val="center"/>
              </w:trPr>
              <w:tc>
                <w:tcPr>
                  <w:tcW w:w="1033" w:type="dxa"/>
                  <w:vMerge w:val="restart"/>
                  <w:tcBorders>
                    <w:top w:val="single" w:color="auto" w:sz="6" w:space="0"/>
                    <w:left w:val="single" w:color="auto" w:sz="4" w:space="0"/>
                    <w:bottom w:val="single" w:color="auto" w:sz="6" w:space="0"/>
                    <w:right w:val="single" w:color="auto" w:sz="6" w:space="0"/>
                  </w:tcBorders>
                  <w:shd w:val="clear" w:color="auto" w:fill="auto"/>
                  <w:vAlign w:val="center"/>
                </w:tcPr>
                <w:p>
                  <w:pPr>
                    <w:pStyle w:val="118"/>
                    <w:rPr>
                      <w:rFonts w:hint="default" w:ascii="Times New Roman" w:hAnsi="Times New Roman" w:cs="Times New Roman"/>
                      <w:color w:val="auto"/>
                      <w:highlight w:val="none"/>
                    </w:rPr>
                  </w:pPr>
                  <w:r>
                    <w:rPr>
                      <w:rFonts w:hint="eastAsia" w:cs="Times New Roman"/>
                      <w:color w:val="auto"/>
                      <w:highlight w:val="none"/>
                      <w:lang w:val="en-US" w:eastAsia="zh-CN"/>
                    </w:rPr>
                    <w:t>39.49</w:t>
                  </w:r>
                  <w:r>
                    <w:rPr>
                      <w:rFonts w:hint="default" w:ascii="Times New Roman" w:hAnsi="Times New Roman" w:cs="Times New Roman"/>
                      <w:color w:val="auto"/>
                      <w:highlight w:val="none"/>
                    </w:rPr>
                    <w:t>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/d</w:t>
                  </w:r>
                </w:p>
              </w:tc>
              <w:tc>
                <w:tcPr>
                  <w:tcW w:w="891" w:type="dxa"/>
                  <w:tcBorders>
                    <w:top w:val="nil"/>
                    <w:left w:val="single" w:color="auto" w:sz="6" w:space="0"/>
                    <w:bottom w:val="single" w:color="auto" w:sz="8" w:space="0"/>
                    <w:right w:val="single" w:color="auto" w:sz="8" w:space="0"/>
                  </w:tcBorders>
                  <w:shd w:val="clear" w:color="auto" w:fill="auto"/>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COD</w:t>
                  </w:r>
                  <w:r>
                    <w:rPr>
                      <w:rFonts w:hint="default" w:ascii="Times New Roman" w:hAnsi="Times New Roman" w:cs="Times New Roman"/>
                      <w:color w:val="auto"/>
                      <w:highlight w:val="none"/>
                      <w:vertAlign w:val="subscript"/>
                    </w:rPr>
                    <w:t>Cr</w:t>
                  </w:r>
                </w:p>
              </w:tc>
              <w:tc>
                <w:tcPr>
                  <w:tcW w:w="944" w:type="dxa"/>
                  <w:tcBorders>
                    <w:top w:val="nil"/>
                    <w:left w:val="nil"/>
                    <w:bottom w:val="single" w:color="auto" w:sz="8" w:space="0"/>
                    <w:right w:val="single" w:color="auto" w:sz="8" w:space="0"/>
                  </w:tcBorders>
                  <w:shd w:val="clear" w:color="auto" w:fill="auto"/>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500</w:t>
                  </w:r>
                </w:p>
              </w:tc>
              <w:tc>
                <w:tcPr>
                  <w:tcW w:w="921" w:type="dxa"/>
                  <w:tcBorders>
                    <w:top w:val="nil"/>
                    <w:left w:val="nil"/>
                    <w:bottom w:val="single" w:color="auto" w:sz="8" w:space="0"/>
                    <w:right w:val="single" w:color="auto" w:sz="8" w:space="0"/>
                  </w:tcBorders>
                  <w:shd w:val="clear" w:color="auto" w:fill="auto"/>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19.7</w:t>
                  </w:r>
                </w:p>
              </w:tc>
              <w:tc>
                <w:tcPr>
                  <w:tcW w:w="856" w:type="dxa"/>
                  <w:tcBorders>
                    <w:top w:val="nil"/>
                    <w:left w:val="nil"/>
                    <w:bottom w:val="single" w:color="auto" w:sz="8" w:space="0"/>
                    <w:right w:val="single" w:color="auto" w:sz="8" w:space="0"/>
                  </w:tcBorders>
                  <w:shd w:val="clear" w:color="auto" w:fill="auto"/>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7.19</w:t>
                  </w:r>
                </w:p>
              </w:tc>
              <w:tc>
                <w:tcPr>
                  <w:tcW w:w="1014" w:type="dxa"/>
                  <w:tcBorders>
                    <w:top w:val="nil"/>
                    <w:left w:val="nil"/>
                    <w:bottom w:val="single" w:color="auto" w:sz="8" w:space="0"/>
                    <w:right w:val="single" w:color="auto" w:sz="6" w:space="0"/>
                  </w:tcBorders>
                  <w:shd w:val="clear" w:color="auto" w:fill="auto"/>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w:t>
                  </w:r>
                </w:p>
              </w:tc>
              <w:tc>
                <w:tcPr>
                  <w:tcW w:w="1170"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100</w:t>
                  </w:r>
                </w:p>
              </w:tc>
              <w:tc>
                <w:tcPr>
                  <w:tcW w:w="848"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0.0039</w:t>
                  </w:r>
                </w:p>
              </w:tc>
              <w:tc>
                <w:tcPr>
                  <w:tcW w:w="980"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1.42</w:t>
                  </w:r>
                </w:p>
              </w:tc>
            </w:tr>
            <w:tr>
              <w:tblPrEx>
                <w:tblLayout w:type="fixed"/>
                <w:tblCellMar>
                  <w:top w:w="0" w:type="dxa"/>
                  <w:left w:w="108" w:type="dxa"/>
                  <w:bottom w:w="0" w:type="dxa"/>
                  <w:right w:w="108" w:type="dxa"/>
                </w:tblCellMar>
              </w:tblPrEx>
              <w:trPr>
                <w:trHeight w:val="315" w:hRule="atLeast"/>
                <w:jc w:val="center"/>
              </w:trPr>
              <w:tc>
                <w:tcPr>
                  <w:tcW w:w="1033" w:type="dxa"/>
                  <w:vMerge w:val="continue"/>
                  <w:tcBorders>
                    <w:top w:val="single" w:color="auto" w:sz="6" w:space="0"/>
                    <w:left w:val="single" w:color="auto" w:sz="4" w:space="0"/>
                    <w:bottom w:val="single" w:color="auto" w:sz="6" w:space="0"/>
                    <w:right w:val="single" w:color="auto" w:sz="6" w:space="0"/>
                  </w:tcBorders>
                  <w:shd w:val="clear" w:color="auto" w:fill="auto"/>
                  <w:vAlign w:val="center"/>
                </w:tcPr>
                <w:p>
                  <w:pPr>
                    <w:pStyle w:val="118"/>
                    <w:rPr>
                      <w:rFonts w:hint="default" w:ascii="Times New Roman" w:hAnsi="Times New Roman" w:cs="Times New Roman"/>
                      <w:color w:val="auto"/>
                      <w:highlight w:val="none"/>
                    </w:rPr>
                  </w:pPr>
                </w:p>
              </w:tc>
              <w:tc>
                <w:tcPr>
                  <w:tcW w:w="891" w:type="dxa"/>
                  <w:tcBorders>
                    <w:top w:val="nil"/>
                    <w:left w:val="single" w:color="auto" w:sz="6" w:space="0"/>
                    <w:bottom w:val="single" w:color="auto" w:sz="8" w:space="0"/>
                    <w:right w:val="single" w:color="auto" w:sz="8" w:space="0"/>
                  </w:tcBorders>
                  <w:shd w:val="clear" w:color="auto" w:fill="auto"/>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BOD</w:t>
                  </w:r>
                  <w:r>
                    <w:rPr>
                      <w:rFonts w:hint="default" w:ascii="Times New Roman" w:hAnsi="Times New Roman" w:cs="Times New Roman"/>
                      <w:color w:val="auto"/>
                      <w:highlight w:val="none"/>
                      <w:vertAlign w:val="subscript"/>
                    </w:rPr>
                    <w:t>5</w:t>
                  </w:r>
                </w:p>
              </w:tc>
              <w:tc>
                <w:tcPr>
                  <w:tcW w:w="944" w:type="dxa"/>
                  <w:tcBorders>
                    <w:top w:val="nil"/>
                    <w:left w:val="nil"/>
                    <w:bottom w:val="single" w:color="auto" w:sz="8" w:space="0"/>
                    <w:right w:val="single" w:color="auto" w:sz="8" w:space="0"/>
                  </w:tcBorders>
                  <w:shd w:val="clear" w:color="auto" w:fill="auto"/>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300</w:t>
                  </w:r>
                </w:p>
              </w:tc>
              <w:tc>
                <w:tcPr>
                  <w:tcW w:w="921" w:type="dxa"/>
                  <w:tcBorders>
                    <w:top w:val="nil"/>
                    <w:left w:val="nil"/>
                    <w:bottom w:val="single" w:color="auto" w:sz="8" w:space="0"/>
                    <w:right w:val="single" w:color="auto" w:sz="8" w:space="0"/>
                  </w:tcBorders>
                  <w:shd w:val="clear" w:color="auto" w:fill="auto"/>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11.8</w:t>
                  </w:r>
                </w:p>
              </w:tc>
              <w:tc>
                <w:tcPr>
                  <w:tcW w:w="856" w:type="dxa"/>
                  <w:tcBorders>
                    <w:top w:val="nil"/>
                    <w:left w:val="nil"/>
                    <w:bottom w:val="single" w:color="auto" w:sz="8" w:space="0"/>
                    <w:right w:val="single" w:color="auto" w:sz="8" w:space="0"/>
                  </w:tcBorders>
                  <w:shd w:val="clear" w:color="auto" w:fill="auto"/>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4.31</w:t>
                  </w:r>
                </w:p>
              </w:tc>
              <w:tc>
                <w:tcPr>
                  <w:tcW w:w="1014" w:type="dxa"/>
                  <w:tcBorders>
                    <w:top w:val="nil"/>
                    <w:left w:val="nil"/>
                    <w:bottom w:val="single" w:color="auto" w:sz="8" w:space="0"/>
                    <w:right w:val="single" w:color="auto" w:sz="8" w:space="0"/>
                  </w:tcBorders>
                  <w:shd w:val="clear" w:color="auto" w:fill="auto"/>
                  <w:vAlign w:val="center"/>
                </w:tcPr>
                <w:p>
                  <w:pPr>
                    <w:pStyle w:val="118"/>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rPr>
                    <w:t>≤</w:t>
                  </w:r>
                  <w:r>
                    <w:rPr>
                      <w:rFonts w:hint="eastAsia" w:cs="Times New Roman"/>
                      <w:color w:val="auto"/>
                      <w:highlight w:val="none"/>
                      <w:lang w:val="en-US" w:eastAsia="zh-CN"/>
                    </w:rPr>
                    <w:t>20</w:t>
                  </w:r>
                </w:p>
              </w:tc>
              <w:tc>
                <w:tcPr>
                  <w:tcW w:w="1170" w:type="dxa"/>
                  <w:tcBorders>
                    <w:top w:val="single" w:color="auto" w:sz="6" w:space="0"/>
                    <w:left w:val="nil"/>
                    <w:bottom w:val="single" w:color="auto" w:sz="8" w:space="0"/>
                    <w:right w:val="single" w:color="auto" w:sz="8" w:space="0"/>
                  </w:tcBorders>
                  <w:shd w:val="clear" w:color="auto" w:fill="auto"/>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20</w:t>
                  </w:r>
                </w:p>
              </w:tc>
              <w:tc>
                <w:tcPr>
                  <w:tcW w:w="848" w:type="dxa"/>
                  <w:tcBorders>
                    <w:top w:val="single" w:color="auto" w:sz="6" w:space="0"/>
                    <w:left w:val="nil"/>
                    <w:bottom w:val="single" w:color="auto" w:sz="8" w:space="0"/>
                    <w:right w:val="single" w:color="auto" w:sz="8" w:space="0"/>
                  </w:tcBorders>
                  <w:shd w:val="clear" w:color="auto" w:fill="auto"/>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0.0008</w:t>
                  </w:r>
                </w:p>
              </w:tc>
              <w:tc>
                <w:tcPr>
                  <w:tcW w:w="980" w:type="dxa"/>
                  <w:tcBorders>
                    <w:top w:val="single" w:color="auto" w:sz="6" w:space="0"/>
                    <w:left w:val="nil"/>
                    <w:bottom w:val="single" w:color="auto" w:sz="8" w:space="0"/>
                    <w:right w:val="single" w:color="auto" w:sz="8" w:space="0"/>
                  </w:tcBorders>
                  <w:shd w:val="clear" w:color="auto" w:fill="auto"/>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0.292</w:t>
                  </w:r>
                </w:p>
              </w:tc>
            </w:tr>
            <w:tr>
              <w:tblPrEx>
                <w:tblLayout w:type="fixed"/>
                <w:tblCellMar>
                  <w:top w:w="0" w:type="dxa"/>
                  <w:left w:w="108" w:type="dxa"/>
                  <w:bottom w:w="0" w:type="dxa"/>
                  <w:right w:w="108" w:type="dxa"/>
                </w:tblCellMar>
              </w:tblPrEx>
              <w:trPr>
                <w:trHeight w:val="285" w:hRule="atLeast"/>
                <w:jc w:val="center"/>
              </w:trPr>
              <w:tc>
                <w:tcPr>
                  <w:tcW w:w="1033" w:type="dxa"/>
                  <w:vMerge w:val="continue"/>
                  <w:tcBorders>
                    <w:top w:val="single" w:color="auto" w:sz="6" w:space="0"/>
                    <w:left w:val="single" w:color="auto" w:sz="4" w:space="0"/>
                    <w:bottom w:val="single" w:color="auto" w:sz="6" w:space="0"/>
                    <w:right w:val="single" w:color="auto" w:sz="6" w:space="0"/>
                  </w:tcBorders>
                  <w:shd w:val="clear" w:color="auto" w:fill="auto"/>
                  <w:vAlign w:val="center"/>
                </w:tcPr>
                <w:p>
                  <w:pPr>
                    <w:pStyle w:val="118"/>
                    <w:rPr>
                      <w:rFonts w:hint="default" w:ascii="Times New Roman" w:hAnsi="Times New Roman" w:cs="Times New Roman"/>
                      <w:color w:val="auto"/>
                      <w:highlight w:val="none"/>
                    </w:rPr>
                  </w:pPr>
                </w:p>
              </w:tc>
              <w:tc>
                <w:tcPr>
                  <w:tcW w:w="891" w:type="dxa"/>
                  <w:tcBorders>
                    <w:top w:val="nil"/>
                    <w:left w:val="single" w:color="auto" w:sz="6" w:space="0"/>
                    <w:bottom w:val="single" w:color="auto" w:sz="8" w:space="0"/>
                    <w:right w:val="single" w:color="auto" w:sz="8" w:space="0"/>
                  </w:tcBorders>
                  <w:shd w:val="clear" w:color="auto" w:fill="auto"/>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SS</w:t>
                  </w:r>
                </w:p>
              </w:tc>
              <w:tc>
                <w:tcPr>
                  <w:tcW w:w="944" w:type="dxa"/>
                  <w:tcBorders>
                    <w:top w:val="nil"/>
                    <w:left w:val="nil"/>
                    <w:bottom w:val="single" w:color="auto" w:sz="8" w:space="0"/>
                    <w:right w:val="single" w:color="auto" w:sz="8" w:space="0"/>
                  </w:tcBorders>
                  <w:shd w:val="clear" w:color="auto" w:fill="auto"/>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300</w:t>
                  </w:r>
                </w:p>
              </w:tc>
              <w:tc>
                <w:tcPr>
                  <w:tcW w:w="921" w:type="dxa"/>
                  <w:tcBorders>
                    <w:top w:val="nil"/>
                    <w:left w:val="nil"/>
                    <w:bottom w:val="single" w:color="auto" w:sz="8" w:space="0"/>
                    <w:right w:val="single" w:color="auto" w:sz="8" w:space="0"/>
                  </w:tcBorders>
                  <w:shd w:val="clear" w:color="auto" w:fill="auto"/>
                  <w:vAlign w:val="center"/>
                </w:tcPr>
                <w:p>
                  <w:pPr>
                    <w:pStyle w:val="118"/>
                    <w:rPr>
                      <w:rFonts w:hint="default" w:ascii="Times New Roman" w:hAnsi="Times New Roman" w:cs="Times New Roman"/>
                      <w:color w:val="auto"/>
                      <w:highlight w:val="none"/>
                      <w:lang w:val="en-US"/>
                    </w:rPr>
                  </w:pPr>
                  <w:r>
                    <w:rPr>
                      <w:rFonts w:hint="eastAsia" w:cs="Times New Roman"/>
                      <w:color w:val="auto"/>
                      <w:highlight w:val="none"/>
                      <w:lang w:val="en-US" w:eastAsia="zh-CN"/>
                    </w:rPr>
                    <w:t>11.8</w:t>
                  </w:r>
                </w:p>
              </w:tc>
              <w:tc>
                <w:tcPr>
                  <w:tcW w:w="856" w:type="dxa"/>
                  <w:tcBorders>
                    <w:top w:val="nil"/>
                    <w:left w:val="nil"/>
                    <w:bottom w:val="single" w:color="auto" w:sz="8" w:space="0"/>
                    <w:right w:val="single" w:color="auto" w:sz="8" w:space="0"/>
                  </w:tcBorders>
                  <w:shd w:val="clear" w:color="auto" w:fill="auto"/>
                  <w:vAlign w:val="center"/>
                </w:tcPr>
                <w:p>
                  <w:pPr>
                    <w:pStyle w:val="118"/>
                    <w:rPr>
                      <w:rFonts w:hint="default" w:ascii="Times New Roman" w:hAnsi="Times New Roman" w:cs="Times New Roman"/>
                      <w:color w:val="auto"/>
                      <w:highlight w:val="none"/>
                      <w:lang w:val="en-US"/>
                    </w:rPr>
                  </w:pPr>
                  <w:r>
                    <w:rPr>
                      <w:rFonts w:hint="eastAsia" w:cs="Times New Roman"/>
                      <w:color w:val="auto"/>
                      <w:highlight w:val="none"/>
                      <w:lang w:val="en-US" w:eastAsia="zh-CN"/>
                    </w:rPr>
                    <w:t>4.31</w:t>
                  </w:r>
                </w:p>
              </w:tc>
              <w:tc>
                <w:tcPr>
                  <w:tcW w:w="1014" w:type="dxa"/>
                  <w:tcBorders>
                    <w:top w:val="nil"/>
                    <w:left w:val="nil"/>
                    <w:bottom w:val="single" w:color="auto" w:sz="8" w:space="0"/>
                    <w:right w:val="single" w:color="auto" w:sz="8" w:space="0"/>
                  </w:tcBorders>
                  <w:shd w:val="clear" w:color="auto" w:fill="auto"/>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w:t>
                  </w:r>
                </w:p>
              </w:tc>
              <w:tc>
                <w:tcPr>
                  <w:tcW w:w="1170" w:type="dxa"/>
                  <w:tcBorders>
                    <w:top w:val="nil"/>
                    <w:left w:val="nil"/>
                    <w:bottom w:val="single" w:color="auto" w:sz="8" w:space="0"/>
                    <w:right w:val="single" w:color="auto" w:sz="8" w:space="0"/>
                  </w:tcBorders>
                  <w:shd w:val="clear" w:color="auto" w:fill="auto"/>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60</w:t>
                  </w:r>
                </w:p>
              </w:tc>
              <w:tc>
                <w:tcPr>
                  <w:tcW w:w="848" w:type="dxa"/>
                  <w:tcBorders>
                    <w:top w:val="nil"/>
                    <w:left w:val="nil"/>
                    <w:bottom w:val="single" w:color="auto" w:sz="8" w:space="0"/>
                    <w:right w:val="single" w:color="auto" w:sz="8" w:space="0"/>
                  </w:tcBorders>
                  <w:shd w:val="clear" w:color="auto" w:fill="auto"/>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0.0024</w:t>
                  </w:r>
                </w:p>
              </w:tc>
              <w:tc>
                <w:tcPr>
                  <w:tcW w:w="980" w:type="dxa"/>
                  <w:tcBorders>
                    <w:top w:val="nil"/>
                    <w:left w:val="nil"/>
                    <w:bottom w:val="single" w:color="auto" w:sz="8" w:space="0"/>
                    <w:right w:val="single" w:color="auto" w:sz="8" w:space="0"/>
                  </w:tcBorders>
                  <w:shd w:val="clear" w:color="auto" w:fill="auto"/>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0.876</w:t>
                  </w:r>
                </w:p>
              </w:tc>
            </w:tr>
            <w:tr>
              <w:tblPrEx>
                <w:tblLayout w:type="fixed"/>
                <w:tblCellMar>
                  <w:top w:w="0" w:type="dxa"/>
                  <w:left w:w="108" w:type="dxa"/>
                  <w:bottom w:w="0" w:type="dxa"/>
                  <w:right w:w="108" w:type="dxa"/>
                </w:tblCellMar>
              </w:tblPrEx>
              <w:trPr>
                <w:trHeight w:val="285" w:hRule="atLeast"/>
                <w:jc w:val="center"/>
              </w:trPr>
              <w:tc>
                <w:tcPr>
                  <w:tcW w:w="1033" w:type="dxa"/>
                  <w:vMerge w:val="continue"/>
                  <w:tcBorders>
                    <w:top w:val="single" w:color="auto" w:sz="6" w:space="0"/>
                    <w:left w:val="single" w:color="auto" w:sz="4" w:space="0"/>
                    <w:bottom w:val="single" w:color="auto" w:sz="6" w:space="0"/>
                    <w:right w:val="single" w:color="auto" w:sz="6" w:space="0"/>
                  </w:tcBorders>
                  <w:shd w:val="clear" w:color="auto" w:fill="auto"/>
                  <w:vAlign w:val="center"/>
                </w:tcPr>
                <w:p>
                  <w:pPr>
                    <w:pStyle w:val="118"/>
                    <w:rPr>
                      <w:rFonts w:hint="default" w:ascii="Times New Roman" w:hAnsi="Times New Roman" w:cs="Times New Roman"/>
                      <w:color w:val="auto"/>
                      <w:highlight w:val="none"/>
                    </w:rPr>
                  </w:pPr>
                </w:p>
              </w:tc>
              <w:tc>
                <w:tcPr>
                  <w:tcW w:w="891" w:type="dxa"/>
                  <w:tcBorders>
                    <w:top w:val="nil"/>
                    <w:left w:val="single" w:color="auto" w:sz="6" w:space="0"/>
                    <w:bottom w:val="single" w:color="auto" w:sz="8" w:space="0"/>
                    <w:right w:val="single" w:color="auto" w:sz="8" w:space="0"/>
                  </w:tcBorders>
                  <w:shd w:val="clear" w:color="auto" w:fill="auto"/>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氨氮</w:t>
                  </w:r>
                </w:p>
              </w:tc>
              <w:tc>
                <w:tcPr>
                  <w:tcW w:w="944" w:type="dxa"/>
                  <w:tcBorders>
                    <w:top w:val="nil"/>
                    <w:left w:val="nil"/>
                    <w:bottom w:val="single" w:color="auto" w:sz="8" w:space="0"/>
                    <w:right w:val="single" w:color="auto" w:sz="8" w:space="0"/>
                  </w:tcBorders>
                  <w:shd w:val="clear" w:color="auto" w:fill="auto"/>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40</w:t>
                  </w:r>
                </w:p>
              </w:tc>
              <w:tc>
                <w:tcPr>
                  <w:tcW w:w="921" w:type="dxa"/>
                  <w:tcBorders>
                    <w:top w:val="nil"/>
                    <w:left w:val="nil"/>
                    <w:bottom w:val="single" w:color="auto" w:sz="8" w:space="0"/>
                    <w:right w:val="single" w:color="auto" w:sz="8" w:space="0"/>
                  </w:tcBorders>
                  <w:shd w:val="clear" w:color="auto" w:fill="auto"/>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1.5</w:t>
                  </w:r>
                </w:p>
              </w:tc>
              <w:tc>
                <w:tcPr>
                  <w:tcW w:w="856" w:type="dxa"/>
                  <w:tcBorders>
                    <w:top w:val="nil"/>
                    <w:left w:val="nil"/>
                    <w:bottom w:val="single" w:color="auto" w:sz="8" w:space="0"/>
                    <w:right w:val="single" w:color="auto" w:sz="8" w:space="0"/>
                  </w:tcBorders>
                  <w:shd w:val="clear" w:color="auto" w:fill="auto"/>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0.55</w:t>
                  </w:r>
                </w:p>
              </w:tc>
              <w:tc>
                <w:tcPr>
                  <w:tcW w:w="1014" w:type="dxa"/>
                  <w:tcBorders>
                    <w:top w:val="nil"/>
                    <w:left w:val="nil"/>
                    <w:bottom w:val="single" w:color="auto" w:sz="8" w:space="0"/>
                    <w:right w:val="single" w:color="auto" w:sz="8" w:space="0"/>
                  </w:tcBorders>
                  <w:shd w:val="clear" w:color="auto" w:fill="auto"/>
                  <w:vAlign w:val="center"/>
                </w:tcPr>
                <w:p>
                  <w:pPr>
                    <w:pStyle w:val="118"/>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rPr>
                    <w:t>≤</w:t>
                  </w:r>
                  <w:r>
                    <w:rPr>
                      <w:rFonts w:hint="eastAsia" w:cs="Times New Roman"/>
                      <w:color w:val="auto"/>
                      <w:highlight w:val="none"/>
                      <w:lang w:val="en-US" w:eastAsia="zh-CN"/>
                    </w:rPr>
                    <w:t>20</w:t>
                  </w:r>
                </w:p>
              </w:tc>
              <w:tc>
                <w:tcPr>
                  <w:tcW w:w="1170" w:type="dxa"/>
                  <w:tcBorders>
                    <w:top w:val="nil"/>
                    <w:left w:val="nil"/>
                    <w:bottom w:val="single" w:color="auto" w:sz="8" w:space="0"/>
                    <w:right w:val="single" w:color="auto" w:sz="8" w:space="0"/>
                  </w:tcBorders>
                  <w:shd w:val="clear" w:color="auto" w:fill="auto"/>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20</w:t>
                  </w:r>
                </w:p>
              </w:tc>
              <w:tc>
                <w:tcPr>
                  <w:tcW w:w="848" w:type="dxa"/>
                  <w:tcBorders>
                    <w:top w:val="nil"/>
                    <w:left w:val="nil"/>
                    <w:bottom w:val="single" w:color="auto" w:sz="8" w:space="0"/>
                    <w:right w:val="single" w:color="auto" w:sz="8" w:space="0"/>
                  </w:tcBorders>
                  <w:shd w:val="clear" w:color="auto" w:fill="auto"/>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0.0008</w:t>
                  </w:r>
                </w:p>
              </w:tc>
              <w:tc>
                <w:tcPr>
                  <w:tcW w:w="980" w:type="dxa"/>
                  <w:tcBorders>
                    <w:top w:val="nil"/>
                    <w:left w:val="nil"/>
                    <w:bottom w:val="single" w:color="auto" w:sz="8" w:space="0"/>
                    <w:right w:val="single" w:color="auto" w:sz="8" w:space="0"/>
                  </w:tcBorders>
                  <w:shd w:val="clear" w:color="auto" w:fill="auto"/>
                  <w:vAlign w:val="center"/>
                </w:tcPr>
                <w:p>
                  <w:pPr>
                    <w:pStyle w:val="118"/>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0.292</w:t>
                  </w:r>
                </w:p>
              </w:tc>
            </w:tr>
            <w:tr>
              <w:tblPrEx>
                <w:tblLayout w:type="fixed"/>
                <w:tblCellMar>
                  <w:top w:w="0" w:type="dxa"/>
                  <w:left w:w="108" w:type="dxa"/>
                  <w:bottom w:w="0" w:type="dxa"/>
                  <w:right w:w="108" w:type="dxa"/>
                </w:tblCellMar>
              </w:tblPrEx>
              <w:trPr>
                <w:trHeight w:val="540" w:hRule="atLeast"/>
                <w:jc w:val="center"/>
              </w:trPr>
              <w:tc>
                <w:tcPr>
                  <w:tcW w:w="1033" w:type="dxa"/>
                  <w:vMerge w:val="continue"/>
                  <w:tcBorders>
                    <w:top w:val="single" w:color="auto" w:sz="6" w:space="0"/>
                    <w:left w:val="single" w:color="auto" w:sz="4" w:space="0"/>
                    <w:bottom w:val="single" w:color="auto" w:sz="6" w:space="0"/>
                    <w:right w:val="single" w:color="auto" w:sz="6" w:space="0"/>
                  </w:tcBorders>
                  <w:shd w:val="clear" w:color="auto" w:fill="auto"/>
                  <w:vAlign w:val="center"/>
                </w:tcPr>
                <w:p>
                  <w:pPr>
                    <w:pStyle w:val="118"/>
                    <w:rPr>
                      <w:rFonts w:hint="default" w:ascii="Times New Roman" w:hAnsi="Times New Roman" w:cs="Times New Roman"/>
                      <w:color w:val="auto"/>
                      <w:highlight w:val="none"/>
                    </w:rPr>
                  </w:pPr>
                </w:p>
              </w:tc>
              <w:tc>
                <w:tcPr>
                  <w:tcW w:w="891" w:type="dxa"/>
                  <w:tcBorders>
                    <w:top w:val="nil"/>
                    <w:left w:val="single" w:color="auto" w:sz="6" w:space="0"/>
                    <w:bottom w:val="single" w:color="auto" w:sz="8" w:space="0"/>
                    <w:right w:val="single" w:color="auto" w:sz="8" w:space="0"/>
                  </w:tcBorders>
                  <w:shd w:val="clear" w:color="auto" w:fill="auto"/>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粪大肠菌群</w:t>
                  </w:r>
                </w:p>
              </w:tc>
              <w:tc>
                <w:tcPr>
                  <w:tcW w:w="2721" w:type="dxa"/>
                  <w:gridSpan w:val="3"/>
                  <w:tcBorders>
                    <w:top w:val="single" w:color="auto" w:sz="8" w:space="0"/>
                    <w:left w:val="nil"/>
                    <w:bottom w:val="single" w:color="auto" w:sz="8" w:space="0"/>
                    <w:right w:val="single" w:color="000000" w:sz="8" w:space="0"/>
                  </w:tcBorders>
                  <w:shd w:val="clear" w:color="auto" w:fill="auto"/>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240×10</w:t>
                  </w:r>
                  <w:r>
                    <w:rPr>
                      <w:rFonts w:hint="default" w:ascii="Times New Roman" w:hAnsi="Times New Roman" w:cs="Times New Roman"/>
                      <w:color w:val="auto"/>
                      <w:highlight w:val="none"/>
                      <w:vertAlign w:val="superscript"/>
                    </w:rPr>
                    <w:t>8</w:t>
                  </w:r>
                  <w:r>
                    <w:rPr>
                      <w:rFonts w:hint="default" w:ascii="Times New Roman" w:hAnsi="Times New Roman" w:cs="Times New Roman"/>
                      <w:color w:val="auto"/>
                      <w:highlight w:val="none"/>
                    </w:rPr>
                    <w:t>个/L</w:t>
                  </w:r>
                </w:p>
              </w:tc>
              <w:tc>
                <w:tcPr>
                  <w:tcW w:w="1014" w:type="dxa"/>
                  <w:tcBorders>
                    <w:top w:val="nil"/>
                    <w:left w:val="nil"/>
                    <w:bottom w:val="single" w:color="auto" w:sz="8" w:space="0"/>
                    <w:right w:val="single" w:color="auto" w:sz="8" w:space="0"/>
                  </w:tcBorders>
                  <w:shd w:val="clear" w:color="auto" w:fill="auto"/>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w:t>
                  </w:r>
                  <w:r>
                    <w:rPr>
                      <w:rFonts w:hint="eastAsia" w:cs="Times New Roman"/>
                      <w:color w:val="auto"/>
                      <w:highlight w:val="none"/>
                      <w:lang w:val="en-US" w:eastAsia="zh-CN"/>
                    </w:rPr>
                    <w:t>3个</w:t>
                  </w:r>
                  <w:r>
                    <w:rPr>
                      <w:rFonts w:hint="default" w:ascii="Times New Roman" w:hAnsi="Times New Roman" w:cs="Times New Roman"/>
                      <w:color w:val="auto"/>
                      <w:highlight w:val="none"/>
                    </w:rPr>
                    <w:t>/L</w:t>
                  </w:r>
                </w:p>
              </w:tc>
              <w:tc>
                <w:tcPr>
                  <w:tcW w:w="2998" w:type="dxa"/>
                  <w:gridSpan w:val="3"/>
                  <w:tcBorders>
                    <w:top w:val="single" w:color="auto" w:sz="8" w:space="0"/>
                    <w:left w:val="nil"/>
                    <w:bottom w:val="single" w:color="auto" w:sz="8" w:space="0"/>
                    <w:right w:val="single" w:color="000000" w:sz="8" w:space="0"/>
                  </w:tcBorders>
                  <w:shd w:val="clear" w:color="auto" w:fill="auto"/>
                  <w:vAlign w:val="center"/>
                </w:tcPr>
                <w:p>
                  <w:pPr>
                    <w:pStyle w:val="118"/>
                    <w:rPr>
                      <w:rFonts w:hint="default" w:ascii="Times New Roman" w:hAnsi="Times New Roman" w:cs="Times New Roman"/>
                      <w:color w:val="auto"/>
                      <w:highlight w:val="none"/>
                    </w:rPr>
                  </w:pPr>
                  <w:r>
                    <w:rPr>
                      <w:rFonts w:hint="default" w:ascii="Times New Roman" w:hAnsi="Times New Roman" w:cs="Times New Roman"/>
                      <w:color w:val="auto"/>
                      <w:highlight w:val="none"/>
                    </w:rPr>
                    <w:t>≤</w:t>
                  </w:r>
                  <w:r>
                    <w:rPr>
                      <w:rFonts w:hint="eastAsia" w:cs="Times New Roman"/>
                      <w:color w:val="auto"/>
                      <w:highlight w:val="none"/>
                      <w:lang w:val="en-US" w:eastAsia="zh-CN"/>
                    </w:rPr>
                    <w:t>3个</w:t>
                  </w:r>
                  <w:r>
                    <w:rPr>
                      <w:rFonts w:hint="default" w:ascii="Times New Roman" w:hAnsi="Times New Roman" w:cs="Times New Roman"/>
                      <w:color w:val="auto"/>
                      <w:highlight w:val="none"/>
                    </w:rPr>
                    <w:t>/L</w:t>
                  </w:r>
                </w:p>
              </w:tc>
            </w:tr>
          </w:tbl>
          <w:p>
            <w:pPr>
              <w:adjustRightInd w:val="0"/>
              <w:spacing w:line="360" w:lineRule="auto"/>
              <w:ind w:firstLine="480" w:firstLineChars="200"/>
              <w:rPr>
                <w:rFonts w:hint="default" w:ascii="Times New Roman" w:hAnsi="Times New Roman" w:cs="Times New Roman"/>
                <w:color w:val="auto"/>
                <w:sz w:val="24"/>
                <w:highlight w:val="none"/>
                <w:lang w:eastAsia="zh-CN"/>
              </w:rPr>
            </w:pPr>
            <w:bookmarkStart w:id="18" w:name="_Toc364331276"/>
            <w:bookmarkStart w:id="19" w:name="_Toc364763647"/>
            <w:r>
              <w:rPr>
                <w:rFonts w:hint="default" w:ascii="Times New Roman" w:hAnsi="Times New Roman" w:cs="Times New Roman"/>
                <w:color w:val="auto"/>
                <w:sz w:val="24"/>
                <w:highlight w:val="none"/>
                <w:lang w:eastAsia="zh-CN"/>
              </w:rPr>
              <w:t>综上，项目污废水经自建污水处理站处理可达到</w:t>
            </w:r>
            <w:r>
              <w:rPr>
                <w:rFonts w:hint="default" w:ascii="Times New Roman" w:hAnsi="Times New Roman" w:cs="Times New Roman"/>
                <w:color w:val="auto"/>
                <w:spacing w:val="8"/>
                <w:sz w:val="24"/>
                <w:highlight w:val="none"/>
                <w:lang w:eastAsia="zh-CN"/>
              </w:rPr>
              <w:t>《城市污水再生利用</w:t>
            </w:r>
            <w:r>
              <w:rPr>
                <w:rFonts w:hint="default" w:ascii="Times New Roman" w:hAnsi="Times New Roman" w:cs="Times New Roman"/>
                <w:color w:val="auto"/>
                <w:spacing w:val="8"/>
                <w:sz w:val="24"/>
                <w:highlight w:val="none"/>
                <w:lang w:val="en-US" w:eastAsia="zh-CN"/>
              </w:rPr>
              <w:t xml:space="preserve"> 城市杂用水水质》（GB/T18920-2002）</w:t>
            </w:r>
            <w:r>
              <w:rPr>
                <w:rFonts w:hint="default" w:ascii="Times New Roman" w:hAnsi="Times New Roman" w:cs="Times New Roman"/>
                <w:color w:val="auto"/>
                <w:spacing w:val="8"/>
                <w:sz w:val="24"/>
                <w:lang w:val="en-US" w:eastAsia="zh-CN"/>
              </w:rPr>
              <w:t>中“城市绿化”标准后回用项目周边绿化用水</w:t>
            </w:r>
            <w:r>
              <w:rPr>
                <w:rFonts w:hint="default" w:ascii="Times New Roman" w:hAnsi="Times New Roman" w:cs="Times New Roman"/>
                <w:color w:val="auto"/>
                <w:sz w:val="24"/>
                <w:highlight w:val="none"/>
                <w:lang w:eastAsia="zh-CN"/>
              </w:rPr>
              <w:t>。</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eastAsia" w:cs="Times New Roman"/>
                <w:color w:val="auto"/>
                <w:sz w:val="24"/>
                <w:highlight w:val="none"/>
                <w:lang w:eastAsia="zh-CN"/>
              </w:rPr>
              <w:t>项目污废水经自建污水处理站处理后回用周边绿化</w:t>
            </w:r>
            <w:r>
              <w:rPr>
                <w:rFonts w:hint="default" w:ascii="Times New Roman" w:hAnsi="Times New Roman" w:cs="Times New Roman"/>
                <w:color w:val="auto"/>
                <w:sz w:val="24"/>
                <w:highlight w:val="none"/>
                <w:lang w:eastAsia="zh-CN"/>
              </w:rPr>
              <w:t>处理可行性分析：</w:t>
            </w:r>
          </w:p>
          <w:p>
            <w:pPr>
              <w:pStyle w:val="122"/>
              <w:keepNext w:val="0"/>
              <w:keepLines w:val="0"/>
              <w:pageBreakBefore w:val="0"/>
              <w:widowControl w:val="0"/>
              <w:numPr>
                <w:ilvl w:val="0"/>
                <w:numId w:val="0"/>
              </w:numPr>
              <w:tabs>
                <w:tab w:val="left" w:pos="1405"/>
              </w:tabs>
              <w:kinsoku/>
              <w:wordWrap/>
              <w:overflowPunct/>
              <w:topLinePunct w:val="0"/>
              <w:autoSpaceDE/>
              <w:autoSpaceDN/>
              <w:bidi w:val="0"/>
              <w:adjustRightInd/>
              <w:snapToGrid/>
              <w:spacing w:before="1" w:after="0" w:line="360" w:lineRule="auto"/>
              <w:ind w:right="0" w:rightChars="0" w:firstLine="480" w:firstLineChars="200"/>
              <w:jc w:val="left"/>
              <w:textAlignment w:val="auto"/>
              <w:rPr>
                <w:rFonts w:hint="eastAsia" w:ascii="Times New Roman" w:hAnsi="Times New Roman" w:eastAsia="Calibri" w:cs="Times New Roman"/>
                <w:color w:val="auto"/>
                <w:kern w:val="2"/>
                <w:sz w:val="24"/>
                <w:szCs w:val="24"/>
                <w:highlight w:val="none"/>
                <w:lang w:val="en-US" w:eastAsia="zh-CN" w:bidi="ar-SA"/>
              </w:rPr>
            </w:pPr>
            <w:r>
              <w:rPr>
                <w:rFonts w:hint="eastAsia" w:ascii="Times New Roman" w:hAnsi="Times New Roman" w:eastAsia="Calibri" w:cs="Times New Roman"/>
                <w:color w:val="auto"/>
                <w:kern w:val="2"/>
                <w:sz w:val="24"/>
                <w:szCs w:val="24"/>
                <w:highlight w:val="none"/>
                <w:lang w:val="en-US" w:eastAsia="zh-CN" w:bidi="ar-SA"/>
              </w:rPr>
              <w:t>绿化用水量包括</w:t>
            </w:r>
            <w:r>
              <w:rPr>
                <w:rFonts w:hint="eastAsia" w:ascii="Times New Roman" w:hAnsi="Times New Roman" w:eastAsia="Calibri" w:cs="Times New Roman"/>
                <w:color w:val="auto"/>
                <w:kern w:val="2"/>
                <w:sz w:val="24"/>
                <w:szCs w:val="24"/>
                <w:highlight w:val="none"/>
                <w:lang w:val="en-US" w:eastAsia="zh-CN" w:bidi="ar-SA"/>
              </w:rPr>
              <w:fldChar w:fldCharType="begin"/>
            </w:r>
            <w:r>
              <w:rPr>
                <w:rFonts w:hint="eastAsia" w:ascii="Times New Roman" w:hAnsi="Times New Roman" w:eastAsia="Calibri" w:cs="Times New Roman"/>
                <w:color w:val="auto"/>
                <w:kern w:val="2"/>
                <w:sz w:val="24"/>
                <w:szCs w:val="24"/>
                <w:highlight w:val="none"/>
                <w:lang w:val="en-US" w:eastAsia="zh-CN" w:bidi="ar-SA"/>
              </w:rPr>
              <w:instrText xml:space="preserve"> HYPERLINK "https://www.baidu.com/s?wd=%E5%85%AC%E5%85%B1%E7%BB%BF%E5%9C%B0&amp;tn=SE_PcZhidaonwhc_ngpagmjz&amp;rsv_dl=gh_pc_zhidao" \t "https://zhidao.baidu.com/question/_blank" </w:instrText>
            </w:r>
            <w:r>
              <w:rPr>
                <w:rFonts w:hint="eastAsia" w:ascii="Times New Roman" w:hAnsi="Times New Roman" w:eastAsia="Calibri" w:cs="Times New Roman"/>
                <w:color w:val="auto"/>
                <w:kern w:val="2"/>
                <w:sz w:val="24"/>
                <w:szCs w:val="24"/>
                <w:highlight w:val="none"/>
                <w:lang w:val="en-US" w:eastAsia="zh-CN" w:bidi="ar-SA"/>
              </w:rPr>
              <w:fldChar w:fldCharType="separate"/>
            </w:r>
            <w:r>
              <w:rPr>
                <w:rFonts w:hint="eastAsia" w:ascii="Times New Roman" w:hAnsi="Times New Roman" w:eastAsia="Calibri" w:cs="Times New Roman"/>
                <w:color w:val="auto"/>
                <w:kern w:val="2"/>
                <w:sz w:val="24"/>
                <w:szCs w:val="24"/>
                <w:highlight w:val="none"/>
                <w:lang w:val="en-US" w:eastAsia="zh-CN" w:bidi="ar-SA"/>
              </w:rPr>
              <w:t>公共绿地</w:t>
            </w:r>
            <w:r>
              <w:rPr>
                <w:rFonts w:hint="eastAsia" w:ascii="Times New Roman" w:hAnsi="Times New Roman" w:eastAsia="Calibri" w:cs="Times New Roman"/>
                <w:color w:val="auto"/>
                <w:kern w:val="2"/>
                <w:sz w:val="24"/>
                <w:szCs w:val="24"/>
                <w:highlight w:val="none"/>
                <w:lang w:val="en-US" w:eastAsia="zh-CN" w:bidi="ar-SA"/>
              </w:rPr>
              <w:fldChar w:fldCharType="end"/>
            </w:r>
            <w:r>
              <w:rPr>
                <w:rFonts w:hint="eastAsia" w:ascii="Times New Roman" w:hAnsi="Times New Roman" w:eastAsia="Calibri" w:cs="Times New Roman"/>
                <w:color w:val="auto"/>
                <w:kern w:val="2"/>
                <w:sz w:val="24"/>
                <w:szCs w:val="24"/>
                <w:highlight w:val="none"/>
                <w:lang w:val="en-US" w:eastAsia="zh-CN" w:bidi="ar-SA"/>
              </w:rPr>
              <w:t>用水量、居住区院落绿化用水量；一般按照绿化面积计算：标准为1.0~3.0L /（m²·d)。本项目污废水产生量为39.49m³/d，本项目取3.0L /（m²·d)，则需要灌溉的绿地面积约13163㎡，项目南侧均为绿地，面积大于13163㎡，故本项目污废水经自建污水处理站处理达标后回用周边绿地灌溉是可行的。</w:t>
            </w:r>
          </w:p>
          <w:p>
            <w:pPr>
              <w:adjustRightInd w:val="0"/>
              <w:spacing w:line="360" w:lineRule="auto"/>
              <w:ind w:firstLine="482" w:firstLineChars="200"/>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三、噪声影响分析</w:t>
            </w:r>
            <w:bookmarkEnd w:id="18"/>
            <w:bookmarkEnd w:id="19"/>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本项目运营期间噪声源主要来自各种配套设备（水泵、发电机、风机、</w:t>
            </w:r>
            <w:r>
              <w:rPr>
                <w:rFonts w:hint="default" w:ascii="Times New Roman" w:hAnsi="Times New Roman" w:cs="Times New Roman"/>
                <w:color w:val="auto"/>
                <w:sz w:val="24"/>
                <w:highlight w:val="none"/>
                <w:lang w:eastAsia="zh-CN"/>
              </w:rPr>
              <w:t>空调系统</w:t>
            </w:r>
            <w:r>
              <w:rPr>
                <w:rFonts w:hint="default" w:ascii="Times New Roman" w:hAnsi="Times New Roman" w:cs="Times New Roman"/>
                <w:color w:val="auto"/>
                <w:sz w:val="24"/>
                <w:highlight w:val="none"/>
              </w:rPr>
              <w:t>等）运行时产生的噪声、进出车辆噪声及社会活动噪声，其噪声值一般为</w:t>
            </w:r>
            <w:r>
              <w:rPr>
                <w:rFonts w:hint="default" w:ascii="Times New Roman" w:hAnsi="Times New Roman" w:cs="Times New Roman"/>
                <w:color w:val="auto"/>
                <w:sz w:val="24"/>
                <w:highlight w:val="none"/>
                <w:lang w:val="en-US" w:eastAsia="zh-CN"/>
              </w:rPr>
              <w:t>75</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val="en-US" w:eastAsia="zh-CN"/>
              </w:rPr>
              <w:t>10</w:t>
            </w:r>
            <w:r>
              <w:rPr>
                <w:rFonts w:hint="default" w:ascii="Times New Roman" w:hAnsi="Times New Roman" w:cs="Times New Roman"/>
                <w:color w:val="auto"/>
                <w:sz w:val="24"/>
                <w:highlight w:val="none"/>
              </w:rPr>
              <w:t>5dB(A) 之间。</w:t>
            </w:r>
          </w:p>
          <w:p>
            <w:pPr>
              <w:adjustRightIn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按《环境影响评价技术导则—声环境》（HJ2.4-2009），本次评价选择点声源预测模式，来模拟预测本项目主要设备声源产生噪声随距离的衰减变化规律，为分析本项目设备噪声的影响程度提供数据支持及理论依据。</w:t>
            </w:r>
          </w:p>
          <w:p>
            <w:pPr>
              <w:tabs>
                <w:tab w:val="left" w:pos="480"/>
              </w:tabs>
              <w:snapToGrid w:val="0"/>
              <w:spacing w:line="360" w:lineRule="auto"/>
              <w:ind w:firstLine="472" w:firstLineChars="197"/>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a）对室外噪声源主要考虑噪声的几何发散衰减：</w:t>
            </w:r>
          </w:p>
          <w:p>
            <w:pPr>
              <w:tabs>
                <w:tab w:val="left" w:pos="480"/>
              </w:tabs>
              <w:adjustRightInd w:val="0"/>
              <w:snapToGrid w:val="0"/>
              <w:spacing w:line="360" w:lineRule="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position w:val="-24"/>
                <w:sz w:val="24"/>
                <w:szCs w:val="24"/>
                <w:highlight w:val="none"/>
              </w:rPr>
              <w:object>
                <v:shape id="_x0000_i1027" o:spt="75" type="#_x0000_t75" style="height:27pt;width:99pt;" o:ole="t" filled="f" o:preferrelative="t" stroked="f" coordsize="21600,21600">
                  <v:path/>
                  <v:fill on="f" focussize="0,0"/>
                  <v:stroke on="f"/>
                  <v:imagedata r:id="rId18" o:title=""/>
                  <o:lock v:ext="edit" aspectratio="t"/>
                  <w10:wrap type="none"/>
                  <w10:anchorlock/>
                </v:shape>
                <o:OLEObject Type="Embed" ProgID="Equation.3" ShapeID="_x0000_i1027" DrawAspect="Content" ObjectID="_1468075727" r:id="rId20">
                  <o:LockedField>false</o:LockedField>
                </o:OLEObject>
              </w:object>
            </w:r>
          </w:p>
          <w:p>
            <w:pPr>
              <w:tabs>
                <w:tab w:val="left" w:pos="480"/>
              </w:tabs>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式中：</w:t>
            </w:r>
            <w:r>
              <w:rPr>
                <w:rFonts w:hint="default" w:ascii="Times New Roman" w:hAnsi="Times New Roman" w:cs="Times New Roman"/>
                <w:i/>
                <w:color w:val="auto"/>
                <w:sz w:val="24"/>
                <w:szCs w:val="24"/>
                <w:highlight w:val="none"/>
              </w:rPr>
              <w:t>L</w:t>
            </w:r>
            <w:r>
              <w:rPr>
                <w:rFonts w:hint="default" w:ascii="Times New Roman" w:hAnsi="Times New Roman" w:cs="Times New Roman"/>
                <w:i/>
                <w:color w:val="auto"/>
                <w:sz w:val="24"/>
                <w:szCs w:val="24"/>
                <w:highlight w:val="none"/>
                <w:vertAlign w:val="subscript"/>
              </w:rPr>
              <w:t>r</w:t>
            </w:r>
            <w:r>
              <w:rPr>
                <w:rFonts w:hint="default" w:ascii="Times New Roman" w:hAnsi="Times New Roman" w:cs="Times New Roman"/>
                <w:color w:val="auto"/>
                <w:sz w:val="24"/>
                <w:szCs w:val="24"/>
                <w:highlight w:val="none"/>
                <w:vertAlign w:val="subscript"/>
              </w:rPr>
              <w:t xml:space="preserve"> </w:t>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t>点声源在预测点产生的声压级，dB；</w:t>
            </w:r>
          </w:p>
          <w:p>
            <w:pPr>
              <w:tabs>
                <w:tab w:val="left" w:pos="480"/>
              </w:tabs>
              <w:snapToGrid w:val="0"/>
              <w:spacing w:line="360" w:lineRule="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i/>
                <w:color w:val="auto"/>
                <w:sz w:val="24"/>
                <w:szCs w:val="24"/>
                <w:highlight w:val="none"/>
              </w:rPr>
              <w:t>L</w:t>
            </w:r>
            <w:r>
              <w:rPr>
                <w:rFonts w:hint="default" w:ascii="Times New Roman" w:hAnsi="Times New Roman" w:cs="Times New Roman"/>
                <w:i/>
                <w:color w:val="auto"/>
                <w:sz w:val="24"/>
                <w:szCs w:val="24"/>
                <w:highlight w:val="none"/>
                <w:vertAlign w:val="subscript"/>
              </w:rPr>
              <w:t>r0</w:t>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t>点声源在参考点产生的声压级，dB；</w:t>
            </w:r>
          </w:p>
          <w:p>
            <w:pPr>
              <w:tabs>
                <w:tab w:val="left" w:pos="480"/>
              </w:tabs>
              <w:snapToGrid w:val="0"/>
              <w:spacing w:line="360" w:lineRule="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i/>
                <w:color w:val="auto"/>
                <w:sz w:val="24"/>
                <w:szCs w:val="24"/>
                <w:highlight w:val="none"/>
              </w:rPr>
              <w:t xml:space="preserve"> r </w:t>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t>预测点距声源的距离，m；</w:t>
            </w:r>
          </w:p>
          <w:p>
            <w:pPr>
              <w:tabs>
                <w:tab w:val="left" w:pos="480"/>
              </w:tabs>
              <w:snapToGrid w:val="0"/>
              <w:spacing w:line="360" w:lineRule="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i/>
                <w:color w:val="auto"/>
                <w:sz w:val="24"/>
                <w:szCs w:val="24"/>
                <w:highlight w:val="none"/>
              </w:rPr>
              <w:t>r</w:t>
            </w:r>
            <w:r>
              <w:rPr>
                <w:rFonts w:hint="default" w:ascii="Times New Roman" w:hAnsi="Times New Roman" w:cs="Times New Roman"/>
                <w:i/>
                <w:color w:val="auto"/>
                <w:sz w:val="24"/>
                <w:szCs w:val="24"/>
                <w:highlight w:val="none"/>
                <w:vertAlign w:val="subscript"/>
              </w:rPr>
              <w:t>0</w:t>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t>参考点距声源的距离，m。</w:t>
            </w:r>
          </w:p>
          <w:p>
            <w:pPr>
              <w:tabs>
                <w:tab w:val="left" w:pos="480"/>
              </w:tabs>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b）对室内噪声源采用室内声源噪声模式并换算成等效的室外声源：</w:t>
            </w:r>
          </w:p>
          <w:p>
            <w:pPr>
              <w:tabs>
                <w:tab w:val="left" w:pos="480"/>
              </w:tabs>
              <w:adjustRightInd w:val="0"/>
              <w:snapToGrid w:val="0"/>
              <w:spacing w:line="360" w:lineRule="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position w:val="-24"/>
                <w:sz w:val="24"/>
                <w:szCs w:val="24"/>
                <w:highlight w:val="none"/>
              </w:rPr>
              <w:drawing>
                <wp:inline distT="0" distB="0" distL="114300" distR="114300">
                  <wp:extent cx="1644015" cy="395605"/>
                  <wp:effectExtent l="0" t="0" r="13335" b="381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21"/>
                          <a:stretch>
                            <a:fillRect/>
                          </a:stretch>
                        </pic:blipFill>
                        <pic:spPr>
                          <a:xfrm>
                            <a:off x="0" y="0"/>
                            <a:ext cx="1644015" cy="395605"/>
                          </a:xfrm>
                          <a:prstGeom prst="rect">
                            <a:avLst/>
                          </a:prstGeom>
                          <a:noFill/>
                          <a:ln>
                            <a:noFill/>
                          </a:ln>
                        </pic:spPr>
                      </pic:pic>
                    </a:graphicData>
                  </a:graphic>
                </wp:inline>
              </w:drawing>
            </w:r>
          </w:p>
          <w:p>
            <w:pPr>
              <w:tabs>
                <w:tab w:val="left" w:pos="480"/>
              </w:tabs>
              <w:adjustRightInd w:val="0"/>
              <w:snapToGrid w:val="0"/>
              <w:spacing w:line="360" w:lineRule="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position w:val="-12"/>
                <w:sz w:val="24"/>
                <w:szCs w:val="24"/>
                <w:highlight w:val="none"/>
              </w:rPr>
              <w:drawing>
                <wp:inline distT="0" distB="0" distL="114300" distR="114300">
                  <wp:extent cx="1656715" cy="234950"/>
                  <wp:effectExtent l="0" t="0" r="0" b="1397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22"/>
                          <a:stretch>
                            <a:fillRect/>
                          </a:stretch>
                        </pic:blipFill>
                        <pic:spPr>
                          <a:xfrm>
                            <a:off x="0" y="0"/>
                            <a:ext cx="1656715" cy="234950"/>
                          </a:xfrm>
                          <a:prstGeom prst="rect">
                            <a:avLst/>
                          </a:prstGeom>
                          <a:noFill/>
                          <a:ln>
                            <a:noFill/>
                          </a:ln>
                        </pic:spPr>
                      </pic:pic>
                    </a:graphicData>
                  </a:graphic>
                </wp:inline>
              </w:drawing>
            </w:r>
          </w:p>
          <w:p>
            <w:pPr>
              <w:tabs>
                <w:tab w:val="left" w:pos="480"/>
              </w:tabs>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式中：</w:t>
            </w:r>
            <w:r>
              <w:rPr>
                <w:rFonts w:hint="default" w:ascii="Times New Roman" w:hAnsi="Times New Roman" w:cs="Times New Roman"/>
                <w:color w:val="auto"/>
                <w:position w:val="-12"/>
                <w:sz w:val="24"/>
                <w:szCs w:val="24"/>
                <w:highlight w:val="none"/>
              </w:rPr>
              <w:drawing>
                <wp:inline distT="0" distB="0" distL="114300" distR="114300">
                  <wp:extent cx="172720" cy="234950"/>
                  <wp:effectExtent l="0" t="0" r="17780" b="14605"/>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23"/>
                          <a:stretch>
                            <a:fillRect/>
                          </a:stretch>
                        </pic:blipFill>
                        <pic:spPr>
                          <a:xfrm>
                            <a:off x="0" y="0"/>
                            <a:ext cx="172720" cy="234950"/>
                          </a:xfrm>
                          <a:prstGeom prst="rect">
                            <a:avLst/>
                          </a:prstGeom>
                          <a:noFill/>
                          <a:ln>
                            <a:noFill/>
                          </a:ln>
                        </pic:spPr>
                      </pic:pic>
                    </a:graphicData>
                  </a:graphic>
                </wp:inline>
              </w:drawing>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t>室内靠近围护结构处产生的声压级，dB；</w:t>
            </w:r>
          </w:p>
          <w:p>
            <w:pPr>
              <w:tabs>
                <w:tab w:val="left" w:pos="480"/>
              </w:tabs>
              <w:snapToGrid w:val="0"/>
              <w:spacing w:line="360" w:lineRule="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position w:val="-12"/>
                <w:sz w:val="24"/>
                <w:szCs w:val="24"/>
                <w:highlight w:val="none"/>
              </w:rPr>
              <w:drawing>
                <wp:inline distT="0" distB="0" distL="114300" distR="114300">
                  <wp:extent cx="210185" cy="234950"/>
                  <wp:effectExtent l="0" t="0" r="18415" b="14605"/>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24"/>
                          <a:stretch>
                            <a:fillRect/>
                          </a:stretch>
                        </pic:blipFill>
                        <pic:spPr>
                          <a:xfrm>
                            <a:off x="0" y="0"/>
                            <a:ext cx="210185" cy="234950"/>
                          </a:xfrm>
                          <a:prstGeom prst="rect">
                            <a:avLst/>
                          </a:prstGeom>
                          <a:noFill/>
                          <a:ln>
                            <a:noFill/>
                          </a:ln>
                        </pic:spPr>
                      </pic:pic>
                    </a:graphicData>
                  </a:graphic>
                </wp:inline>
              </w:drawing>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t>室外靠近围护结构处产生的声压级，dB；</w:t>
            </w:r>
          </w:p>
          <w:p>
            <w:pPr>
              <w:tabs>
                <w:tab w:val="left" w:pos="480"/>
              </w:tabs>
              <w:adjustRightInd w:val="0"/>
              <w:snapToGrid w:val="0"/>
              <w:spacing w:line="360" w:lineRule="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position w:val="-12"/>
                <w:sz w:val="24"/>
                <w:szCs w:val="24"/>
                <w:highlight w:val="none"/>
              </w:rPr>
              <w:drawing>
                <wp:inline distT="0" distB="0" distL="114300" distR="114300">
                  <wp:extent cx="236220" cy="259715"/>
                  <wp:effectExtent l="0" t="0" r="12065" b="5715"/>
                  <wp:docPr id="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pic:cNvPicPr>
                            <a:picLocks noChangeAspect="1"/>
                          </pic:cNvPicPr>
                        </pic:nvPicPr>
                        <pic:blipFill>
                          <a:blip r:embed="rId25"/>
                          <a:stretch>
                            <a:fillRect/>
                          </a:stretch>
                        </pic:blipFill>
                        <pic:spPr>
                          <a:xfrm>
                            <a:off x="0" y="0"/>
                            <a:ext cx="236220" cy="259715"/>
                          </a:xfrm>
                          <a:prstGeom prst="rect">
                            <a:avLst/>
                          </a:prstGeom>
                          <a:noFill/>
                          <a:ln>
                            <a:noFill/>
                          </a:ln>
                        </pic:spPr>
                      </pic:pic>
                    </a:graphicData>
                  </a:graphic>
                </wp:inline>
              </w:drawing>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t>声源的声压级，dB；</w:t>
            </w:r>
          </w:p>
          <w:p>
            <w:pPr>
              <w:tabs>
                <w:tab w:val="left" w:pos="480"/>
              </w:tabs>
              <w:adjustRightInd w:val="0"/>
              <w:snapToGrid w:val="0"/>
              <w:spacing w:line="360" w:lineRule="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position w:val="-4"/>
                <w:sz w:val="24"/>
                <w:szCs w:val="24"/>
                <w:highlight w:val="none"/>
              </w:rPr>
              <w:drawing>
                <wp:inline distT="0" distB="0" distL="114300" distR="114300">
                  <wp:extent cx="111125" cy="148590"/>
                  <wp:effectExtent l="0" t="0" r="3175" b="3175"/>
                  <wp:docPr id="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pic:cNvPicPr>
                            <a:picLocks noChangeAspect="1"/>
                          </pic:cNvPicPr>
                        </pic:nvPicPr>
                        <pic:blipFill>
                          <a:blip r:embed="rId26"/>
                          <a:stretch>
                            <a:fillRect/>
                          </a:stretch>
                        </pic:blipFill>
                        <pic:spPr>
                          <a:xfrm>
                            <a:off x="0" y="0"/>
                            <a:ext cx="111125" cy="148590"/>
                          </a:xfrm>
                          <a:prstGeom prst="rect">
                            <a:avLst/>
                          </a:prstGeom>
                          <a:noFill/>
                          <a:ln>
                            <a:noFill/>
                          </a:ln>
                        </pic:spPr>
                      </pic:pic>
                    </a:graphicData>
                  </a:graphic>
                </wp:inline>
              </w:drawing>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t>声源与室内靠近围护结构处的距离，m；</w:t>
            </w:r>
          </w:p>
          <w:p>
            <w:pPr>
              <w:tabs>
                <w:tab w:val="left" w:pos="480"/>
              </w:tabs>
              <w:adjustRightInd w:val="0"/>
              <w:snapToGrid w:val="0"/>
              <w:spacing w:line="360" w:lineRule="auto"/>
              <w:ind w:firstLine="960" w:firstLineChars="4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position w:val="-4"/>
                <w:sz w:val="24"/>
                <w:szCs w:val="24"/>
                <w:highlight w:val="none"/>
              </w:rPr>
              <w:drawing>
                <wp:inline distT="0" distB="0" distL="114300" distR="114300">
                  <wp:extent cx="148590" cy="197485"/>
                  <wp:effectExtent l="0" t="0" r="3810" b="12700"/>
                  <wp:docPr id="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
                          <pic:cNvPicPr>
                            <a:picLocks noChangeAspect="1"/>
                          </pic:cNvPicPr>
                        </pic:nvPicPr>
                        <pic:blipFill>
                          <a:blip r:embed="rId27"/>
                          <a:stretch>
                            <a:fillRect/>
                          </a:stretch>
                        </pic:blipFill>
                        <pic:spPr>
                          <a:xfrm>
                            <a:off x="0" y="0"/>
                            <a:ext cx="148590" cy="197485"/>
                          </a:xfrm>
                          <a:prstGeom prst="rect">
                            <a:avLst/>
                          </a:prstGeom>
                          <a:noFill/>
                          <a:ln>
                            <a:noFill/>
                          </a:ln>
                        </pic:spPr>
                      </pic:pic>
                    </a:graphicData>
                  </a:graphic>
                </wp:inline>
              </w:drawing>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t>房间常数，m</w:t>
            </w:r>
            <w:r>
              <w:rPr>
                <w:rFonts w:hint="default" w:ascii="Times New Roman" w:hAnsi="Times New Roman" w:cs="Times New Roman"/>
                <w:color w:val="auto"/>
                <w:sz w:val="24"/>
                <w:szCs w:val="24"/>
                <w:highlight w:val="none"/>
                <w:vertAlign w:val="superscript"/>
              </w:rPr>
              <w:t>2</w:t>
            </w:r>
            <w:r>
              <w:rPr>
                <w:rFonts w:hint="default" w:ascii="Times New Roman" w:hAnsi="Times New Roman" w:cs="Times New Roman"/>
                <w:color w:val="auto"/>
                <w:sz w:val="24"/>
                <w:szCs w:val="24"/>
                <w:highlight w:val="none"/>
              </w:rPr>
              <w:t>；</w:t>
            </w:r>
          </w:p>
          <w:p>
            <w:pPr>
              <w:tabs>
                <w:tab w:val="left" w:pos="480"/>
              </w:tabs>
              <w:adjustRightInd w:val="0"/>
              <w:snapToGrid w:val="0"/>
              <w:spacing w:line="360" w:lineRule="auto"/>
              <w:ind w:firstLine="960" w:firstLineChars="4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position w:val="-10"/>
                <w:sz w:val="24"/>
                <w:szCs w:val="24"/>
                <w:highlight w:val="none"/>
              </w:rPr>
              <w:drawing>
                <wp:inline distT="0" distB="0" distL="114300" distR="114300">
                  <wp:extent cx="123825" cy="197485"/>
                  <wp:effectExtent l="0" t="0" r="9525" b="1333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28"/>
                          <a:stretch>
                            <a:fillRect/>
                          </a:stretch>
                        </pic:blipFill>
                        <pic:spPr>
                          <a:xfrm>
                            <a:off x="0" y="0"/>
                            <a:ext cx="123825" cy="197485"/>
                          </a:xfrm>
                          <a:prstGeom prst="rect">
                            <a:avLst/>
                          </a:prstGeom>
                          <a:noFill/>
                          <a:ln>
                            <a:noFill/>
                          </a:ln>
                        </pic:spPr>
                      </pic:pic>
                    </a:graphicData>
                  </a:graphic>
                </wp:inline>
              </w:drawing>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t xml:space="preserve">方向性因子； </w:t>
            </w:r>
          </w:p>
          <w:p>
            <w:pPr>
              <w:tabs>
                <w:tab w:val="left" w:pos="480"/>
              </w:tabs>
              <w:adjustRightInd w:val="0"/>
              <w:snapToGrid w:val="0"/>
              <w:spacing w:line="360" w:lineRule="auto"/>
              <w:ind w:firstLine="960" w:firstLineChars="400"/>
              <w:outlineLvl w:val="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position w:val="-4"/>
                <w:sz w:val="24"/>
                <w:szCs w:val="24"/>
                <w:highlight w:val="none"/>
              </w:rPr>
              <w:drawing>
                <wp:inline distT="0" distB="0" distL="114300" distR="114300">
                  <wp:extent cx="172720" cy="172720"/>
                  <wp:effectExtent l="0" t="0" r="17780" b="1841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29"/>
                          <a:stretch>
                            <a:fillRect/>
                          </a:stretch>
                        </pic:blipFill>
                        <pic:spPr>
                          <a:xfrm>
                            <a:off x="0" y="0"/>
                            <a:ext cx="172720" cy="172720"/>
                          </a:xfrm>
                          <a:prstGeom prst="rect">
                            <a:avLst/>
                          </a:prstGeom>
                          <a:noFill/>
                          <a:ln>
                            <a:noFill/>
                          </a:ln>
                        </pic:spPr>
                      </pic:pic>
                    </a:graphicData>
                  </a:graphic>
                </wp:inline>
              </w:drawing>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t>围护结构的传输损失，dB；</w:t>
            </w:r>
          </w:p>
          <w:p>
            <w:pPr>
              <w:tabs>
                <w:tab w:val="left" w:pos="480"/>
              </w:tabs>
              <w:snapToGrid w:val="0"/>
              <w:spacing w:line="360" w:lineRule="auto"/>
              <w:ind w:firstLine="1080" w:firstLineChars="450"/>
              <w:rPr>
                <w:rFonts w:hint="default" w:ascii="Times New Roman" w:hAnsi="Times New Roman" w:cs="Times New Roman"/>
                <w:color w:val="auto"/>
                <w:sz w:val="24"/>
                <w:szCs w:val="24"/>
                <w:highlight w:val="none"/>
              </w:rPr>
            </w:pPr>
            <w:r>
              <w:rPr>
                <w:rFonts w:hint="default" w:ascii="Times New Roman" w:hAnsi="Times New Roman" w:cs="Times New Roman"/>
                <w:color w:val="auto"/>
                <w:position w:val="-6"/>
                <w:sz w:val="24"/>
                <w:szCs w:val="24"/>
                <w:highlight w:val="none"/>
              </w:rPr>
              <w:t>S</w:t>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sym w:font="Times New Roman" w:char="2014"/>
            </w:r>
            <w:r>
              <w:rPr>
                <w:rFonts w:hint="default" w:ascii="Times New Roman" w:hAnsi="Times New Roman" w:cs="Times New Roman"/>
                <w:color w:val="auto"/>
                <w:sz w:val="24"/>
                <w:szCs w:val="24"/>
                <w:highlight w:val="none"/>
              </w:rPr>
              <w:t>透声面积（m</w:t>
            </w:r>
            <w:r>
              <w:rPr>
                <w:rFonts w:hint="default" w:ascii="Times New Roman" w:hAnsi="Times New Roman" w:cs="Times New Roman"/>
                <w:color w:val="auto"/>
                <w:sz w:val="24"/>
                <w:szCs w:val="24"/>
                <w:highlight w:val="none"/>
                <w:vertAlign w:val="superscript"/>
              </w:rPr>
              <w:t>2</w:t>
            </w:r>
            <w:r>
              <w:rPr>
                <w:rFonts w:hint="default" w:ascii="Times New Roman" w:hAnsi="Times New Roman" w:cs="Times New Roman"/>
                <w:color w:val="auto"/>
                <w:sz w:val="24"/>
                <w:szCs w:val="24"/>
                <w:highlight w:val="none"/>
              </w:rPr>
              <w:t>）。</w:t>
            </w:r>
          </w:p>
          <w:p>
            <w:pPr>
              <w:adjustRightIn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不同设备噪声源自然衰减下的预测值见下表：</w:t>
            </w:r>
          </w:p>
          <w:p>
            <w:pPr>
              <w:tabs>
                <w:tab w:val="left" w:pos="480"/>
              </w:tabs>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表</w:t>
            </w:r>
            <w:r>
              <w:rPr>
                <w:rFonts w:hint="default" w:ascii="Times New Roman" w:hAnsi="Times New Roman" w:cs="Times New Roman"/>
                <w:b/>
                <w:color w:val="auto"/>
                <w:sz w:val="21"/>
                <w:szCs w:val="21"/>
                <w:highlight w:val="none"/>
              </w:rPr>
              <w:fldChar w:fldCharType="begin"/>
            </w:r>
            <w:r>
              <w:rPr>
                <w:rFonts w:hint="default" w:ascii="Times New Roman" w:hAnsi="Times New Roman" w:cs="Times New Roman"/>
                <w:b/>
                <w:color w:val="auto"/>
                <w:sz w:val="21"/>
                <w:szCs w:val="21"/>
                <w:highlight w:val="none"/>
              </w:rPr>
              <w:instrText xml:space="preserve"> STYLEREF 1 \s </w:instrText>
            </w:r>
            <w:r>
              <w:rPr>
                <w:rFonts w:hint="default" w:ascii="Times New Roman" w:hAnsi="Times New Roman" w:cs="Times New Roman"/>
                <w:b/>
                <w:color w:val="auto"/>
                <w:sz w:val="21"/>
                <w:szCs w:val="21"/>
                <w:highlight w:val="none"/>
              </w:rPr>
              <w:fldChar w:fldCharType="separate"/>
            </w:r>
            <w:r>
              <w:rPr>
                <w:rFonts w:hint="default" w:ascii="Times New Roman" w:hAnsi="Times New Roman" w:cs="Times New Roman"/>
                <w:b/>
                <w:color w:val="auto"/>
                <w:sz w:val="21"/>
                <w:szCs w:val="21"/>
                <w:highlight w:val="none"/>
              </w:rPr>
              <w:t>7</w:t>
            </w:r>
            <w:r>
              <w:rPr>
                <w:rFonts w:hint="default" w:ascii="Times New Roman" w:hAnsi="Times New Roman" w:cs="Times New Roman"/>
                <w:b/>
                <w:color w:val="auto"/>
                <w:sz w:val="21"/>
                <w:szCs w:val="21"/>
                <w:highlight w:val="none"/>
              </w:rPr>
              <w:fldChar w:fldCharType="end"/>
            </w:r>
            <w:r>
              <w:rPr>
                <w:rFonts w:hint="default" w:ascii="Times New Roman" w:hAnsi="Times New Roman" w:cs="Times New Roman"/>
                <w:b/>
                <w:color w:val="auto"/>
                <w:sz w:val="21"/>
                <w:szCs w:val="21"/>
                <w:highlight w:val="none"/>
                <w:lang w:val="en-US" w:eastAsia="zh-CN"/>
              </w:rPr>
              <w:t>-7</w:t>
            </w:r>
            <w:r>
              <w:rPr>
                <w:rFonts w:hint="default" w:ascii="Times New Roman" w:hAnsi="Times New Roman" w:cs="Times New Roman"/>
                <w:b/>
                <w:color w:val="auto"/>
                <w:sz w:val="21"/>
                <w:szCs w:val="21"/>
                <w:highlight w:val="none"/>
              </w:rPr>
              <w:t xml:space="preserve"> 建设项目机电设备噪声衰减预测结果</w:t>
            </w:r>
          </w:p>
          <w:tbl>
            <w:tblPr>
              <w:tblStyle w:val="31"/>
              <w:tblW w:w="8277" w:type="dxa"/>
              <w:jc w:val="center"/>
              <w:tblInd w:w="-7"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741"/>
              <w:gridCol w:w="1582"/>
              <w:gridCol w:w="1276"/>
              <w:gridCol w:w="2410"/>
              <w:gridCol w:w="226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369" w:hRule="atLeast"/>
                <w:jc w:val="center"/>
              </w:trPr>
              <w:tc>
                <w:tcPr>
                  <w:tcW w:w="741" w:type="dxa"/>
                  <w:tcBorders>
                    <w:tl2br w:val="nil"/>
                    <w:tr2bl w:val="nil"/>
                  </w:tcBorders>
                  <w:noWrap w:val="0"/>
                  <w:vAlign w:val="center"/>
                </w:tcPr>
                <w:p>
                  <w:pPr>
                    <w:pStyle w:val="61"/>
                    <w:keepNext/>
                    <w:spacing w:line="240" w:lineRule="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序号</w:t>
                  </w:r>
                </w:p>
              </w:tc>
              <w:tc>
                <w:tcPr>
                  <w:tcW w:w="1582" w:type="dxa"/>
                  <w:tcBorders>
                    <w:tl2br w:val="nil"/>
                    <w:tr2bl w:val="nil"/>
                  </w:tcBorders>
                  <w:noWrap w:val="0"/>
                  <w:vAlign w:val="center"/>
                </w:tcPr>
                <w:p>
                  <w:pPr>
                    <w:pStyle w:val="61"/>
                    <w:keepNext/>
                    <w:spacing w:line="240" w:lineRule="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噪声源</w:t>
                  </w:r>
                </w:p>
              </w:tc>
              <w:tc>
                <w:tcPr>
                  <w:tcW w:w="1276" w:type="dxa"/>
                  <w:tcBorders>
                    <w:tl2br w:val="nil"/>
                    <w:tr2bl w:val="nil"/>
                  </w:tcBorders>
                  <w:noWrap w:val="0"/>
                  <w:vAlign w:val="center"/>
                </w:tcPr>
                <w:p>
                  <w:pPr>
                    <w:pStyle w:val="61"/>
                    <w:keepNext/>
                    <w:spacing w:line="240" w:lineRule="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噪声源强</w:t>
                  </w:r>
                </w:p>
              </w:tc>
              <w:tc>
                <w:tcPr>
                  <w:tcW w:w="2410" w:type="dxa"/>
                  <w:tcBorders>
                    <w:tl2br w:val="nil"/>
                    <w:tr2bl w:val="nil"/>
                  </w:tcBorders>
                  <w:noWrap w:val="0"/>
                  <w:vAlign w:val="center"/>
                </w:tcPr>
                <w:p>
                  <w:pPr>
                    <w:pStyle w:val="61"/>
                    <w:keepNext/>
                    <w:spacing w:line="240" w:lineRule="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昼间噪声达标距离（m）</w:t>
                  </w:r>
                </w:p>
              </w:tc>
              <w:tc>
                <w:tcPr>
                  <w:tcW w:w="2268" w:type="dxa"/>
                  <w:tcBorders>
                    <w:tl2br w:val="nil"/>
                    <w:tr2bl w:val="nil"/>
                  </w:tcBorders>
                  <w:noWrap w:val="0"/>
                  <w:vAlign w:val="center"/>
                </w:tcPr>
                <w:p>
                  <w:pPr>
                    <w:pStyle w:val="61"/>
                    <w:keepNext/>
                    <w:spacing w:line="240" w:lineRule="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夜间噪声达标距离（m）</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369" w:hRule="atLeast"/>
                <w:jc w:val="center"/>
              </w:trPr>
              <w:tc>
                <w:tcPr>
                  <w:tcW w:w="741" w:type="dxa"/>
                  <w:tcBorders>
                    <w:tl2br w:val="nil"/>
                    <w:tr2bl w:val="nil"/>
                  </w:tcBorders>
                  <w:noWrap w:val="0"/>
                  <w:vAlign w:val="center"/>
                </w:tcPr>
                <w:p>
                  <w:pPr>
                    <w:pStyle w:val="61"/>
                    <w:keepNext/>
                    <w:spacing w:line="240" w:lineRule="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w:t>
                  </w:r>
                </w:p>
              </w:tc>
              <w:tc>
                <w:tcPr>
                  <w:tcW w:w="1582" w:type="dxa"/>
                  <w:tcBorders>
                    <w:tl2br w:val="nil"/>
                    <w:tr2bl w:val="nil"/>
                  </w:tcBorders>
                  <w:noWrap w:val="0"/>
                  <w:vAlign w:val="center"/>
                </w:tcPr>
                <w:p>
                  <w:pPr>
                    <w:pStyle w:val="61"/>
                    <w:keepNext/>
                    <w:spacing w:line="240" w:lineRule="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备用发电机</w:t>
                  </w:r>
                </w:p>
              </w:tc>
              <w:tc>
                <w:tcPr>
                  <w:tcW w:w="1276" w:type="dxa"/>
                  <w:tcBorders>
                    <w:tl2br w:val="nil"/>
                    <w:tr2bl w:val="nil"/>
                  </w:tcBorders>
                  <w:noWrap w:val="0"/>
                  <w:vAlign w:val="center"/>
                </w:tcPr>
                <w:p>
                  <w:pPr>
                    <w:pStyle w:val="61"/>
                    <w:keepNext/>
                    <w:spacing w:line="240" w:lineRule="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105 dB(A)</w:t>
                  </w:r>
                </w:p>
              </w:tc>
              <w:tc>
                <w:tcPr>
                  <w:tcW w:w="2410" w:type="dxa"/>
                  <w:tcBorders>
                    <w:tl2br w:val="nil"/>
                    <w:tr2bl w:val="nil"/>
                  </w:tcBorders>
                  <w:noWrap w:val="0"/>
                  <w:vAlign w:val="center"/>
                </w:tcPr>
                <w:p>
                  <w:pPr>
                    <w:pStyle w:val="61"/>
                    <w:keepNext/>
                    <w:spacing w:line="240" w:lineRule="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180</w:t>
                  </w:r>
                </w:p>
              </w:tc>
              <w:tc>
                <w:tcPr>
                  <w:tcW w:w="2268" w:type="dxa"/>
                  <w:tcBorders>
                    <w:tl2br w:val="nil"/>
                    <w:tr2bl w:val="nil"/>
                  </w:tcBorders>
                  <w:noWrap w:val="0"/>
                  <w:vAlign w:val="center"/>
                </w:tcPr>
                <w:p>
                  <w:pPr>
                    <w:pStyle w:val="61"/>
                    <w:keepNext/>
                    <w:spacing w:line="240" w:lineRule="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&gt;300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369" w:hRule="atLeast"/>
                <w:jc w:val="center"/>
              </w:trPr>
              <w:tc>
                <w:tcPr>
                  <w:tcW w:w="741" w:type="dxa"/>
                  <w:tcBorders>
                    <w:tl2br w:val="nil"/>
                    <w:tr2bl w:val="nil"/>
                  </w:tcBorders>
                  <w:noWrap w:val="0"/>
                  <w:vAlign w:val="center"/>
                </w:tcPr>
                <w:p>
                  <w:pPr>
                    <w:pStyle w:val="61"/>
                    <w:keepNext/>
                    <w:spacing w:line="240" w:lineRule="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582" w:type="dxa"/>
                  <w:tcBorders>
                    <w:tl2br w:val="nil"/>
                    <w:tr2bl w:val="nil"/>
                  </w:tcBorders>
                  <w:noWrap w:val="0"/>
                  <w:vAlign w:val="center"/>
                </w:tcPr>
                <w:p>
                  <w:pPr>
                    <w:pStyle w:val="61"/>
                    <w:keepNext/>
                    <w:spacing w:line="240" w:lineRule="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水泵</w:t>
                  </w:r>
                </w:p>
              </w:tc>
              <w:tc>
                <w:tcPr>
                  <w:tcW w:w="1276" w:type="dxa"/>
                  <w:tcBorders>
                    <w:tl2br w:val="nil"/>
                    <w:tr2bl w:val="nil"/>
                  </w:tcBorders>
                  <w:noWrap w:val="0"/>
                  <w:vAlign w:val="center"/>
                </w:tcPr>
                <w:p>
                  <w:pPr>
                    <w:pStyle w:val="61"/>
                    <w:keepNext/>
                    <w:spacing w:line="240" w:lineRule="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80 dB(A)</w:t>
                  </w:r>
                </w:p>
              </w:tc>
              <w:tc>
                <w:tcPr>
                  <w:tcW w:w="2410" w:type="dxa"/>
                  <w:tcBorders>
                    <w:tl2br w:val="nil"/>
                    <w:tr2bl w:val="nil"/>
                  </w:tcBorders>
                  <w:noWrap w:val="0"/>
                  <w:vAlign w:val="center"/>
                </w:tcPr>
                <w:p>
                  <w:pPr>
                    <w:pStyle w:val="61"/>
                    <w:keepNext/>
                    <w:spacing w:line="240" w:lineRule="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20</w:t>
                  </w:r>
                </w:p>
              </w:tc>
              <w:tc>
                <w:tcPr>
                  <w:tcW w:w="2268" w:type="dxa"/>
                  <w:tcBorders>
                    <w:tl2br w:val="nil"/>
                    <w:tr2bl w:val="nil"/>
                  </w:tcBorders>
                  <w:noWrap w:val="0"/>
                  <w:vAlign w:val="center"/>
                </w:tcPr>
                <w:p>
                  <w:pPr>
                    <w:pStyle w:val="61"/>
                    <w:keepNext/>
                    <w:spacing w:line="240" w:lineRule="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65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369" w:hRule="atLeast"/>
                <w:jc w:val="center"/>
              </w:trPr>
              <w:tc>
                <w:tcPr>
                  <w:tcW w:w="741" w:type="dxa"/>
                  <w:tcBorders>
                    <w:tl2br w:val="nil"/>
                    <w:tr2bl w:val="nil"/>
                  </w:tcBorders>
                  <w:noWrap w:val="0"/>
                  <w:vAlign w:val="center"/>
                </w:tcPr>
                <w:p>
                  <w:pPr>
                    <w:pStyle w:val="61"/>
                    <w:keepNext/>
                    <w:spacing w:line="240" w:lineRule="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w:t>
                  </w:r>
                </w:p>
              </w:tc>
              <w:tc>
                <w:tcPr>
                  <w:tcW w:w="1582" w:type="dxa"/>
                  <w:tcBorders>
                    <w:tl2br w:val="nil"/>
                    <w:tr2bl w:val="nil"/>
                  </w:tcBorders>
                  <w:noWrap w:val="0"/>
                  <w:vAlign w:val="center"/>
                </w:tcPr>
                <w:p>
                  <w:pPr>
                    <w:pStyle w:val="61"/>
                    <w:keepNext/>
                    <w:spacing w:line="240" w:lineRule="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风机</w:t>
                  </w:r>
                </w:p>
              </w:tc>
              <w:tc>
                <w:tcPr>
                  <w:tcW w:w="1276" w:type="dxa"/>
                  <w:tcBorders>
                    <w:tl2br w:val="nil"/>
                    <w:tr2bl w:val="nil"/>
                  </w:tcBorders>
                  <w:noWrap w:val="0"/>
                  <w:vAlign w:val="center"/>
                </w:tcPr>
                <w:p>
                  <w:pPr>
                    <w:pStyle w:val="61"/>
                    <w:keepNext/>
                    <w:spacing w:line="240" w:lineRule="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75 dB(A)</w:t>
                  </w:r>
                </w:p>
              </w:tc>
              <w:tc>
                <w:tcPr>
                  <w:tcW w:w="2410" w:type="dxa"/>
                  <w:tcBorders>
                    <w:tl2br w:val="nil"/>
                    <w:tr2bl w:val="nil"/>
                  </w:tcBorders>
                  <w:noWrap w:val="0"/>
                  <w:vAlign w:val="center"/>
                </w:tcPr>
                <w:p>
                  <w:pPr>
                    <w:pStyle w:val="61"/>
                    <w:keepNext/>
                    <w:spacing w:line="240" w:lineRule="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12</w:t>
                  </w:r>
                </w:p>
              </w:tc>
              <w:tc>
                <w:tcPr>
                  <w:tcW w:w="2268" w:type="dxa"/>
                  <w:tcBorders>
                    <w:tl2br w:val="nil"/>
                    <w:tr2bl w:val="nil"/>
                  </w:tcBorders>
                  <w:noWrap w:val="0"/>
                  <w:vAlign w:val="center"/>
                </w:tcPr>
                <w:p>
                  <w:pPr>
                    <w:pStyle w:val="61"/>
                    <w:keepNext/>
                    <w:spacing w:line="240" w:lineRule="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369" w:hRule="atLeast"/>
                <w:jc w:val="center"/>
              </w:trPr>
              <w:tc>
                <w:tcPr>
                  <w:tcW w:w="741" w:type="dxa"/>
                  <w:tcBorders>
                    <w:tl2br w:val="nil"/>
                    <w:tr2bl w:val="nil"/>
                  </w:tcBorders>
                  <w:noWrap w:val="0"/>
                  <w:vAlign w:val="center"/>
                </w:tcPr>
                <w:p>
                  <w:pPr>
                    <w:pStyle w:val="61"/>
                    <w:keepNext/>
                    <w:spacing w:line="240" w:lineRule="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w:t>
                  </w:r>
                </w:p>
              </w:tc>
              <w:tc>
                <w:tcPr>
                  <w:tcW w:w="1582" w:type="dxa"/>
                  <w:tcBorders>
                    <w:tl2br w:val="nil"/>
                    <w:tr2bl w:val="nil"/>
                  </w:tcBorders>
                  <w:noWrap w:val="0"/>
                  <w:vAlign w:val="center"/>
                </w:tcPr>
                <w:p>
                  <w:pPr>
                    <w:pStyle w:val="61"/>
                    <w:keepNext/>
                    <w:spacing w:line="240" w:lineRule="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空调系统</w:t>
                  </w:r>
                </w:p>
              </w:tc>
              <w:tc>
                <w:tcPr>
                  <w:tcW w:w="1276" w:type="dxa"/>
                  <w:tcBorders>
                    <w:tl2br w:val="nil"/>
                    <w:tr2bl w:val="nil"/>
                  </w:tcBorders>
                  <w:noWrap w:val="0"/>
                  <w:vAlign w:val="center"/>
                </w:tcPr>
                <w:p>
                  <w:pPr>
                    <w:pStyle w:val="61"/>
                    <w:keepNext/>
                    <w:spacing w:line="240" w:lineRule="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75 dB(A)</w:t>
                  </w:r>
                </w:p>
              </w:tc>
              <w:tc>
                <w:tcPr>
                  <w:tcW w:w="2410" w:type="dxa"/>
                  <w:tcBorders>
                    <w:tl2br w:val="nil"/>
                    <w:tr2bl w:val="nil"/>
                  </w:tcBorders>
                  <w:noWrap w:val="0"/>
                  <w:vAlign w:val="center"/>
                </w:tcPr>
                <w:p>
                  <w:pPr>
                    <w:pStyle w:val="61"/>
                    <w:keepNext/>
                    <w:spacing w:line="240" w:lineRule="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12</w:t>
                  </w:r>
                </w:p>
              </w:tc>
              <w:tc>
                <w:tcPr>
                  <w:tcW w:w="2268" w:type="dxa"/>
                  <w:tcBorders>
                    <w:tl2br w:val="nil"/>
                    <w:tr2bl w:val="nil"/>
                  </w:tcBorders>
                  <w:noWrap w:val="0"/>
                  <w:vAlign w:val="center"/>
                </w:tcPr>
                <w:p>
                  <w:pPr>
                    <w:pStyle w:val="61"/>
                    <w:keepNext/>
                    <w:spacing w:line="240" w:lineRule="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36</w:t>
                  </w:r>
                </w:p>
              </w:tc>
            </w:tr>
          </w:tbl>
          <w:p>
            <w:pPr>
              <w:adjustRightIn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从表</w:t>
            </w:r>
            <w:r>
              <w:rPr>
                <w:rFonts w:hint="default" w:ascii="Times New Roman" w:hAnsi="Times New Roman" w:cs="Times New Roman"/>
                <w:bCs/>
                <w:color w:val="auto"/>
                <w:sz w:val="24"/>
                <w:highlight w:val="none"/>
                <w:lang w:val="en-US" w:eastAsia="zh-CN"/>
              </w:rPr>
              <w:t>7-4</w:t>
            </w:r>
            <w:r>
              <w:rPr>
                <w:rFonts w:hint="default" w:ascii="Times New Roman" w:hAnsi="Times New Roman" w:cs="Times New Roman"/>
                <w:bCs/>
                <w:color w:val="auto"/>
                <w:sz w:val="24"/>
                <w:highlight w:val="none"/>
              </w:rPr>
              <w:t>可知，设备噪声级越大，周围需要的防护距离越大。强噪声设备对周围环境影响较大，其中发电机要达到昼间2类噪声标准，其退缩距离至少在180m以上，若要达到夜间2类噪声标准，其退缩距离至少在300m以上，水泵要达到昼间2类噪声标准，其退缩距离要在20m以上，达到夜间2类噪声标准，其退缩距离要在65米以上，因此，高噪声单纯的通过距离衰减达标是不可行的，必须对其采取工程措施降噪。</w:t>
            </w:r>
          </w:p>
          <w:p>
            <w:pPr>
              <w:adjustRightInd w:val="0"/>
              <w:spacing w:line="360" w:lineRule="auto"/>
              <w:ind w:firstLine="480" w:firstLineChars="200"/>
              <w:rPr>
                <w:rFonts w:hint="default" w:ascii="Times New Roman" w:hAnsi="Times New Roman" w:cs="Times New Roman"/>
                <w:bCs/>
                <w:color w:val="auto"/>
                <w:sz w:val="24"/>
                <w:highlight w:val="none"/>
                <w:lang w:eastAsia="zh-CN"/>
              </w:rPr>
            </w:pPr>
            <w:r>
              <w:rPr>
                <w:rFonts w:hint="default" w:ascii="Times New Roman" w:hAnsi="Times New Roman" w:cs="Times New Roman"/>
                <w:bCs/>
                <w:color w:val="auto"/>
                <w:sz w:val="24"/>
                <w:highlight w:val="none"/>
                <w:lang w:eastAsia="zh-CN"/>
              </w:rPr>
              <w:t>本项目四周相邻为</w:t>
            </w:r>
            <w:r>
              <w:rPr>
                <w:rFonts w:hint="eastAsia" w:cs="Times New Roman"/>
                <w:bCs/>
                <w:color w:val="auto"/>
                <w:sz w:val="24"/>
                <w:highlight w:val="none"/>
                <w:lang w:eastAsia="zh-CN"/>
              </w:rPr>
              <w:t>居民区和商住楼</w:t>
            </w:r>
            <w:r>
              <w:rPr>
                <w:rFonts w:hint="default" w:ascii="Times New Roman" w:hAnsi="Times New Roman" w:cs="Times New Roman"/>
                <w:bCs/>
                <w:color w:val="auto"/>
                <w:sz w:val="24"/>
                <w:highlight w:val="none"/>
                <w:lang w:eastAsia="zh-CN"/>
              </w:rPr>
              <w:t>，均受本项目噪声影响。另外其余敏感点与项目噪声源的距离均超过200m，受本项目噪声的影响较小。因此，为了降低本项目噪声源对周边敏感点的影响，建设单位需采取针对各噪声源的治理措施。</w:t>
            </w:r>
          </w:p>
          <w:p>
            <w:pPr>
              <w:adjustRightInd w:val="0"/>
              <w:spacing w:line="360" w:lineRule="auto"/>
              <w:ind w:firstLine="480" w:firstLineChars="200"/>
              <w:rPr>
                <w:rFonts w:hint="default" w:ascii="Times New Roman" w:hAnsi="Times New Roman" w:cs="Times New Roman"/>
                <w:bCs/>
                <w:color w:val="auto"/>
                <w:sz w:val="24"/>
                <w:highlight w:val="none"/>
                <w:lang w:eastAsia="zh-CN"/>
              </w:rPr>
            </w:pPr>
            <w:r>
              <w:rPr>
                <w:rFonts w:hint="default" w:ascii="Times New Roman" w:hAnsi="Times New Roman" w:cs="Times New Roman"/>
                <w:bCs/>
                <w:color w:val="auto"/>
                <w:sz w:val="24"/>
                <w:highlight w:val="none"/>
                <w:lang w:eastAsia="zh-CN"/>
              </w:rPr>
              <w:t>1、备用柴油发电机</w:t>
            </w:r>
          </w:p>
          <w:p>
            <w:pPr>
              <w:adjustRightInd w:val="0"/>
              <w:spacing w:line="360" w:lineRule="auto"/>
              <w:ind w:firstLine="480" w:firstLineChars="200"/>
              <w:rPr>
                <w:rFonts w:hint="default" w:ascii="Times New Roman" w:hAnsi="Times New Roman" w:cs="Times New Roman"/>
                <w:bCs/>
                <w:color w:val="auto"/>
                <w:sz w:val="24"/>
                <w:highlight w:val="none"/>
                <w:lang w:eastAsia="zh-CN"/>
              </w:rPr>
            </w:pPr>
            <w:r>
              <w:rPr>
                <w:rFonts w:hint="default" w:ascii="Times New Roman" w:hAnsi="Times New Roman" w:cs="Times New Roman"/>
                <w:bCs/>
                <w:color w:val="auto"/>
                <w:sz w:val="24"/>
                <w:highlight w:val="none"/>
                <w:lang w:eastAsia="zh-CN"/>
              </w:rPr>
              <w:t>① 发电机房作全封闭设计，门、窗采用隔声效果良好的隔声门，若设置观察窗则需采用双层隔声窗；</w:t>
            </w:r>
          </w:p>
          <w:p>
            <w:pPr>
              <w:adjustRightInd w:val="0"/>
              <w:spacing w:line="360" w:lineRule="auto"/>
              <w:ind w:firstLine="480" w:firstLineChars="200"/>
              <w:rPr>
                <w:rFonts w:hint="default" w:ascii="Times New Roman" w:hAnsi="Times New Roman" w:cs="Times New Roman"/>
                <w:bCs/>
                <w:color w:val="auto"/>
                <w:sz w:val="24"/>
                <w:highlight w:val="none"/>
                <w:lang w:eastAsia="zh-CN"/>
              </w:rPr>
            </w:pPr>
            <w:r>
              <w:rPr>
                <w:rFonts w:hint="default" w:ascii="Times New Roman" w:hAnsi="Times New Roman" w:cs="Times New Roman"/>
                <w:bCs/>
                <w:color w:val="auto"/>
                <w:sz w:val="24"/>
                <w:highlight w:val="none"/>
                <w:lang w:eastAsia="zh-CN"/>
              </w:rPr>
              <w:t>② 机房内作吸声隔热处理，通过隔声天花增强对上方的防护效果，再经建筑结构的阻隔，不会对首层建筑产生影响；</w:t>
            </w:r>
          </w:p>
          <w:p>
            <w:pPr>
              <w:adjustRightInd w:val="0"/>
              <w:spacing w:line="360" w:lineRule="auto"/>
              <w:ind w:firstLine="480" w:firstLineChars="200"/>
              <w:rPr>
                <w:rFonts w:hint="default" w:ascii="Times New Roman" w:hAnsi="Times New Roman" w:cs="Times New Roman"/>
                <w:bCs/>
                <w:color w:val="auto"/>
                <w:sz w:val="24"/>
                <w:highlight w:val="none"/>
                <w:lang w:eastAsia="zh-CN"/>
              </w:rPr>
            </w:pPr>
            <w:r>
              <w:rPr>
                <w:rFonts w:hint="default" w:ascii="Times New Roman" w:hAnsi="Times New Roman" w:cs="Times New Roman"/>
                <w:bCs/>
                <w:color w:val="auto"/>
                <w:sz w:val="24"/>
                <w:highlight w:val="none"/>
                <w:lang w:eastAsia="zh-CN"/>
              </w:rPr>
              <w:t>③ 机械通风选用低噪风机，并在进、排风口处作消声处理；</w:t>
            </w:r>
          </w:p>
          <w:p>
            <w:pPr>
              <w:adjustRightInd w:val="0"/>
              <w:spacing w:line="360" w:lineRule="auto"/>
              <w:ind w:firstLine="480" w:firstLineChars="200"/>
              <w:rPr>
                <w:rFonts w:hint="default" w:ascii="Times New Roman" w:hAnsi="Times New Roman" w:cs="Times New Roman"/>
                <w:bCs/>
                <w:color w:val="auto"/>
                <w:sz w:val="24"/>
                <w:highlight w:val="none"/>
                <w:lang w:eastAsia="zh-CN"/>
              </w:rPr>
            </w:pPr>
            <w:r>
              <w:rPr>
                <w:rFonts w:hint="default" w:ascii="Times New Roman" w:hAnsi="Times New Roman" w:cs="Times New Roman"/>
                <w:bCs/>
                <w:color w:val="auto"/>
                <w:sz w:val="24"/>
                <w:highlight w:val="none"/>
                <w:lang w:eastAsia="zh-CN"/>
              </w:rPr>
              <w:t>④ 抽排风量考虑发电机组散热，保证整个机房内正常的工作环境；</w:t>
            </w:r>
          </w:p>
          <w:p>
            <w:pPr>
              <w:adjustRightInd w:val="0"/>
              <w:spacing w:line="360" w:lineRule="auto"/>
              <w:ind w:firstLine="480" w:firstLineChars="200"/>
              <w:rPr>
                <w:rFonts w:hint="default" w:ascii="Times New Roman" w:hAnsi="Times New Roman" w:cs="Times New Roman"/>
                <w:bCs/>
                <w:color w:val="auto"/>
                <w:sz w:val="24"/>
                <w:highlight w:val="none"/>
                <w:lang w:eastAsia="zh-CN"/>
              </w:rPr>
            </w:pPr>
            <w:r>
              <w:rPr>
                <w:rFonts w:hint="default" w:ascii="Times New Roman" w:hAnsi="Times New Roman" w:cs="Times New Roman"/>
                <w:bCs/>
                <w:color w:val="auto"/>
                <w:sz w:val="24"/>
                <w:highlight w:val="none"/>
                <w:lang w:eastAsia="zh-CN"/>
              </w:rPr>
              <w:t xml:space="preserve">⑤发电机机座做好相应的减振措施，包括设置减振基础、发电机与减振基础之间安装减振器，以防止发电机工作时产生的振动沿建筑结构上传，影响上层建筑； </w:t>
            </w:r>
          </w:p>
          <w:p>
            <w:pPr>
              <w:adjustRightInd w:val="0"/>
              <w:spacing w:line="360" w:lineRule="auto"/>
              <w:ind w:firstLine="480" w:firstLineChars="200"/>
              <w:rPr>
                <w:rFonts w:hint="default" w:ascii="Times New Roman" w:hAnsi="Times New Roman" w:cs="Times New Roman"/>
                <w:bCs/>
                <w:color w:val="auto"/>
                <w:sz w:val="24"/>
                <w:highlight w:val="none"/>
                <w:lang w:eastAsia="zh-CN"/>
              </w:rPr>
            </w:pPr>
            <w:r>
              <w:rPr>
                <w:rFonts w:hint="default" w:ascii="Times New Roman" w:hAnsi="Times New Roman" w:cs="Times New Roman"/>
                <w:bCs/>
                <w:color w:val="auto"/>
                <w:sz w:val="24"/>
                <w:highlight w:val="none"/>
                <w:lang w:eastAsia="zh-CN"/>
              </w:rPr>
              <w:t>⑥发电机房内的风机、排烟管、尾气喷淋装置等，在安装处均应设置良好的减振结构，避免发电机、风机的振动通过上设施向外传播，对上层建筑产生明显影响；</w:t>
            </w:r>
          </w:p>
          <w:p>
            <w:pPr>
              <w:adjustRightInd w:val="0"/>
              <w:spacing w:line="360" w:lineRule="auto"/>
              <w:ind w:firstLine="480" w:firstLineChars="200"/>
              <w:rPr>
                <w:rFonts w:hint="default" w:ascii="Times New Roman" w:hAnsi="Times New Roman" w:cs="Times New Roman"/>
                <w:bCs/>
                <w:color w:val="auto"/>
                <w:sz w:val="24"/>
                <w:highlight w:val="none"/>
                <w:lang w:eastAsia="zh-CN"/>
              </w:rPr>
            </w:pPr>
            <w:r>
              <w:rPr>
                <w:rFonts w:hint="default" w:ascii="Times New Roman" w:hAnsi="Times New Roman" w:cs="Times New Roman"/>
                <w:bCs/>
                <w:color w:val="auto"/>
                <w:sz w:val="24"/>
                <w:highlight w:val="none"/>
                <w:lang w:eastAsia="zh-CN"/>
              </w:rPr>
              <w:t>⑦发电机日常的维护性开机仅限昼间进行。</w:t>
            </w:r>
          </w:p>
          <w:p>
            <w:pPr>
              <w:adjustRightInd w:val="0"/>
              <w:spacing w:line="360" w:lineRule="auto"/>
              <w:ind w:firstLine="480" w:firstLineChars="200"/>
              <w:rPr>
                <w:rFonts w:hint="default" w:ascii="Times New Roman" w:hAnsi="Times New Roman" w:cs="Times New Roman"/>
                <w:bCs/>
                <w:color w:val="auto"/>
                <w:sz w:val="24"/>
                <w:highlight w:val="none"/>
                <w:lang w:eastAsia="zh-CN"/>
              </w:rPr>
            </w:pPr>
            <w:r>
              <w:rPr>
                <w:rFonts w:hint="default" w:ascii="Times New Roman" w:hAnsi="Times New Roman" w:cs="Times New Roman"/>
                <w:bCs/>
                <w:color w:val="auto"/>
                <w:sz w:val="24"/>
                <w:highlight w:val="none"/>
                <w:lang w:eastAsia="zh-CN"/>
              </w:rPr>
              <w:t>2、风机、水泵</w:t>
            </w:r>
          </w:p>
          <w:p>
            <w:pPr>
              <w:adjustRightInd w:val="0"/>
              <w:spacing w:line="360" w:lineRule="auto"/>
              <w:ind w:firstLine="480" w:firstLineChars="200"/>
              <w:rPr>
                <w:rFonts w:hint="default" w:ascii="Times New Roman" w:hAnsi="Times New Roman" w:cs="Times New Roman"/>
                <w:bCs/>
                <w:color w:val="auto"/>
                <w:sz w:val="24"/>
                <w:highlight w:val="none"/>
                <w:lang w:eastAsia="zh-CN"/>
              </w:rPr>
            </w:pPr>
            <w:r>
              <w:rPr>
                <w:rFonts w:hint="default" w:ascii="Times New Roman" w:hAnsi="Times New Roman" w:cs="Times New Roman"/>
                <w:bCs/>
                <w:color w:val="auto"/>
                <w:sz w:val="24"/>
                <w:highlight w:val="none"/>
                <w:lang w:eastAsia="zh-CN"/>
              </w:rPr>
              <w:t>对风机设备及室内风管等采取减振措施；气动性噪声部位采取消声措施；并对各种风机采取隔声处理；水泵放置在污水处理站专用设备房内，建设单位应对其进行基础减振、并经墙体隔声处理。</w:t>
            </w:r>
          </w:p>
          <w:p>
            <w:pPr>
              <w:adjustRightInd w:val="0"/>
              <w:spacing w:line="360" w:lineRule="auto"/>
              <w:ind w:firstLine="480" w:firstLineChars="200"/>
              <w:rPr>
                <w:rFonts w:hint="default" w:ascii="Times New Roman" w:hAnsi="Times New Roman" w:cs="Times New Roman"/>
                <w:bCs/>
                <w:color w:val="auto"/>
                <w:sz w:val="24"/>
                <w:highlight w:val="none"/>
                <w:lang w:eastAsia="zh-CN"/>
              </w:rPr>
            </w:pPr>
            <w:r>
              <w:rPr>
                <w:rFonts w:hint="default" w:ascii="Times New Roman" w:hAnsi="Times New Roman" w:cs="Times New Roman"/>
                <w:bCs/>
                <w:color w:val="auto"/>
                <w:sz w:val="24"/>
                <w:highlight w:val="none"/>
                <w:lang w:eastAsia="zh-CN"/>
              </w:rPr>
              <w:t>3、机动车噪声</w:t>
            </w:r>
          </w:p>
          <w:p>
            <w:pPr>
              <w:adjustRightInd w:val="0"/>
              <w:spacing w:line="360" w:lineRule="auto"/>
              <w:ind w:firstLine="480" w:firstLineChars="200"/>
              <w:rPr>
                <w:rFonts w:hint="default" w:ascii="Times New Roman" w:hAnsi="Times New Roman" w:cs="Times New Roman"/>
                <w:bCs/>
                <w:color w:val="auto"/>
                <w:sz w:val="24"/>
                <w:highlight w:val="none"/>
                <w:lang w:eastAsia="zh-CN"/>
              </w:rPr>
            </w:pPr>
            <w:r>
              <w:rPr>
                <w:rFonts w:hint="default" w:ascii="Times New Roman" w:hAnsi="Times New Roman" w:cs="Times New Roman"/>
                <w:bCs/>
                <w:color w:val="auto"/>
                <w:sz w:val="24"/>
                <w:highlight w:val="none"/>
                <w:lang w:eastAsia="zh-CN"/>
              </w:rPr>
              <w:t>建设单位应通过划定机动车行驶范围、限速、禁鸣等措施控制车辆噪声。同时注意派专人组织好车流。</w:t>
            </w:r>
          </w:p>
          <w:p>
            <w:pPr>
              <w:adjustRightInd w:val="0"/>
              <w:spacing w:line="360" w:lineRule="auto"/>
              <w:ind w:firstLine="480" w:firstLineChars="200"/>
              <w:rPr>
                <w:rFonts w:hint="default" w:ascii="Times New Roman" w:hAnsi="Times New Roman" w:cs="Times New Roman"/>
                <w:bCs/>
                <w:color w:val="auto"/>
                <w:sz w:val="24"/>
                <w:highlight w:val="none"/>
                <w:lang w:eastAsia="zh-CN"/>
              </w:rPr>
            </w:pPr>
            <w:r>
              <w:rPr>
                <w:rFonts w:hint="default" w:ascii="Times New Roman" w:hAnsi="Times New Roman" w:cs="Times New Roman"/>
                <w:bCs/>
                <w:color w:val="auto"/>
                <w:sz w:val="24"/>
                <w:highlight w:val="none"/>
                <w:lang w:eastAsia="zh-CN"/>
              </w:rPr>
              <w:t>4、看诊病人喧哗噪声</w:t>
            </w:r>
          </w:p>
          <w:p>
            <w:pPr>
              <w:adjustRightInd w:val="0"/>
              <w:spacing w:line="360" w:lineRule="auto"/>
              <w:ind w:firstLine="480" w:firstLineChars="200"/>
              <w:rPr>
                <w:rFonts w:hint="default" w:ascii="Times New Roman" w:hAnsi="Times New Roman" w:cs="Times New Roman"/>
                <w:bCs/>
                <w:color w:val="auto"/>
                <w:sz w:val="24"/>
                <w:highlight w:val="none"/>
                <w:lang w:eastAsia="zh-CN"/>
              </w:rPr>
            </w:pPr>
            <w:r>
              <w:rPr>
                <w:rFonts w:hint="default" w:ascii="Times New Roman" w:hAnsi="Times New Roman" w:cs="Times New Roman"/>
                <w:bCs/>
                <w:color w:val="auto"/>
                <w:sz w:val="24"/>
                <w:highlight w:val="none"/>
                <w:lang w:eastAsia="zh-CN"/>
              </w:rPr>
              <w:t>医院内部尤其是住院部、手术区等较需要安静的功能区应张贴禁止喧哗、保持安静等告示。</w:t>
            </w:r>
          </w:p>
          <w:p>
            <w:pPr>
              <w:adjustRightInd w:val="0"/>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项目采取上述措施处理后，项目边界环境噪声可满足《工业企业厂界环境噪声排放标准》（GB12348-2008）2类标准</w:t>
            </w:r>
            <w:r>
              <w:rPr>
                <w:rFonts w:hint="default" w:ascii="Times New Roman" w:hAnsi="Times New Roman" w:cs="Times New Roman"/>
                <w:bCs/>
                <w:color w:val="auto"/>
                <w:sz w:val="24"/>
                <w:highlight w:val="none"/>
                <w:lang w:val="en-US" w:eastAsia="zh-CN"/>
              </w:rPr>
              <w:t>，</w:t>
            </w:r>
            <w:r>
              <w:rPr>
                <w:rFonts w:hint="default" w:ascii="Times New Roman" w:hAnsi="Times New Roman" w:cs="Times New Roman"/>
                <w:bCs/>
                <w:color w:val="auto"/>
                <w:sz w:val="24"/>
                <w:highlight w:val="none"/>
              </w:rPr>
              <w:t>对周边环境无明显影响。</w:t>
            </w:r>
          </w:p>
          <w:p>
            <w:pPr>
              <w:adjustRightInd w:val="0"/>
              <w:spacing w:line="360" w:lineRule="auto"/>
              <w:ind w:firstLine="482" w:firstLineChars="200"/>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四、固体废物影响分析</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本项目运营期固废主要</w:t>
            </w:r>
            <w:r>
              <w:rPr>
                <w:rFonts w:hint="default" w:ascii="Times New Roman" w:hAnsi="Times New Roman" w:cs="Times New Roman"/>
                <w:color w:val="auto"/>
                <w:sz w:val="24"/>
                <w:highlight w:val="none"/>
                <w:lang w:eastAsia="zh-CN"/>
              </w:rPr>
              <w:t>是一般办公</w:t>
            </w:r>
            <w:r>
              <w:rPr>
                <w:rFonts w:hint="default" w:ascii="Times New Roman" w:hAnsi="Times New Roman" w:cs="Times New Roman"/>
                <w:color w:val="auto"/>
                <w:sz w:val="24"/>
                <w:highlight w:val="none"/>
              </w:rPr>
              <w:t>生活垃圾、医疗废物、</w:t>
            </w:r>
            <w:r>
              <w:rPr>
                <w:rFonts w:hint="default" w:ascii="Times New Roman" w:hAnsi="Times New Roman" w:cs="Times New Roman"/>
                <w:color w:val="auto"/>
                <w:sz w:val="24"/>
                <w:highlight w:val="none"/>
                <w:lang w:eastAsia="zh-CN"/>
              </w:rPr>
              <w:t>污水处理站产生的</w:t>
            </w:r>
            <w:r>
              <w:rPr>
                <w:rFonts w:hint="default" w:ascii="Times New Roman" w:hAnsi="Times New Roman" w:cs="Times New Roman"/>
                <w:color w:val="auto"/>
                <w:sz w:val="24"/>
                <w:highlight w:val="none"/>
              </w:rPr>
              <w:t>污泥。</w:t>
            </w:r>
          </w:p>
          <w:p>
            <w:pPr>
              <w:adjustRightIn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1</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一般办公生活垃圾</w:t>
            </w:r>
          </w:p>
          <w:p>
            <w:pPr>
              <w:adjustRightInd w:val="0"/>
              <w:spacing w:line="360" w:lineRule="auto"/>
              <w:ind w:firstLine="480" w:firstLineChars="200"/>
              <w:rPr>
                <w:rFonts w:hint="default" w:ascii="Times New Roman" w:hAnsi="Times New Roman" w:cs="Times New Roman"/>
                <w:bCs/>
                <w:color w:val="auto"/>
                <w:sz w:val="24"/>
                <w:highlight w:val="none"/>
                <w:lang w:val="en-US" w:eastAsia="zh-CN"/>
              </w:rPr>
            </w:pPr>
            <w:r>
              <w:rPr>
                <w:rFonts w:hint="default" w:ascii="Times New Roman" w:hAnsi="Times New Roman" w:cs="Times New Roman"/>
                <w:bCs/>
                <w:color w:val="auto"/>
                <w:sz w:val="24"/>
                <w:highlight w:val="none"/>
                <w:lang w:val="en-US" w:eastAsia="zh-CN"/>
              </w:rPr>
              <w:t>一般办公生活垃圾主要为办公生活区和诊疗区产生的普通生活垃圾、纸张、医院药品、器材等包装材料等。本项目的一般办公生活垃圾主要来自住院病人、门诊人员和医护人员，生活垃圾统一收集后交由环卫部门清运。项目产生的一般办公生活垃圾见表7-8。</w:t>
            </w:r>
          </w:p>
          <w:p>
            <w:pPr>
              <w:pStyle w:val="2"/>
              <w:ind w:left="0" w:leftChars="0" w:firstLine="0" w:firstLineChars="0"/>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表7-8 项目一般办公生活垃圾一览表</w:t>
            </w:r>
          </w:p>
          <w:tbl>
            <w:tblPr>
              <w:tblStyle w:val="32"/>
              <w:tblW w:w="77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
              <w:gridCol w:w="1245"/>
              <w:gridCol w:w="2571"/>
              <w:gridCol w:w="1559"/>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861" w:type="dxa"/>
                  <w:vAlign w:val="center"/>
                </w:tcPr>
                <w:p>
                  <w:pPr>
                    <w:pStyle w:val="2"/>
                    <w:ind w:left="0" w:leftChars="0" w:firstLine="0" w:firstLineChars="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序号</w:t>
                  </w:r>
                </w:p>
              </w:tc>
              <w:tc>
                <w:tcPr>
                  <w:tcW w:w="1245" w:type="dxa"/>
                  <w:vAlign w:val="center"/>
                </w:tcPr>
                <w:p>
                  <w:pPr>
                    <w:pStyle w:val="2"/>
                    <w:ind w:left="0" w:leftChars="0" w:firstLine="0" w:firstLineChars="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来源</w:t>
                  </w:r>
                </w:p>
              </w:tc>
              <w:tc>
                <w:tcPr>
                  <w:tcW w:w="2571" w:type="dxa"/>
                  <w:vAlign w:val="center"/>
                </w:tcPr>
                <w:p>
                  <w:pPr>
                    <w:pStyle w:val="2"/>
                    <w:ind w:left="0" w:leftChars="0" w:firstLine="0" w:firstLineChars="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系数</w:t>
                  </w:r>
                </w:p>
              </w:tc>
              <w:tc>
                <w:tcPr>
                  <w:tcW w:w="1559" w:type="dxa"/>
                  <w:vAlign w:val="center"/>
                </w:tcPr>
                <w:p>
                  <w:pPr>
                    <w:pStyle w:val="2"/>
                    <w:ind w:left="0" w:leftChars="0" w:firstLine="0" w:firstLineChars="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数量</w:t>
                  </w:r>
                </w:p>
              </w:tc>
              <w:tc>
                <w:tcPr>
                  <w:tcW w:w="1559" w:type="dxa"/>
                  <w:vAlign w:val="center"/>
                </w:tcPr>
                <w:p>
                  <w:pPr>
                    <w:pStyle w:val="2"/>
                    <w:ind w:left="0" w:leftChars="0" w:firstLine="0" w:firstLineChars="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年产量（t/a）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861"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w:t>
                  </w:r>
                </w:p>
              </w:tc>
              <w:tc>
                <w:tcPr>
                  <w:tcW w:w="1245"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住院病人</w:t>
                  </w:r>
                </w:p>
              </w:tc>
              <w:tc>
                <w:tcPr>
                  <w:tcW w:w="2571"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0.8kg/（床·d）</w:t>
                  </w:r>
                </w:p>
              </w:tc>
              <w:tc>
                <w:tcPr>
                  <w:tcW w:w="1559"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90</w:t>
                  </w:r>
                </w:p>
              </w:tc>
              <w:tc>
                <w:tcPr>
                  <w:tcW w:w="1559"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26.28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861"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w:t>
                  </w:r>
                </w:p>
              </w:tc>
              <w:tc>
                <w:tcPr>
                  <w:tcW w:w="1245"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门诊人员</w:t>
                  </w:r>
                </w:p>
              </w:tc>
              <w:tc>
                <w:tcPr>
                  <w:tcW w:w="2571"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0.2kg/人</w:t>
                  </w:r>
                </w:p>
              </w:tc>
              <w:tc>
                <w:tcPr>
                  <w:tcW w:w="1559"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3000</w:t>
                  </w:r>
                </w:p>
              </w:tc>
              <w:tc>
                <w:tcPr>
                  <w:tcW w:w="1559"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861"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w:t>
                  </w:r>
                </w:p>
              </w:tc>
              <w:tc>
                <w:tcPr>
                  <w:tcW w:w="1245"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医护人员</w:t>
                  </w:r>
                </w:p>
              </w:tc>
              <w:tc>
                <w:tcPr>
                  <w:tcW w:w="2571"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1kg/（人·d）</w:t>
                  </w:r>
                </w:p>
              </w:tc>
              <w:tc>
                <w:tcPr>
                  <w:tcW w:w="1559"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50</w:t>
                  </w:r>
                </w:p>
              </w:tc>
              <w:tc>
                <w:tcPr>
                  <w:tcW w:w="1559"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18.25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861"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p>
              </w:tc>
              <w:tc>
                <w:tcPr>
                  <w:tcW w:w="3816" w:type="dxa"/>
                  <w:gridSpan w:val="2"/>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合计</w:t>
                  </w:r>
                </w:p>
              </w:tc>
              <w:tc>
                <w:tcPr>
                  <w:tcW w:w="1559"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w:t>
                  </w:r>
                </w:p>
              </w:tc>
              <w:tc>
                <w:tcPr>
                  <w:tcW w:w="1559" w:type="dxa"/>
                  <w:vAlign w:val="center"/>
                </w:tcPr>
                <w:p>
                  <w:pPr>
                    <w:pStyle w:val="2"/>
                    <w:ind w:left="0" w:leftChars="0" w:firstLine="0" w:firstLineChars="0"/>
                    <w:jc w:val="center"/>
                    <w:rPr>
                      <w:rFonts w:hint="default"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45.13</w:t>
                  </w:r>
                </w:p>
              </w:tc>
            </w:tr>
          </w:tbl>
          <w:p>
            <w:pPr>
              <w:adjustRightIn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2、医疗废物</w:t>
            </w:r>
          </w:p>
          <w:p>
            <w:pPr>
              <w:adjustRightIn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根据《第一次全国污染源普查城镇生活产排污系数手册》中一级医院医疗废物产污系数为0.1-0.7kg/床·d，因此项目医疗废物产污系数取平均值0.4kg/床·d，项目设</w:t>
            </w:r>
            <w:r>
              <w:rPr>
                <w:rFonts w:hint="eastAsia" w:cs="Times New Roman"/>
                <w:color w:val="auto"/>
                <w:sz w:val="24"/>
                <w:highlight w:val="none"/>
                <w:lang w:val="en-US" w:eastAsia="zh-CN"/>
              </w:rPr>
              <w:t>90</w:t>
            </w:r>
            <w:r>
              <w:rPr>
                <w:rFonts w:hint="default" w:ascii="Times New Roman" w:hAnsi="Times New Roman" w:cs="Times New Roman"/>
                <w:color w:val="auto"/>
                <w:sz w:val="24"/>
                <w:highlight w:val="none"/>
                <w:lang w:val="en-US" w:eastAsia="zh-CN"/>
              </w:rPr>
              <w:t>个床位，则项目医疗废物的产生量为</w:t>
            </w:r>
            <w:r>
              <w:rPr>
                <w:rFonts w:hint="eastAsia" w:cs="Times New Roman"/>
                <w:color w:val="auto"/>
                <w:sz w:val="24"/>
                <w:highlight w:val="none"/>
                <w:lang w:val="en-US" w:eastAsia="zh-CN"/>
              </w:rPr>
              <w:t>13.14</w:t>
            </w:r>
            <w:r>
              <w:rPr>
                <w:rFonts w:hint="default" w:ascii="Times New Roman" w:hAnsi="Times New Roman" w:cs="Times New Roman"/>
                <w:color w:val="auto"/>
                <w:sz w:val="24"/>
                <w:highlight w:val="none"/>
                <w:lang w:val="en-US" w:eastAsia="zh-CN"/>
              </w:rPr>
              <w:t>t/a。根据《国家危险废物名录》（2016年），医疗废物属于危险废物，应统一收集后交由有资质单位回收处理。</w:t>
            </w:r>
          </w:p>
          <w:p>
            <w:pPr>
              <w:adjustRightIn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3、污水处理站产生的污泥</w:t>
            </w:r>
          </w:p>
          <w:p>
            <w:pPr>
              <w:adjustRightInd w:val="0"/>
              <w:spacing w:line="360" w:lineRule="auto"/>
              <w:ind w:firstLine="480" w:firstLineChars="200"/>
              <w:rPr>
                <w:rFonts w:hint="default" w:ascii="Times New Roman" w:hAnsi="Times New Roman" w:cs="Times New Roman"/>
                <w:color w:val="auto"/>
                <w:highlight w:val="none"/>
              </w:rPr>
            </w:pPr>
            <w:r>
              <w:rPr>
                <w:rFonts w:hint="default" w:ascii="Times New Roman" w:hAnsi="Times New Roman" w:cs="Times New Roman"/>
                <w:color w:val="auto"/>
                <w:sz w:val="24"/>
                <w:highlight w:val="none"/>
                <w:lang w:val="en-US" w:eastAsia="zh-CN"/>
              </w:rPr>
              <w:t>根据《医院污水处理工程技术规范》（HJ2029-2013）要求，脱水污泥含水率应小于80%，参考《集中式污染治理设施产排污系数手册》（2010年），当采用生化法污水处理工艺时，含水污泥产生系数取1.25t/t化学需氧量去除量，本项目废水化学需氧量去除量为</w:t>
            </w:r>
            <w:r>
              <w:rPr>
                <w:rFonts w:hint="eastAsia" w:cs="Times New Roman"/>
                <w:color w:val="auto"/>
                <w:sz w:val="24"/>
                <w:highlight w:val="none"/>
                <w:lang w:val="en-US" w:eastAsia="zh-CN"/>
              </w:rPr>
              <w:t>5.77</w:t>
            </w:r>
            <w:r>
              <w:rPr>
                <w:rFonts w:hint="default" w:ascii="Times New Roman" w:hAnsi="Times New Roman" w:cs="Times New Roman"/>
                <w:color w:val="auto"/>
                <w:sz w:val="24"/>
                <w:highlight w:val="none"/>
                <w:lang w:val="en-US" w:eastAsia="zh-CN"/>
              </w:rPr>
              <w:t>t/a，则污水处理站污泥产生量约为</w:t>
            </w:r>
            <w:r>
              <w:rPr>
                <w:rFonts w:hint="eastAsia" w:cs="Times New Roman"/>
                <w:color w:val="auto"/>
                <w:sz w:val="24"/>
                <w:highlight w:val="none"/>
                <w:lang w:val="en-US" w:eastAsia="zh-CN"/>
              </w:rPr>
              <w:t>7.21</w:t>
            </w:r>
            <w:r>
              <w:rPr>
                <w:rFonts w:hint="default" w:ascii="Times New Roman" w:hAnsi="Times New Roman" w:cs="Times New Roman"/>
                <w:color w:val="auto"/>
                <w:sz w:val="24"/>
                <w:highlight w:val="none"/>
                <w:lang w:val="en-US" w:eastAsia="zh-CN"/>
              </w:rPr>
              <w:t>t/a。按照《医疗机构水污染物排放标准》（GBl8466-2005）</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4"/>
                <w:highlight w:val="none"/>
                <w:lang w:val="en-US" w:eastAsia="zh-CN"/>
              </w:rPr>
              <w:t>污泥属于危险废物，应统一收集后交由有资质单位回收处理。</w:t>
            </w:r>
          </w:p>
          <w:p>
            <w:pPr>
              <w:ind w:firstLine="480" w:firstLineChars="200"/>
              <w:rPr>
                <w:rFonts w:hint="default" w:ascii="Times New Roman" w:hAnsi="Times New Roman" w:cs="Times New Roman"/>
                <w:color w:val="auto"/>
                <w:highlight w:val="none"/>
              </w:rPr>
            </w:pPr>
            <w:r>
              <w:rPr>
                <w:rFonts w:hint="default" w:ascii="Times New Roman" w:hAnsi="Times New Roman" w:cs="Times New Roman"/>
                <w:color w:val="auto"/>
                <w:sz w:val="24"/>
                <w:highlight w:val="none"/>
                <w:lang w:val="en-US" w:eastAsia="zh-CN"/>
              </w:rPr>
              <w:t>根据固体废物污染源分析，项目危险废物汇总情况见下表：</w:t>
            </w:r>
          </w:p>
          <w:p>
            <w:pPr>
              <w:pStyle w:val="2"/>
              <w:ind w:left="0" w:leftChars="0" w:firstLine="0" w:firstLineChars="0"/>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表7-9 项目危险废物汇总表</w:t>
            </w:r>
          </w:p>
          <w:tbl>
            <w:tblPr>
              <w:tblStyle w:val="31"/>
              <w:tblW w:w="9220"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02"/>
              <w:gridCol w:w="760"/>
              <w:gridCol w:w="810"/>
              <w:gridCol w:w="1065"/>
              <w:gridCol w:w="873"/>
              <w:gridCol w:w="822"/>
              <w:gridCol w:w="585"/>
              <w:gridCol w:w="975"/>
              <w:gridCol w:w="990"/>
              <w:gridCol w:w="510"/>
              <w:gridCol w:w="634"/>
              <w:gridCol w:w="69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21" w:hRule="atLeast"/>
                <w:jc w:val="center"/>
              </w:trPr>
              <w:tc>
                <w:tcPr>
                  <w:tcW w:w="502" w:type="dxa"/>
                  <w:noWrap w:val="0"/>
                  <w:vAlign w:val="center"/>
                </w:tcPr>
                <w:p>
                  <w:pPr>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序号</w:t>
                  </w:r>
                </w:p>
              </w:tc>
              <w:tc>
                <w:tcPr>
                  <w:tcW w:w="760" w:type="dxa"/>
                  <w:noWrap w:val="0"/>
                  <w:vAlign w:val="center"/>
                </w:tcPr>
                <w:p>
                  <w:pPr>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危险废物名称</w:t>
                  </w:r>
                </w:p>
              </w:tc>
              <w:tc>
                <w:tcPr>
                  <w:tcW w:w="810" w:type="dxa"/>
                  <w:noWrap w:val="0"/>
                  <w:vAlign w:val="center"/>
                </w:tcPr>
                <w:p>
                  <w:pPr>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危险废物类别</w:t>
                  </w:r>
                </w:p>
              </w:tc>
              <w:tc>
                <w:tcPr>
                  <w:tcW w:w="1065" w:type="dxa"/>
                  <w:noWrap w:val="0"/>
                  <w:vAlign w:val="center"/>
                </w:tcPr>
                <w:p>
                  <w:pPr>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危险废物代码</w:t>
                  </w:r>
                </w:p>
              </w:tc>
              <w:tc>
                <w:tcPr>
                  <w:tcW w:w="873" w:type="dxa"/>
                  <w:noWrap w:val="0"/>
                  <w:vAlign w:val="center"/>
                </w:tcPr>
                <w:p>
                  <w:pPr>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产生量（吨/年）</w:t>
                  </w:r>
                </w:p>
              </w:tc>
              <w:tc>
                <w:tcPr>
                  <w:tcW w:w="822" w:type="dxa"/>
                  <w:noWrap w:val="0"/>
                  <w:vAlign w:val="center"/>
                </w:tcPr>
                <w:p>
                  <w:pPr>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产生工序及装置</w:t>
                  </w:r>
                </w:p>
              </w:tc>
              <w:tc>
                <w:tcPr>
                  <w:tcW w:w="585" w:type="dxa"/>
                  <w:noWrap w:val="0"/>
                  <w:vAlign w:val="center"/>
                </w:tcPr>
                <w:p>
                  <w:pPr>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形态</w:t>
                  </w:r>
                </w:p>
              </w:tc>
              <w:tc>
                <w:tcPr>
                  <w:tcW w:w="975" w:type="dxa"/>
                  <w:noWrap w:val="0"/>
                  <w:vAlign w:val="center"/>
                </w:tcPr>
                <w:p>
                  <w:pPr>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主要成分</w:t>
                  </w:r>
                </w:p>
              </w:tc>
              <w:tc>
                <w:tcPr>
                  <w:tcW w:w="990" w:type="dxa"/>
                  <w:noWrap w:val="0"/>
                  <w:vAlign w:val="center"/>
                </w:tcPr>
                <w:p>
                  <w:pPr>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有害成分</w:t>
                  </w:r>
                </w:p>
              </w:tc>
              <w:tc>
                <w:tcPr>
                  <w:tcW w:w="510" w:type="dxa"/>
                  <w:noWrap w:val="0"/>
                  <w:vAlign w:val="center"/>
                </w:tcPr>
                <w:p>
                  <w:pPr>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产废周期</w:t>
                  </w:r>
                </w:p>
              </w:tc>
              <w:tc>
                <w:tcPr>
                  <w:tcW w:w="634" w:type="dxa"/>
                  <w:noWrap w:val="0"/>
                  <w:vAlign w:val="center"/>
                </w:tcPr>
                <w:p>
                  <w:pPr>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危险</w:t>
                  </w:r>
                </w:p>
                <w:p>
                  <w:pPr>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特性</w:t>
                  </w:r>
                </w:p>
              </w:tc>
              <w:tc>
                <w:tcPr>
                  <w:tcW w:w="694" w:type="dxa"/>
                  <w:noWrap w:val="0"/>
                  <w:vAlign w:val="center"/>
                </w:tcPr>
                <w:p>
                  <w:pPr>
                    <w:adjustRightInd w:val="0"/>
                    <w:snapToGrid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污染防治措施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02"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p>
              </w:tc>
              <w:tc>
                <w:tcPr>
                  <w:tcW w:w="760"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医疗废物</w:t>
                  </w:r>
                </w:p>
              </w:tc>
              <w:tc>
                <w:tcPr>
                  <w:tcW w:w="810" w:type="dxa"/>
                  <w:noWrap w:val="0"/>
                  <w:vAlign w:val="center"/>
                </w:tcPr>
                <w:p>
                  <w:pPr>
                    <w:pStyle w:val="103"/>
                    <w:spacing w:line="240" w:lineRule="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HW0</w:t>
                  </w:r>
                  <w:r>
                    <w:rPr>
                      <w:rFonts w:hint="default" w:ascii="Times New Roman" w:hAnsi="Times New Roman" w:eastAsia="宋体" w:cs="Times New Roman"/>
                      <w:color w:val="auto"/>
                      <w:sz w:val="21"/>
                      <w:szCs w:val="21"/>
                      <w:highlight w:val="none"/>
                      <w:lang w:val="en-US" w:eastAsia="zh-CN"/>
                    </w:rPr>
                    <w:t>1</w:t>
                  </w:r>
                </w:p>
              </w:tc>
              <w:tc>
                <w:tcPr>
                  <w:tcW w:w="1065" w:type="dxa"/>
                  <w:noWrap w:val="0"/>
                  <w:vAlign w:val="center"/>
                </w:tcPr>
                <w:p>
                  <w:pPr>
                    <w:pStyle w:val="103"/>
                    <w:spacing w:line="240" w:lineRule="auto"/>
                    <w:rPr>
                      <w:rFonts w:hint="default" w:ascii="Times New Roman" w:hAnsi="Times New Roman" w:eastAsia="黑体" w:cs="Times New Roman"/>
                      <w:color w:val="auto"/>
                      <w:sz w:val="21"/>
                      <w:szCs w:val="21"/>
                      <w:highlight w:val="none"/>
                      <w:lang w:val="en-US" w:eastAsia="zh-CN"/>
                    </w:rPr>
                  </w:pPr>
                  <w:r>
                    <w:rPr>
                      <w:rFonts w:hint="default" w:ascii="Times New Roman" w:hAnsi="Times New Roman" w:cs="Times New Roman"/>
                      <w:color w:val="auto"/>
                      <w:sz w:val="21"/>
                      <w:szCs w:val="21"/>
                      <w:highlight w:val="none"/>
                    </w:rPr>
                    <w:t xml:space="preserve">831-001-01 </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lang w:val="en-US" w:eastAsia="zh-CN"/>
                    </w:rPr>
                    <w:t>831-002-01；831-003-01；831-004-01；831-005-01</w:t>
                  </w:r>
                </w:p>
              </w:tc>
              <w:tc>
                <w:tcPr>
                  <w:tcW w:w="873"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13.14</w:t>
                  </w:r>
                </w:p>
              </w:tc>
              <w:tc>
                <w:tcPr>
                  <w:tcW w:w="822"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医院医疗</w:t>
                  </w:r>
                </w:p>
              </w:tc>
              <w:tc>
                <w:tcPr>
                  <w:tcW w:w="585"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固态；液态</w:t>
                  </w:r>
                </w:p>
              </w:tc>
              <w:tc>
                <w:tcPr>
                  <w:tcW w:w="975"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感染性废物；损伤性废物；病理性废物；化学性废物；药物性废物</w:t>
                  </w:r>
                </w:p>
              </w:tc>
              <w:tc>
                <w:tcPr>
                  <w:tcW w:w="990"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感染性废物；损伤性废物；病理性废物；化学性废物；药物性废物</w:t>
                  </w:r>
                </w:p>
              </w:tc>
              <w:tc>
                <w:tcPr>
                  <w:tcW w:w="510"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每日</w:t>
                  </w:r>
                </w:p>
              </w:tc>
              <w:tc>
                <w:tcPr>
                  <w:tcW w:w="634"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感染性；毒性</w:t>
                  </w:r>
                </w:p>
              </w:tc>
              <w:tc>
                <w:tcPr>
                  <w:tcW w:w="694" w:type="dxa"/>
                  <w:vMerge w:val="restart"/>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交由有资质单位处理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02"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w:t>
                  </w:r>
                </w:p>
              </w:tc>
              <w:tc>
                <w:tcPr>
                  <w:tcW w:w="760"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污泥</w:t>
                  </w:r>
                </w:p>
              </w:tc>
              <w:tc>
                <w:tcPr>
                  <w:tcW w:w="810" w:type="dxa"/>
                  <w:noWrap w:val="0"/>
                  <w:vAlign w:val="center"/>
                </w:tcPr>
                <w:p>
                  <w:pPr>
                    <w:pStyle w:val="103"/>
                    <w:spacing w:line="240" w:lineRule="auto"/>
                    <w:rPr>
                      <w:rFonts w:hint="default" w:ascii="Times New Roman" w:hAnsi="Times New Roman" w:eastAsia="黑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w:t>
                  </w:r>
                </w:p>
              </w:tc>
              <w:tc>
                <w:tcPr>
                  <w:tcW w:w="1065" w:type="dxa"/>
                  <w:noWrap w:val="0"/>
                  <w:vAlign w:val="center"/>
                </w:tcPr>
                <w:p>
                  <w:pPr>
                    <w:pStyle w:val="103"/>
                    <w:spacing w:line="240" w:lineRule="auto"/>
                    <w:rPr>
                      <w:rFonts w:hint="default" w:ascii="Times New Roman" w:hAnsi="Times New Roman" w:eastAsia="黑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w:t>
                  </w:r>
                </w:p>
              </w:tc>
              <w:tc>
                <w:tcPr>
                  <w:tcW w:w="873"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7.21</w:t>
                  </w:r>
                </w:p>
              </w:tc>
              <w:tc>
                <w:tcPr>
                  <w:tcW w:w="822"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污水处理站</w:t>
                  </w:r>
                </w:p>
              </w:tc>
              <w:tc>
                <w:tcPr>
                  <w:tcW w:w="585"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固态</w:t>
                  </w:r>
                </w:p>
              </w:tc>
              <w:tc>
                <w:tcPr>
                  <w:tcW w:w="975"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有机物质，无机物质</w:t>
                  </w:r>
                </w:p>
              </w:tc>
              <w:tc>
                <w:tcPr>
                  <w:tcW w:w="990"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有机、无机污染物和致病菌、</w:t>
                  </w:r>
                </w:p>
                <w:p>
                  <w:pPr>
                    <w:adjustRightInd w:val="0"/>
                    <w:snapToGrid w:val="0"/>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病毒、寄生虫卵等</w:t>
                  </w:r>
                </w:p>
              </w:tc>
              <w:tc>
                <w:tcPr>
                  <w:tcW w:w="510"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每日</w:t>
                  </w:r>
                </w:p>
              </w:tc>
              <w:tc>
                <w:tcPr>
                  <w:tcW w:w="634"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感染性；毒性</w:t>
                  </w:r>
                </w:p>
              </w:tc>
              <w:tc>
                <w:tcPr>
                  <w:tcW w:w="694" w:type="dxa"/>
                  <w:vMerge w:val="continue"/>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highlight w:val="none"/>
                    </w:rPr>
                  </w:pPr>
                </w:p>
              </w:tc>
            </w:tr>
          </w:tbl>
          <w:p>
            <w:pPr>
              <w:adjustRightInd w:val="0"/>
              <w:spacing w:line="360" w:lineRule="auto"/>
              <w:ind w:firstLine="480" w:firstLineChars="200"/>
              <w:rPr>
                <w:rFonts w:hint="default" w:ascii="Times New Roman" w:hAnsi="Times New Roman" w:cs="Times New Roman"/>
                <w:bCs/>
                <w:color w:val="auto"/>
                <w:sz w:val="24"/>
                <w:highlight w:val="none"/>
                <w:lang w:val="en-US" w:eastAsia="zh-CN"/>
              </w:rPr>
            </w:pPr>
            <w:r>
              <w:rPr>
                <w:rFonts w:hint="default" w:ascii="Times New Roman" w:hAnsi="Times New Roman" w:cs="Times New Roman"/>
                <w:bCs/>
                <w:color w:val="auto"/>
                <w:sz w:val="24"/>
                <w:highlight w:val="none"/>
                <w:lang w:val="en-US" w:eastAsia="zh-CN"/>
              </w:rPr>
              <w:t>危险废物的环境影响分析：</w:t>
            </w:r>
          </w:p>
          <w:p>
            <w:pPr>
              <w:adjustRightInd w:val="0"/>
              <w:spacing w:line="360" w:lineRule="auto"/>
              <w:ind w:firstLine="480" w:firstLineChars="200"/>
              <w:rPr>
                <w:rFonts w:hint="default" w:ascii="Times New Roman" w:hAnsi="Times New Roman" w:cs="Times New Roman"/>
                <w:bCs/>
                <w:color w:val="auto"/>
                <w:sz w:val="24"/>
                <w:highlight w:val="none"/>
                <w:lang w:val="en-US" w:eastAsia="zh-CN"/>
              </w:rPr>
            </w:pPr>
            <w:r>
              <w:rPr>
                <w:rFonts w:hint="default" w:ascii="Times New Roman" w:hAnsi="Times New Roman" w:cs="Times New Roman"/>
                <w:bCs/>
                <w:color w:val="auto"/>
                <w:sz w:val="24"/>
                <w:highlight w:val="none"/>
                <w:lang w:val="en-US" w:eastAsia="zh-CN"/>
              </w:rPr>
              <w:t>（1）危险废物贮存场所（设施）环境影响分析</w:t>
            </w:r>
          </w:p>
          <w:p>
            <w:pPr>
              <w:adjustRightInd w:val="0"/>
              <w:spacing w:line="360" w:lineRule="auto"/>
              <w:ind w:firstLine="480" w:firstLineChars="200"/>
              <w:rPr>
                <w:rFonts w:hint="default" w:ascii="Times New Roman" w:hAnsi="Times New Roman" w:cs="Times New Roman"/>
                <w:bCs/>
                <w:color w:val="auto"/>
                <w:sz w:val="24"/>
                <w:highlight w:val="none"/>
                <w:lang w:val="en-US" w:eastAsia="zh-CN"/>
              </w:rPr>
            </w:pPr>
            <w:r>
              <w:rPr>
                <w:rFonts w:hint="default" w:ascii="Times New Roman" w:hAnsi="Times New Roman" w:cs="Times New Roman"/>
                <w:bCs/>
                <w:color w:val="auto"/>
                <w:sz w:val="24"/>
                <w:highlight w:val="none"/>
                <w:lang w:val="en-US" w:eastAsia="zh-CN"/>
              </w:rPr>
              <w:t>项目医疗废物暂存间位于地下设备房内，项目医疗废物暂存间建设应符合《危险废物贮存污染控制标准》（GB18596-2001）及其修改单中的相关要求，具备防风、防雨、防晒、防渗漏措施，要求危险废物用专用容器收集并置于暂存区内，贮放期间封闭危险废物暂存区，危险废物收集容器及时加盖。在正常情况下，危险废物贮存期间不会对环境空气、地表水、地下水、土壤及环境敏感保护目标造成影响。非正常情况下，容器破裂，地面防腐防渗层失效，导致危险废物污染地下水、土壤，对其造成不良影响。建设单位应加强管理，设置专员负责危险废物的管理，定期检查，避免危险废物渗漏对环境造成不良影响。</w:t>
            </w:r>
          </w:p>
          <w:p>
            <w:pPr>
              <w:adjustRightInd w:val="0"/>
              <w:spacing w:line="360" w:lineRule="auto"/>
              <w:ind w:firstLine="480" w:firstLineChars="200"/>
              <w:rPr>
                <w:rFonts w:hint="default" w:ascii="Times New Roman" w:hAnsi="Times New Roman" w:cs="Times New Roman"/>
                <w:bCs/>
                <w:color w:val="auto"/>
                <w:sz w:val="24"/>
                <w:highlight w:val="none"/>
                <w:lang w:val="en-US" w:eastAsia="zh-CN"/>
              </w:rPr>
            </w:pPr>
            <w:r>
              <w:rPr>
                <w:rFonts w:hint="default" w:ascii="Times New Roman" w:hAnsi="Times New Roman" w:cs="Times New Roman"/>
                <w:bCs/>
                <w:color w:val="auto"/>
                <w:sz w:val="24"/>
                <w:highlight w:val="none"/>
                <w:lang w:val="en-US" w:eastAsia="zh-CN"/>
              </w:rPr>
              <w:t>（2）运输过程的环境影响分析</w:t>
            </w:r>
          </w:p>
          <w:p>
            <w:pPr>
              <w:adjustRightInd w:val="0"/>
              <w:spacing w:line="360" w:lineRule="auto"/>
              <w:ind w:firstLine="480" w:firstLineChars="200"/>
              <w:rPr>
                <w:rFonts w:hint="default" w:ascii="Times New Roman" w:hAnsi="Times New Roman" w:cs="Times New Roman"/>
                <w:bCs/>
                <w:color w:val="auto"/>
                <w:sz w:val="24"/>
                <w:highlight w:val="none"/>
                <w:lang w:val="en-US" w:eastAsia="zh-CN"/>
              </w:rPr>
            </w:pPr>
            <w:r>
              <w:rPr>
                <w:rFonts w:hint="default" w:ascii="Times New Roman" w:hAnsi="Times New Roman" w:cs="Times New Roman"/>
                <w:bCs/>
                <w:color w:val="auto"/>
                <w:sz w:val="24"/>
                <w:highlight w:val="none"/>
                <w:lang w:val="en-US" w:eastAsia="zh-CN"/>
              </w:rPr>
              <w:t>本项目医疗废物暂存间位于地下设备房内，本项目各科室内分别设有带盖的小型医疗废物收集桶。医疗废物收集后，由医护人员将其放入医疗废物暂存间的带盖垃圾桶，污水处理站位于地下设备房内，污泥统一收集后放入医疗废物暂存间专用容器，不会发生散落、泄露等情况。</w:t>
            </w:r>
          </w:p>
          <w:p>
            <w:pPr>
              <w:adjustRightInd w:val="0"/>
              <w:spacing w:line="360" w:lineRule="auto"/>
              <w:ind w:firstLine="480" w:firstLineChars="200"/>
              <w:rPr>
                <w:rFonts w:hint="default" w:ascii="Times New Roman" w:hAnsi="Times New Roman" w:cs="Times New Roman"/>
                <w:bCs/>
                <w:color w:val="auto"/>
                <w:sz w:val="24"/>
                <w:highlight w:val="none"/>
                <w:lang w:val="en-US" w:eastAsia="zh-CN"/>
              </w:rPr>
            </w:pPr>
            <w:r>
              <w:rPr>
                <w:rFonts w:hint="default" w:ascii="Times New Roman" w:hAnsi="Times New Roman" w:cs="Times New Roman"/>
                <w:bCs/>
                <w:color w:val="auto"/>
                <w:sz w:val="24"/>
                <w:highlight w:val="none"/>
                <w:lang w:val="en-US" w:eastAsia="zh-CN"/>
              </w:rPr>
              <w:t>危险废物转运应委托有危险废物处理资质的单位负责，危险废物由专用容器收集，专车运输。运输过程按照国家有关规定制定危险废物管理计划，并向所在地县级以上地方人民政府环境保护行政主管部门申报申报危险废物类型、产生量、处理处置方法等有关资料，运输过程不会对环境造成影响。</w:t>
            </w:r>
          </w:p>
          <w:p>
            <w:pPr>
              <w:pStyle w:val="16"/>
              <w:ind w:firstLine="422"/>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表</w:t>
            </w:r>
            <w:r>
              <w:rPr>
                <w:rFonts w:hint="default" w:ascii="Times New Roman" w:hAnsi="Times New Roman" w:cs="Times New Roman"/>
                <w:b/>
                <w:color w:val="auto"/>
                <w:sz w:val="21"/>
                <w:szCs w:val="21"/>
                <w:highlight w:val="none"/>
                <w:lang w:val="en-US" w:eastAsia="zh-CN"/>
              </w:rPr>
              <w:t>7-10</w:t>
            </w:r>
            <w:r>
              <w:rPr>
                <w:rFonts w:hint="default" w:ascii="Times New Roman" w:hAnsi="Times New Roman" w:cs="Times New Roman"/>
                <w:b/>
                <w:color w:val="auto"/>
                <w:sz w:val="21"/>
                <w:szCs w:val="21"/>
                <w:highlight w:val="none"/>
              </w:rPr>
              <w:t xml:space="preserve"> 项目危险废物贮存场所（设施）基本情况表</w:t>
            </w:r>
          </w:p>
          <w:tbl>
            <w:tblPr>
              <w:tblStyle w:val="31"/>
              <w:tblW w:w="87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8"/>
              <w:gridCol w:w="744"/>
              <w:gridCol w:w="1111"/>
              <w:gridCol w:w="925"/>
              <w:gridCol w:w="1385"/>
              <w:gridCol w:w="713"/>
              <w:gridCol w:w="797"/>
              <w:gridCol w:w="1071"/>
              <w:gridCol w:w="643"/>
              <w:gridCol w:w="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98" w:type="dxa"/>
                  <w:noWrap w:val="0"/>
                  <w:vAlign w:val="center"/>
                </w:tcPr>
                <w:p>
                  <w:pPr>
                    <w:pStyle w:val="103"/>
                    <w:spacing w:line="240" w:lineRule="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744" w:type="dxa"/>
                  <w:noWrap w:val="0"/>
                  <w:vAlign w:val="center"/>
                </w:tcPr>
                <w:p>
                  <w:pPr>
                    <w:pStyle w:val="103"/>
                    <w:spacing w:line="240" w:lineRule="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暂存场所（设施）</w:t>
                  </w:r>
                </w:p>
              </w:tc>
              <w:tc>
                <w:tcPr>
                  <w:tcW w:w="1111" w:type="dxa"/>
                  <w:noWrap w:val="0"/>
                  <w:vAlign w:val="center"/>
                </w:tcPr>
                <w:p>
                  <w:pPr>
                    <w:pStyle w:val="103"/>
                    <w:spacing w:line="240" w:lineRule="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危险废物名称</w:t>
                  </w:r>
                </w:p>
              </w:tc>
              <w:tc>
                <w:tcPr>
                  <w:tcW w:w="925" w:type="dxa"/>
                  <w:noWrap w:val="0"/>
                  <w:vAlign w:val="center"/>
                </w:tcPr>
                <w:p>
                  <w:pPr>
                    <w:pStyle w:val="103"/>
                    <w:spacing w:line="240" w:lineRule="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危险废物类别</w:t>
                  </w:r>
                </w:p>
              </w:tc>
              <w:tc>
                <w:tcPr>
                  <w:tcW w:w="1385" w:type="dxa"/>
                  <w:noWrap w:val="0"/>
                  <w:vAlign w:val="center"/>
                </w:tcPr>
                <w:p>
                  <w:pPr>
                    <w:pStyle w:val="103"/>
                    <w:spacing w:line="240" w:lineRule="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危险废物代码</w:t>
                  </w:r>
                </w:p>
              </w:tc>
              <w:tc>
                <w:tcPr>
                  <w:tcW w:w="713" w:type="dxa"/>
                  <w:noWrap w:val="0"/>
                  <w:vAlign w:val="center"/>
                </w:tcPr>
                <w:p>
                  <w:pPr>
                    <w:pStyle w:val="103"/>
                    <w:spacing w:line="240" w:lineRule="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位置</w:t>
                  </w:r>
                </w:p>
              </w:tc>
              <w:tc>
                <w:tcPr>
                  <w:tcW w:w="797" w:type="dxa"/>
                  <w:noWrap w:val="0"/>
                  <w:vAlign w:val="center"/>
                </w:tcPr>
                <w:p>
                  <w:pPr>
                    <w:pStyle w:val="103"/>
                    <w:spacing w:line="240" w:lineRule="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占地面积</w:t>
                  </w:r>
                </w:p>
              </w:tc>
              <w:tc>
                <w:tcPr>
                  <w:tcW w:w="1071" w:type="dxa"/>
                  <w:noWrap w:val="0"/>
                  <w:vAlign w:val="center"/>
                </w:tcPr>
                <w:p>
                  <w:pPr>
                    <w:pStyle w:val="103"/>
                    <w:spacing w:line="240" w:lineRule="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贮存方式</w:t>
                  </w:r>
                </w:p>
              </w:tc>
              <w:tc>
                <w:tcPr>
                  <w:tcW w:w="643" w:type="dxa"/>
                  <w:noWrap w:val="0"/>
                  <w:vAlign w:val="center"/>
                </w:tcPr>
                <w:p>
                  <w:pPr>
                    <w:pStyle w:val="103"/>
                    <w:spacing w:line="240" w:lineRule="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贮存能力</w:t>
                  </w:r>
                </w:p>
              </w:tc>
              <w:tc>
                <w:tcPr>
                  <w:tcW w:w="861" w:type="dxa"/>
                  <w:noWrap w:val="0"/>
                  <w:vAlign w:val="center"/>
                </w:tcPr>
                <w:p>
                  <w:pPr>
                    <w:pStyle w:val="103"/>
                    <w:spacing w:line="240" w:lineRule="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贮存周期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98" w:type="dxa"/>
                  <w:noWrap w:val="0"/>
                  <w:vAlign w:val="center"/>
                </w:tcPr>
                <w:p>
                  <w:pPr>
                    <w:pStyle w:val="103"/>
                    <w:spacing w:line="240" w:lineRule="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744" w:type="dxa"/>
                  <w:vMerge w:val="restart"/>
                  <w:noWrap w:val="0"/>
                  <w:vAlign w:val="center"/>
                </w:tcPr>
                <w:p>
                  <w:pPr>
                    <w:pStyle w:val="103"/>
                    <w:spacing w:line="240" w:lineRule="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医疗废物暂存间</w:t>
                  </w:r>
                </w:p>
              </w:tc>
              <w:tc>
                <w:tcPr>
                  <w:tcW w:w="1111"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sz w:val="21"/>
                      <w:szCs w:val="21"/>
                      <w:highlight w:val="none"/>
                      <w:lang w:eastAsia="zh-CN"/>
                    </w:rPr>
                    <w:t>医疗废物</w:t>
                  </w:r>
                </w:p>
              </w:tc>
              <w:tc>
                <w:tcPr>
                  <w:tcW w:w="925" w:type="dxa"/>
                  <w:noWrap w:val="0"/>
                  <w:vAlign w:val="center"/>
                </w:tcPr>
                <w:p>
                  <w:pPr>
                    <w:pStyle w:val="103"/>
                    <w:spacing w:line="240" w:lineRule="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HW0</w:t>
                  </w:r>
                  <w:r>
                    <w:rPr>
                      <w:rFonts w:hint="default" w:ascii="Times New Roman" w:hAnsi="Times New Roman" w:eastAsia="宋体" w:cs="Times New Roman"/>
                      <w:color w:val="auto"/>
                      <w:sz w:val="21"/>
                      <w:szCs w:val="21"/>
                      <w:highlight w:val="none"/>
                      <w:lang w:val="en-US" w:eastAsia="zh-CN"/>
                    </w:rPr>
                    <w:t>1</w:t>
                  </w:r>
                </w:p>
              </w:tc>
              <w:tc>
                <w:tcPr>
                  <w:tcW w:w="1385" w:type="dxa"/>
                  <w:noWrap w:val="0"/>
                  <w:vAlign w:val="center"/>
                </w:tcPr>
                <w:p>
                  <w:pPr>
                    <w:pStyle w:val="103"/>
                    <w:spacing w:line="240" w:lineRule="auto"/>
                    <w:jc w:val="both"/>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sz w:val="21"/>
                      <w:szCs w:val="21"/>
                      <w:highlight w:val="none"/>
                    </w:rPr>
                    <w:t>831-001-01</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lang w:val="en-US" w:eastAsia="zh-CN"/>
                    </w:rPr>
                    <w:t>831-002-01；831-003-01；831-004-01；831-005-01</w:t>
                  </w:r>
                </w:p>
              </w:tc>
              <w:tc>
                <w:tcPr>
                  <w:tcW w:w="713" w:type="dxa"/>
                  <w:vMerge w:val="restart"/>
                  <w:noWrap w:val="0"/>
                  <w:vAlign w:val="center"/>
                </w:tcPr>
                <w:p>
                  <w:pPr>
                    <w:pStyle w:val="103"/>
                    <w:spacing w:line="240" w:lineRule="auto"/>
                    <w:rPr>
                      <w:rFonts w:hint="default" w:ascii="Times New Roman" w:hAnsi="Times New Roman" w:eastAsia="宋体" w:cs="Times New Roman"/>
                      <w:color w:val="auto"/>
                      <w:sz w:val="21"/>
                      <w:szCs w:val="21"/>
                      <w:highlight w:val="yellow"/>
                    </w:rPr>
                  </w:pPr>
                  <w:r>
                    <w:rPr>
                      <w:rFonts w:hint="default" w:ascii="Times New Roman" w:hAnsi="Times New Roman" w:eastAsia="宋体" w:cs="Times New Roman"/>
                      <w:color w:val="auto"/>
                      <w:sz w:val="21"/>
                      <w:szCs w:val="21"/>
                      <w:highlight w:val="yellow"/>
                      <w:lang w:val="en-US" w:eastAsia="zh-CN"/>
                    </w:rPr>
                    <w:t>设备房</w:t>
                  </w:r>
                </w:p>
              </w:tc>
              <w:tc>
                <w:tcPr>
                  <w:tcW w:w="797" w:type="dxa"/>
                  <w:vMerge w:val="restart"/>
                  <w:noWrap w:val="0"/>
                  <w:vAlign w:val="center"/>
                </w:tcPr>
                <w:p>
                  <w:pPr>
                    <w:pStyle w:val="103"/>
                    <w:spacing w:line="240" w:lineRule="auto"/>
                    <w:rPr>
                      <w:rFonts w:hint="default" w:ascii="Times New Roman" w:hAnsi="Times New Roman" w:eastAsia="宋体" w:cs="Times New Roman"/>
                      <w:color w:val="auto"/>
                      <w:sz w:val="21"/>
                      <w:szCs w:val="21"/>
                      <w:highlight w:val="yellow"/>
                    </w:rPr>
                  </w:pPr>
                  <w:r>
                    <w:rPr>
                      <w:rFonts w:hint="eastAsia" w:eastAsia="宋体" w:cs="Times New Roman"/>
                      <w:color w:val="auto"/>
                      <w:sz w:val="21"/>
                      <w:szCs w:val="21"/>
                      <w:highlight w:val="yellow"/>
                      <w:lang w:val="en-US" w:eastAsia="zh-CN"/>
                    </w:rPr>
                    <w:t>25</w:t>
                  </w:r>
                  <w:r>
                    <w:rPr>
                      <w:rFonts w:hint="default" w:ascii="Times New Roman" w:hAnsi="Times New Roman" w:eastAsia="宋体" w:cs="Times New Roman"/>
                      <w:color w:val="auto"/>
                      <w:sz w:val="21"/>
                      <w:szCs w:val="21"/>
                      <w:highlight w:val="yellow"/>
                    </w:rPr>
                    <w:t>m</w:t>
                  </w:r>
                  <w:r>
                    <w:rPr>
                      <w:rFonts w:hint="default" w:ascii="Times New Roman" w:hAnsi="Times New Roman" w:eastAsia="宋体" w:cs="Times New Roman"/>
                      <w:color w:val="auto"/>
                      <w:sz w:val="21"/>
                      <w:szCs w:val="21"/>
                      <w:highlight w:val="yellow"/>
                      <w:vertAlign w:val="superscript"/>
                    </w:rPr>
                    <w:t>2</w:t>
                  </w:r>
                </w:p>
              </w:tc>
              <w:tc>
                <w:tcPr>
                  <w:tcW w:w="1071" w:type="dxa"/>
                  <w:vMerge w:val="restart"/>
                  <w:noWrap w:val="0"/>
                  <w:vAlign w:val="center"/>
                </w:tcPr>
                <w:p>
                  <w:pPr>
                    <w:pStyle w:val="103"/>
                    <w:spacing w:line="240" w:lineRule="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专用容器放置在本区域</w:t>
                  </w:r>
                </w:p>
              </w:tc>
              <w:tc>
                <w:tcPr>
                  <w:tcW w:w="643" w:type="dxa"/>
                  <w:noWrap w:val="0"/>
                  <w:vAlign w:val="center"/>
                </w:tcPr>
                <w:p>
                  <w:pPr>
                    <w:pStyle w:val="103"/>
                    <w:spacing w:line="240" w:lineRule="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0.2t</w:t>
                  </w:r>
                </w:p>
              </w:tc>
              <w:tc>
                <w:tcPr>
                  <w:tcW w:w="861" w:type="dxa"/>
                  <w:noWrap w:val="0"/>
                  <w:vAlign w:val="center"/>
                </w:tcPr>
                <w:p>
                  <w:pPr>
                    <w:pStyle w:val="103"/>
                    <w:spacing w:line="240" w:lineRule="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FF0000"/>
                      <w:sz w:val="21"/>
                      <w:szCs w:val="21"/>
                      <w:highlight w:val="none"/>
                      <w:lang w:eastAsia="zh-CN"/>
                    </w:rPr>
                    <w:t>两天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98" w:type="dxa"/>
                  <w:noWrap w:val="0"/>
                  <w:vAlign w:val="center"/>
                </w:tcPr>
                <w:p>
                  <w:pPr>
                    <w:pStyle w:val="103"/>
                    <w:spacing w:line="240" w:lineRule="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744" w:type="dxa"/>
                  <w:vMerge w:val="continue"/>
                  <w:noWrap w:val="0"/>
                  <w:vAlign w:val="center"/>
                </w:tcPr>
                <w:p>
                  <w:pPr>
                    <w:pStyle w:val="103"/>
                    <w:spacing w:line="240" w:lineRule="auto"/>
                    <w:rPr>
                      <w:rFonts w:hint="default" w:ascii="Times New Roman" w:hAnsi="Times New Roman" w:eastAsia="宋体" w:cs="Times New Roman"/>
                      <w:color w:val="auto"/>
                      <w:sz w:val="21"/>
                      <w:szCs w:val="21"/>
                      <w:highlight w:val="none"/>
                    </w:rPr>
                  </w:pPr>
                </w:p>
              </w:tc>
              <w:tc>
                <w:tcPr>
                  <w:tcW w:w="1111"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sz w:val="21"/>
                      <w:szCs w:val="21"/>
                      <w:highlight w:val="none"/>
                      <w:lang w:eastAsia="zh-CN"/>
                    </w:rPr>
                    <w:t>污泥</w:t>
                  </w:r>
                </w:p>
              </w:tc>
              <w:tc>
                <w:tcPr>
                  <w:tcW w:w="925" w:type="dxa"/>
                  <w:noWrap w:val="0"/>
                  <w:vAlign w:val="center"/>
                </w:tcPr>
                <w:p>
                  <w:pPr>
                    <w:pStyle w:val="103"/>
                    <w:spacing w:line="240" w:lineRule="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w:t>
                  </w:r>
                </w:p>
              </w:tc>
              <w:tc>
                <w:tcPr>
                  <w:tcW w:w="1385" w:type="dxa"/>
                  <w:noWrap w:val="0"/>
                  <w:vAlign w:val="center"/>
                </w:tcPr>
                <w:p>
                  <w:pPr>
                    <w:pStyle w:val="103"/>
                    <w:spacing w:line="240" w:lineRule="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w:t>
                  </w:r>
                </w:p>
              </w:tc>
              <w:tc>
                <w:tcPr>
                  <w:tcW w:w="713" w:type="dxa"/>
                  <w:vMerge w:val="continue"/>
                  <w:noWrap w:val="0"/>
                  <w:vAlign w:val="center"/>
                </w:tcPr>
                <w:p>
                  <w:pPr>
                    <w:pStyle w:val="103"/>
                    <w:spacing w:line="240" w:lineRule="auto"/>
                    <w:rPr>
                      <w:rFonts w:hint="default" w:ascii="Times New Roman" w:hAnsi="Times New Roman" w:eastAsia="宋体" w:cs="Times New Roman"/>
                      <w:color w:val="auto"/>
                      <w:sz w:val="21"/>
                      <w:szCs w:val="21"/>
                      <w:highlight w:val="none"/>
                    </w:rPr>
                  </w:pPr>
                </w:p>
              </w:tc>
              <w:tc>
                <w:tcPr>
                  <w:tcW w:w="797" w:type="dxa"/>
                  <w:vMerge w:val="continue"/>
                  <w:noWrap w:val="0"/>
                  <w:vAlign w:val="center"/>
                </w:tcPr>
                <w:p>
                  <w:pPr>
                    <w:pStyle w:val="103"/>
                    <w:spacing w:line="240" w:lineRule="auto"/>
                    <w:rPr>
                      <w:rFonts w:hint="default" w:ascii="Times New Roman" w:hAnsi="Times New Roman" w:eastAsia="宋体" w:cs="Times New Roman"/>
                      <w:color w:val="auto"/>
                      <w:sz w:val="21"/>
                      <w:szCs w:val="21"/>
                      <w:highlight w:val="none"/>
                    </w:rPr>
                  </w:pPr>
                </w:p>
              </w:tc>
              <w:tc>
                <w:tcPr>
                  <w:tcW w:w="1071" w:type="dxa"/>
                  <w:vMerge w:val="continue"/>
                  <w:noWrap w:val="0"/>
                  <w:vAlign w:val="center"/>
                </w:tcPr>
                <w:p>
                  <w:pPr>
                    <w:pStyle w:val="103"/>
                    <w:spacing w:line="240" w:lineRule="auto"/>
                    <w:rPr>
                      <w:rFonts w:hint="default" w:ascii="Times New Roman" w:hAnsi="Times New Roman" w:eastAsia="宋体" w:cs="Times New Roman"/>
                      <w:color w:val="auto"/>
                      <w:sz w:val="21"/>
                      <w:szCs w:val="21"/>
                      <w:highlight w:val="none"/>
                    </w:rPr>
                  </w:pPr>
                </w:p>
              </w:tc>
              <w:tc>
                <w:tcPr>
                  <w:tcW w:w="643" w:type="dxa"/>
                  <w:noWrap w:val="0"/>
                  <w:vAlign w:val="center"/>
                </w:tcPr>
                <w:p>
                  <w:pPr>
                    <w:pStyle w:val="103"/>
                    <w:spacing w:line="240" w:lineRule="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1.5t</w:t>
                  </w:r>
                </w:p>
              </w:tc>
              <w:tc>
                <w:tcPr>
                  <w:tcW w:w="861" w:type="dxa"/>
                  <w:noWrap w:val="0"/>
                  <w:vAlign w:val="center"/>
                </w:tcPr>
                <w:p>
                  <w:pPr>
                    <w:pStyle w:val="103"/>
                    <w:spacing w:line="240" w:lineRule="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一</w:t>
                  </w:r>
                  <w:r>
                    <w:rPr>
                      <w:rFonts w:hint="default" w:ascii="Times New Roman" w:hAnsi="Times New Roman" w:eastAsia="宋体" w:cs="Times New Roman"/>
                      <w:color w:val="auto"/>
                      <w:sz w:val="21"/>
                      <w:szCs w:val="21"/>
                      <w:highlight w:val="none"/>
                    </w:rPr>
                    <w:t>个月</w:t>
                  </w:r>
                </w:p>
              </w:tc>
            </w:tr>
          </w:tbl>
          <w:p>
            <w:pPr>
              <w:adjustRightInd w:val="0"/>
              <w:spacing w:line="360" w:lineRule="auto"/>
              <w:ind w:firstLine="480" w:firstLineChars="200"/>
              <w:rPr>
                <w:rFonts w:hint="default" w:ascii="Times New Roman" w:hAnsi="Times New Roman" w:cs="Times New Roman"/>
                <w:bCs/>
                <w:color w:val="auto"/>
                <w:sz w:val="24"/>
                <w:highlight w:val="none"/>
                <w:lang w:val="en-US" w:eastAsia="zh-CN"/>
              </w:rPr>
            </w:pPr>
            <w:r>
              <w:rPr>
                <w:rFonts w:hint="default" w:ascii="Times New Roman" w:hAnsi="Times New Roman" w:cs="Times New Roman"/>
                <w:bCs/>
                <w:color w:val="auto"/>
                <w:sz w:val="24"/>
                <w:highlight w:val="none"/>
                <w:lang w:val="en-US" w:eastAsia="zh-CN"/>
              </w:rPr>
              <w:t>（3）处置过程的环境影响分析</w:t>
            </w:r>
          </w:p>
          <w:p>
            <w:pPr>
              <w:adjustRightInd w:val="0"/>
              <w:spacing w:line="360" w:lineRule="auto"/>
              <w:ind w:firstLine="480" w:firstLineChars="200"/>
              <w:rPr>
                <w:rFonts w:hint="default" w:ascii="Times New Roman" w:hAnsi="Times New Roman" w:cs="Times New Roman"/>
                <w:bCs/>
                <w:color w:val="auto"/>
                <w:sz w:val="24"/>
                <w:highlight w:val="none"/>
                <w:lang w:val="en-US" w:eastAsia="zh-CN"/>
              </w:rPr>
            </w:pPr>
            <w:r>
              <w:rPr>
                <w:rFonts w:hint="default" w:ascii="Times New Roman" w:hAnsi="Times New Roman" w:cs="Times New Roman"/>
                <w:bCs/>
                <w:color w:val="auto"/>
                <w:sz w:val="24"/>
                <w:highlight w:val="none"/>
                <w:lang w:val="en-US" w:eastAsia="zh-CN"/>
              </w:rPr>
              <w:t>目前，针对项目产生的危险废物，企业尚未与具有危险废物处理能力的危险废物处置单位签订相关协议，根据建设项目周边有资质的危险废物处置单位的分布情况、处置能力、资质类别等，建议企业将危险废物交由揭阳市民康医疗废物处理公司（或者其它具有相应危险废物处置能力的有危废处置资质的单位）处置。</w:t>
            </w:r>
          </w:p>
          <w:p>
            <w:pPr>
              <w:adjustRightInd w:val="0"/>
              <w:spacing w:line="360" w:lineRule="auto"/>
              <w:ind w:firstLine="480" w:firstLineChars="200"/>
              <w:rPr>
                <w:rFonts w:hint="default" w:ascii="Times New Roman" w:hAnsi="Times New Roman" w:cs="Times New Roman"/>
                <w:bCs/>
                <w:color w:val="auto"/>
                <w:sz w:val="24"/>
                <w:highlight w:val="none"/>
                <w:lang w:val="en-US" w:eastAsia="zh-CN"/>
              </w:rPr>
            </w:pPr>
            <w:r>
              <w:rPr>
                <w:rFonts w:hint="default" w:ascii="Times New Roman" w:hAnsi="Times New Roman" w:cs="Times New Roman"/>
                <w:bCs/>
                <w:color w:val="auto"/>
                <w:sz w:val="24"/>
                <w:highlight w:val="none"/>
                <w:lang w:val="en-US" w:eastAsia="zh-CN"/>
              </w:rPr>
              <w:t>揭阳市民康医疗废物处理公司位于阳市揭东区玉滘镇北部山区东径外草地垃圾处理场旁，负责处理揭阳市全市的医疗废物（不包括放射性、含汞废物、易燃废物、甲级传染性废物、放弃麻毒药品、危险或腐蚀性化学物质）。揭阳市医疗废物处置中心一期工程的处理规模为4t/d，于2014年2月13日通过了环保设施竣工验收意见（揭市环验[2014]7号），二期工程的处理规模为8t/d，于2018年10月9日通过了环保设施竣工验收意见（揭市环验[2018]24号）。主要采用高温连续热解气化焚烧方法处理医疗废物。</w:t>
            </w:r>
          </w:p>
          <w:p>
            <w:pPr>
              <w:adjustRightInd w:val="0"/>
              <w:spacing w:line="360" w:lineRule="auto"/>
              <w:ind w:firstLine="480" w:firstLineChars="200"/>
              <w:rPr>
                <w:rFonts w:hint="default" w:ascii="Times New Roman" w:hAnsi="Times New Roman" w:cs="Times New Roman"/>
                <w:bCs/>
                <w:color w:val="auto"/>
                <w:sz w:val="24"/>
                <w:highlight w:val="none"/>
                <w:lang w:val="en-US" w:eastAsia="zh-CN"/>
              </w:rPr>
            </w:pPr>
            <w:r>
              <w:rPr>
                <w:rFonts w:hint="default" w:ascii="Times New Roman" w:hAnsi="Times New Roman" w:cs="Times New Roman"/>
                <w:bCs/>
                <w:color w:val="auto"/>
                <w:sz w:val="24"/>
                <w:highlight w:val="none"/>
                <w:lang w:val="en-US" w:eastAsia="zh-CN"/>
              </w:rPr>
              <w:t>在危险废物交由揭阳市民康医疗废物处理公司（或者其它具有相应危险废物处置能力的有危废处置资质的单位）进行处置后，项目产生的危废对周边环境影响较小。</w:t>
            </w:r>
          </w:p>
          <w:p>
            <w:pPr>
              <w:adjustRightInd w:val="0"/>
              <w:spacing w:line="360" w:lineRule="auto"/>
              <w:ind w:firstLine="480" w:firstLineChars="200"/>
              <w:rPr>
                <w:rFonts w:hint="default" w:ascii="Times New Roman" w:hAnsi="Times New Roman" w:cs="Times New Roman"/>
                <w:bCs/>
                <w:color w:val="auto"/>
                <w:sz w:val="24"/>
                <w:highlight w:val="none"/>
                <w:lang w:val="en-US" w:eastAsia="zh-CN"/>
              </w:rPr>
            </w:pPr>
            <w:r>
              <w:rPr>
                <w:rFonts w:hint="default" w:ascii="Times New Roman" w:hAnsi="Times New Roman" w:cs="Times New Roman"/>
                <w:bCs/>
                <w:color w:val="auto"/>
                <w:sz w:val="24"/>
                <w:highlight w:val="none"/>
                <w:lang w:val="en-US" w:eastAsia="zh-CN"/>
              </w:rPr>
              <w:t>根据《国家危险废物名录》（2016）的归类方法，生产过程中产生的医疗废物、污泥等，按《废弃危险化学品污染环境防治办法》、《危险废物污染防治技术政策》、《危险废物转移联单管理方法》等国家和地方关于危险固废管理进行分类堆放、分类处置。建设单位对其各类危废分类暂存，贴上危险标识，符合《危险废物贮存污染控制标准》（GB18597-2001，2013 修改单）的要求。同时，建设单位按《中华人民共和国固体废物污染环境防治法》的规定向当地环境保护局如实申报本项目危险废物的产生量、采取的处置措施及去向，本项目对产生的固体废物特别是危险废物进行全过程严格管理，符合环保管理的相关要求。</w:t>
            </w:r>
          </w:p>
          <w:p>
            <w:pPr>
              <w:adjustRightInd w:val="0"/>
              <w:spacing w:line="360" w:lineRule="auto"/>
              <w:ind w:firstLine="480" w:firstLineChars="200"/>
              <w:rPr>
                <w:rFonts w:hint="default" w:ascii="Times New Roman" w:hAnsi="Times New Roman" w:cs="Times New Roman"/>
                <w:bCs/>
                <w:color w:val="auto"/>
                <w:sz w:val="24"/>
                <w:highlight w:val="none"/>
                <w:lang w:val="en-US" w:eastAsia="zh-CN"/>
              </w:rPr>
            </w:pPr>
            <w:r>
              <w:rPr>
                <w:rFonts w:hint="default" w:ascii="Times New Roman" w:hAnsi="Times New Roman" w:cs="Times New Roman"/>
                <w:bCs/>
                <w:color w:val="auto"/>
                <w:sz w:val="24"/>
                <w:highlight w:val="none"/>
                <w:lang w:val="en-US" w:eastAsia="zh-CN"/>
              </w:rPr>
              <w:t>在医疗废物、污泥交由具有相关处置能力的其它有危废处置资质的单位进行处置后，项目产生的危废对周边环境影响较小。</w:t>
            </w:r>
          </w:p>
          <w:p>
            <w:pPr>
              <w:adjustRightInd w:val="0"/>
              <w:spacing w:line="360" w:lineRule="auto"/>
              <w:ind w:firstLine="480" w:firstLineChars="200"/>
              <w:rPr>
                <w:rFonts w:hint="default" w:ascii="Times New Roman" w:hAnsi="Times New Roman" w:cs="Times New Roman"/>
                <w:bCs/>
                <w:color w:val="auto"/>
                <w:sz w:val="24"/>
                <w:highlight w:val="none"/>
                <w:lang w:val="en-US" w:eastAsia="zh-CN"/>
              </w:rPr>
            </w:pPr>
            <w:r>
              <w:rPr>
                <w:rFonts w:hint="default" w:ascii="Times New Roman" w:hAnsi="Times New Roman" w:cs="Times New Roman"/>
                <w:bCs/>
                <w:color w:val="auto"/>
                <w:sz w:val="24"/>
                <w:highlight w:val="none"/>
                <w:lang w:val="en-US" w:eastAsia="zh-CN"/>
              </w:rPr>
              <w:t>本项目运营后产生的固体废物全部能得到妥善处理不外排，因此本项目产生的生产固废，对周围环境无明显不良影响。</w:t>
            </w:r>
          </w:p>
          <w:p>
            <w:pPr>
              <w:adjustRightInd w:val="0"/>
              <w:spacing w:line="360" w:lineRule="auto"/>
              <w:ind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五、环境风险影响分析</w:t>
            </w:r>
          </w:p>
          <w:p>
            <w:pPr>
              <w:adjustRightInd w:val="0"/>
              <w:spacing w:line="360" w:lineRule="auto"/>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cs="Times New Roman"/>
                <w:color w:val="auto"/>
                <w:sz w:val="24"/>
                <w:highlight w:val="none"/>
              </w:rPr>
              <w:t>本项目是一</w:t>
            </w:r>
            <w:r>
              <w:rPr>
                <w:rFonts w:hint="eastAsia" w:cs="Times New Roman"/>
                <w:color w:val="auto"/>
                <w:sz w:val="24"/>
                <w:highlight w:val="none"/>
                <w:lang w:eastAsia="zh-CN"/>
              </w:rPr>
              <w:t>家综合性医院</w:t>
            </w:r>
            <w:r>
              <w:rPr>
                <w:rFonts w:hint="default" w:ascii="Times New Roman" w:hAnsi="Times New Roman" w:cs="Times New Roman"/>
                <w:color w:val="auto"/>
                <w:sz w:val="24"/>
                <w:highlight w:val="none"/>
              </w:rPr>
              <w:t>，按《建设项目环境风险评价技术导则》（HJ/T 169－20</w:t>
            </w:r>
            <w:r>
              <w:rPr>
                <w:rFonts w:hint="default" w:ascii="Times New Roman" w:hAnsi="Times New Roman" w:cs="Times New Roman"/>
                <w:color w:val="auto"/>
                <w:sz w:val="24"/>
                <w:highlight w:val="none"/>
                <w:lang w:val="en-US" w:eastAsia="zh-CN"/>
              </w:rPr>
              <w:t>18</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eastAsia="zh-CN"/>
              </w:rPr>
              <w:t>对本项目环境风险影响进行分析。</w:t>
            </w:r>
          </w:p>
          <w:p>
            <w:pPr>
              <w:adjustRightIn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1、环境风险潜势划分</w:t>
            </w:r>
          </w:p>
          <w:p>
            <w:pPr>
              <w:adjustRightIn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lang w:eastAsia="zh-CN"/>
              </w:rPr>
              <w:t>本项目不涉及</w:t>
            </w:r>
            <w:r>
              <w:rPr>
                <w:rFonts w:hint="default" w:ascii="Times New Roman" w:hAnsi="Times New Roman" w:cs="Times New Roman"/>
                <w:color w:val="auto"/>
                <w:sz w:val="24"/>
                <w:highlight w:val="none"/>
              </w:rPr>
              <w:t>《建设项目环境风险评价技术导则》（HJ/T 169－20</w:t>
            </w:r>
            <w:r>
              <w:rPr>
                <w:rFonts w:hint="default" w:ascii="Times New Roman" w:hAnsi="Times New Roman" w:cs="Times New Roman"/>
                <w:color w:val="auto"/>
                <w:sz w:val="24"/>
                <w:highlight w:val="none"/>
                <w:lang w:val="en-US" w:eastAsia="zh-CN"/>
              </w:rPr>
              <w:t>18</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eastAsia="zh-CN"/>
              </w:rPr>
              <w:t>附录</w:t>
            </w:r>
            <w:r>
              <w:rPr>
                <w:rFonts w:hint="default" w:ascii="Times New Roman" w:hAnsi="Times New Roman" w:cs="Times New Roman"/>
                <w:color w:val="auto"/>
                <w:sz w:val="24"/>
                <w:highlight w:val="none"/>
                <w:lang w:val="en-US" w:eastAsia="zh-CN"/>
              </w:rPr>
              <w:t>B所列的突发环境事件风险物质，因此危险物质数量与临界值比值Q小于1，根据</w:t>
            </w:r>
            <w:r>
              <w:rPr>
                <w:rFonts w:hint="default" w:ascii="Times New Roman" w:hAnsi="Times New Roman" w:cs="Times New Roman"/>
                <w:color w:val="auto"/>
                <w:sz w:val="24"/>
                <w:highlight w:val="none"/>
              </w:rPr>
              <w:t>《建设项目环境风险评价技术导则》（HJ/T 169－20</w:t>
            </w:r>
            <w:r>
              <w:rPr>
                <w:rFonts w:hint="default" w:ascii="Times New Roman" w:hAnsi="Times New Roman" w:cs="Times New Roman"/>
                <w:color w:val="auto"/>
                <w:sz w:val="24"/>
                <w:highlight w:val="none"/>
                <w:lang w:val="en-US" w:eastAsia="zh-CN"/>
              </w:rPr>
              <w:t>18</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eastAsia="zh-CN"/>
              </w:rPr>
              <w:t>附录</w:t>
            </w:r>
            <w:r>
              <w:rPr>
                <w:rFonts w:hint="default" w:ascii="Times New Roman" w:hAnsi="Times New Roman" w:cs="Times New Roman"/>
                <w:color w:val="auto"/>
                <w:sz w:val="24"/>
                <w:highlight w:val="none"/>
                <w:lang w:val="en-US" w:eastAsia="zh-CN"/>
              </w:rPr>
              <w:t>C，可知本项目环境风险潜势为I。</w:t>
            </w:r>
          </w:p>
          <w:p>
            <w:pPr>
              <w:adjustRightIn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2、环境工作等级划分</w:t>
            </w:r>
          </w:p>
          <w:p>
            <w:pPr>
              <w:adjustRightIn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本项目环境风险潜势为I，根据</w:t>
            </w:r>
            <w:r>
              <w:rPr>
                <w:rFonts w:hint="default" w:ascii="Times New Roman" w:hAnsi="Times New Roman" w:cs="Times New Roman"/>
                <w:color w:val="auto"/>
                <w:sz w:val="24"/>
                <w:highlight w:val="none"/>
              </w:rPr>
              <w:t>《建设项目环境风险评价技术导则》（HJ/T 169－20</w:t>
            </w:r>
            <w:r>
              <w:rPr>
                <w:rFonts w:hint="default" w:ascii="Times New Roman" w:hAnsi="Times New Roman" w:cs="Times New Roman"/>
                <w:color w:val="auto"/>
                <w:sz w:val="24"/>
                <w:highlight w:val="none"/>
                <w:lang w:val="en-US" w:eastAsia="zh-CN"/>
              </w:rPr>
              <w:t>18</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eastAsia="zh-CN"/>
              </w:rPr>
              <w:t>表</w:t>
            </w:r>
            <w:r>
              <w:rPr>
                <w:rFonts w:hint="default" w:ascii="Times New Roman" w:hAnsi="Times New Roman" w:cs="Times New Roman"/>
                <w:color w:val="auto"/>
                <w:sz w:val="24"/>
                <w:highlight w:val="none"/>
                <w:lang w:val="en-US" w:eastAsia="zh-CN"/>
              </w:rPr>
              <w:t>1，项目环境风险可开展简单分析。</w:t>
            </w:r>
          </w:p>
          <w:p>
            <w:pPr>
              <w:adjustRightIn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3、项目环境风险的简单分析</w:t>
            </w:r>
          </w:p>
          <w:p>
            <w:pPr>
              <w:adjustRightIn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一）评价依据</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eastAsia="zh-CN"/>
              </w:rPr>
              <w:t>项目</w:t>
            </w:r>
            <w:r>
              <w:rPr>
                <w:rFonts w:hint="default" w:ascii="Times New Roman" w:hAnsi="Times New Roman" w:cs="Times New Roman"/>
                <w:color w:val="auto"/>
                <w:sz w:val="24"/>
                <w:highlight w:val="none"/>
              </w:rPr>
              <w:t>存在的风险源有：医疗</w:t>
            </w:r>
            <w:r>
              <w:rPr>
                <w:rFonts w:hint="default" w:ascii="Times New Roman" w:hAnsi="Times New Roman" w:cs="Times New Roman"/>
                <w:color w:val="auto"/>
                <w:sz w:val="24"/>
                <w:highlight w:val="none"/>
                <w:lang w:eastAsia="zh-CN"/>
              </w:rPr>
              <w:t>污水</w:t>
            </w:r>
            <w:r>
              <w:rPr>
                <w:rFonts w:hint="default" w:ascii="Times New Roman" w:hAnsi="Times New Roman" w:cs="Times New Roman"/>
                <w:color w:val="auto"/>
                <w:sz w:val="24"/>
                <w:highlight w:val="none"/>
              </w:rPr>
              <w:t>在污水处理站发生事故时，未经处理及消毒的排放；医疗废物在收集、贮存、运送过程中的存在的风险等。</w:t>
            </w:r>
          </w:p>
          <w:p>
            <w:pPr>
              <w:adjustRightInd w:val="0"/>
              <w:spacing w:line="360" w:lineRule="auto"/>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cs="Times New Roman"/>
                <w:color w:val="auto"/>
                <w:sz w:val="24"/>
                <w:highlight w:val="none"/>
                <w:lang w:eastAsia="zh-CN"/>
              </w:rPr>
              <w:t>根据上述分析，本项目</w:t>
            </w:r>
            <w:r>
              <w:rPr>
                <w:rFonts w:hint="default" w:ascii="Times New Roman" w:hAnsi="Times New Roman" w:cs="Times New Roman"/>
                <w:color w:val="auto"/>
                <w:sz w:val="24"/>
                <w:highlight w:val="none"/>
                <w:lang w:val="en-US" w:eastAsia="zh-CN"/>
              </w:rPr>
              <w:t>环境风险潜势为I，评价等级为简单分析。</w:t>
            </w:r>
          </w:p>
          <w:p>
            <w:pPr>
              <w:adjustRightIn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二）环境敏感目标概况</w:t>
            </w:r>
          </w:p>
          <w:p>
            <w:pPr>
              <w:pStyle w:val="47"/>
              <w:adjustRightInd w:val="0"/>
              <w:snapToGrid/>
              <w:ind w:firstLine="48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项目地周围主要保护的目标见表</w:t>
            </w:r>
            <w:r>
              <w:rPr>
                <w:rFonts w:hint="default" w:ascii="Times New Roman" w:hAnsi="Times New Roman" w:cs="Times New Roman"/>
                <w:color w:val="auto"/>
                <w:szCs w:val="21"/>
                <w:highlight w:val="none"/>
                <w:lang w:val="en-US" w:eastAsia="zh-CN"/>
              </w:rPr>
              <w:t>7-11</w:t>
            </w:r>
            <w:r>
              <w:rPr>
                <w:rFonts w:hint="default" w:ascii="Times New Roman" w:hAnsi="Times New Roman" w:cs="Times New Roman"/>
                <w:color w:val="auto"/>
                <w:szCs w:val="21"/>
                <w:highlight w:val="none"/>
              </w:rPr>
              <w:t>。</w:t>
            </w:r>
          </w:p>
          <w:p>
            <w:pPr>
              <w:jc w:val="center"/>
              <w:rPr>
                <w:rFonts w:hint="default" w:ascii="Times New Roman" w:hAnsi="Times New Roman" w:cs="Times New Roman"/>
                <w:b/>
                <w:color w:val="auto"/>
                <w:sz w:val="24"/>
                <w:highlight w:val="none"/>
              </w:rPr>
            </w:pPr>
            <w:r>
              <w:rPr>
                <w:rFonts w:hint="default" w:ascii="Times New Roman" w:hAnsi="Times New Roman" w:cs="Times New Roman"/>
                <w:b/>
                <w:color w:val="auto"/>
                <w:sz w:val="21"/>
                <w:szCs w:val="21"/>
                <w:highlight w:val="none"/>
              </w:rPr>
              <w:t>表</w:t>
            </w:r>
            <w:r>
              <w:rPr>
                <w:rFonts w:hint="default" w:ascii="Times New Roman" w:hAnsi="Times New Roman" w:cs="Times New Roman"/>
                <w:b/>
                <w:color w:val="auto"/>
                <w:sz w:val="21"/>
                <w:szCs w:val="21"/>
                <w:highlight w:val="none"/>
                <w:lang w:val="en-US" w:eastAsia="zh-CN"/>
              </w:rPr>
              <w:t>7-11</w:t>
            </w:r>
            <w:r>
              <w:rPr>
                <w:rFonts w:hint="default" w:ascii="Times New Roman" w:hAnsi="Times New Roman" w:cs="Times New Roman"/>
                <w:b/>
                <w:color w:val="auto"/>
                <w:sz w:val="21"/>
                <w:szCs w:val="21"/>
                <w:highlight w:val="none"/>
              </w:rPr>
              <w:t xml:space="preserve">  本项目环境保护目标一览表</w:t>
            </w:r>
          </w:p>
          <w:tbl>
            <w:tblPr>
              <w:tblStyle w:val="31"/>
              <w:tblW w:w="94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57"/>
              <w:gridCol w:w="1638"/>
              <w:gridCol w:w="990"/>
              <w:gridCol w:w="1065"/>
              <w:gridCol w:w="1050"/>
              <w:gridCol w:w="1200"/>
              <w:gridCol w:w="2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40" w:hRule="atLeast"/>
                <w:jc w:val="center"/>
              </w:trPr>
              <w:tc>
                <w:tcPr>
                  <w:tcW w:w="657" w:type="dxa"/>
                  <w:noWrap w:val="0"/>
                  <w:vAlign w:val="center"/>
                </w:tcPr>
                <w:p>
                  <w:pPr>
                    <w:pStyle w:val="120"/>
                    <w:spacing w:line="240" w:lineRule="atLeast"/>
                    <w:ind w:firstLine="0" w:firstLineChars="0"/>
                    <w:rPr>
                      <w:rFonts w:hint="default" w:ascii="Times New Roman" w:hAnsi="Times New Roman" w:cs="Times New Roman"/>
                      <w:b/>
                      <w:bCs/>
                      <w:color w:val="auto"/>
                      <w:highlight w:val="none"/>
                    </w:rPr>
                  </w:pPr>
                  <w:r>
                    <w:rPr>
                      <w:rFonts w:hint="default" w:ascii="Times New Roman" w:hAnsi="Times New Roman" w:cs="Times New Roman"/>
                      <w:b/>
                      <w:bCs/>
                      <w:color w:val="auto"/>
                    </w:rPr>
                    <w:t>序号</w:t>
                  </w:r>
                </w:p>
              </w:tc>
              <w:tc>
                <w:tcPr>
                  <w:tcW w:w="1638" w:type="dxa"/>
                  <w:noWrap w:val="0"/>
                  <w:vAlign w:val="center"/>
                </w:tcPr>
                <w:p>
                  <w:pPr>
                    <w:pStyle w:val="120"/>
                    <w:spacing w:line="240" w:lineRule="atLeast"/>
                    <w:ind w:firstLine="0" w:firstLineChars="0"/>
                    <w:rPr>
                      <w:rFonts w:hint="default" w:ascii="Times New Roman" w:hAnsi="Times New Roman" w:cs="Times New Roman"/>
                      <w:b/>
                      <w:bCs/>
                      <w:color w:val="auto"/>
                      <w:highlight w:val="none"/>
                    </w:rPr>
                  </w:pPr>
                  <w:r>
                    <w:rPr>
                      <w:rFonts w:hint="default" w:ascii="Times New Roman" w:hAnsi="Times New Roman" w:cs="Times New Roman"/>
                      <w:b/>
                      <w:bCs/>
                      <w:color w:val="auto"/>
                    </w:rPr>
                    <w:t>敏感点名称</w:t>
                  </w:r>
                </w:p>
              </w:tc>
              <w:tc>
                <w:tcPr>
                  <w:tcW w:w="990" w:type="dxa"/>
                  <w:noWrap w:val="0"/>
                  <w:vAlign w:val="center"/>
                </w:tcPr>
                <w:p>
                  <w:pPr>
                    <w:pStyle w:val="120"/>
                    <w:spacing w:line="240" w:lineRule="atLeast"/>
                    <w:ind w:firstLine="0" w:firstLineChars="0"/>
                    <w:rPr>
                      <w:rFonts w:hint="default" w:ascii="Times New Roman" w:hAnsi="Times New Roman" w:cs="Times New Roman"/>
                      <w:b/>
                      <w:bCs/>
                      <w:color w:val="auto"/>
                      <w:highlight w:val="none"/>
                    </w:rPr>
                  </w:pPr>
                  <w:r>
                    <w:rPr>
                      <w:rFonts w:hint="default" w:ascii="Times New Roman" w:hAnsi="Times New Roman" w:cs="Times New Roman"/>
                      <w:b/>
                      <w:bCs/>
                      <w:color w:val="auto"/>
                    </w:rPr>
                    <w:t>功能</w:t>
                  </w:r>
                </w:p>
              </w:tc>
              <w:tc>
                <w:tcPr>
                  <w:tcW w:w="1065" w:type="dxa"/>
                  <w:noWrap w:val="0"/>
                  <w:vAlign w:val="center"/>
                </w:tcPr>
                <w:p>
                  <w:pPr>
                    <w:pStyle w:val="120"/>
                    <w:spacing w:line="240" w:lineRule="atLeast"/>
                    <w:ind w:firstLine="0" w:firstLineChars="0"/>
                    <w:rPr>
                      <w:rFonts w:hint="default" w:ascii="Times New Roman" w:hAnsi="Times New Roman" w:cs="Times New Roman"/>
                      <w:b/>
                      <w:bCs/>
                      <w:color w:val="auto"/>
                      <w:highlight w:val="none"/>
                    </w:rPr>
                  </w:pPr>
                  <w:r>
                    <w:rPr>
                      <w:rFonts w:hint="default" w:ascii="Times New Roman" w:hAnsi="Times New Roman" w:cs="Times New Roman"/>
                      <w:b/>
                      <w:bCs/>
                      <w:color w:val="auto"/>
                    </w:rPr>
                    <w:t>相对方位</w:t>
                  </w:r>
                </w:p>
              </w:tc>
              <w:tc>
                <w:tcPr>
                  <w:tcW w:w="1050" w:type="dxa"/>
                  <w:noWrap w:val="0"/>
                  <w:vAlign w:val="center"/>
                </w:tcPr>
                <w:p>
                  <w:pPr>
                    <w:pStyle w:val="120"/>
                    <w:spacing w:line="240" w:lineRule="atLeast"/>
                    <w:ind w:firstLine="0" w:firstLineChars="0"/>
                    <w:rPr>
                      <w:rFonts w:hint="default" w:ascii="Times New Roman" w:hAnsi="Times New Roman" w:cs="Times New Roman"/>
                      <w:b/>
                      <w:bCs/>
                      <w:color w:val="auto"/>
                      <w:highlight w:val="none"/>
                    </w:rPr>
                  </w:pPr>
                  <w:r>
                    <w:rPr>
                      <w:rFonts w:hint="default" w:ascii="Times New Roman" w:hAnsi="Times New Roman" w:cs="Times New Roman"/>
                      <w:b/>
                      <w:bCs/>
                      <w:color w:val="auto"/>
                    </w:rPr>
                    <w:t>距离(m)</w:t>
                  </w:r>
                </w:p>
              </w:tc>
              <w:tc>
                <w:tcPr>
                  <w:tcW w:w="1200" w:type="dxa"/>
                  <w:noWrap w:val="0"/>
                  <w:vAlign w:val="center"/>
                </w:tcPr>
                <w:p>
                  <w:pPr>
                    <w:pStyle w:val="120"/>
                    <w:spacing w:line="240" w:lineRule="atLeast"/>
                    <w:ind w:firstLine="0" w:firstLineChars="0"/>
                    <w:rPr>
                      <w:rFonts w:hint="default" w:ascii="Times New Roman" w:hAnsi="Times New Roman" w:cs="Times New Roman"/>
                      <w:b/>
                      <w:bCs/>
                      <w:color w:val="auto"/>
                      <w:highlight w:val="none"/>
                    </w:rPr>
                  </w:pPr>
                  <w:r>
                    <w:rPr>
                      <w:rFonts w:hint="default" w:ascii="Times New Roman" w:hAnsi="Times New Roman" w:cs="Times New Roman"/>
                      <w:b/>
                      <w:bCs/>
                      <w:color w:val="auto"/>
                    </w:rPr>
                    <w:t>规模(人)</w:t>
                  </w:r>
                </w:p>
              </w:tc>
              <w:tc>
                <w:tcPr>
                  <w:tcW w:w="2870" w:type="dxa"/>
                  <w:noWrap w:val="0"/>
                  <w:vAlign w:val="center"/>
                </w:tcPr>
                <w:p>
                  <w:pPr>
                    <w:pStyle w:val="120"/>
                    <w:spacing w:line="240" w:lineRule="atLeast"/>
                    <w:ind w:firstLine="0" w:firstLineChars="0"/>
                    <w:rPr>
                      <w:rFonts w:hint="default" w:ascii="Times New Roman" w:hAnsi="Times New Roman" w:cs="Times New Roman"/>
                      <w:b/>
                      <w:bCs/>
                      <w:color w:val="auto"/>
                      <w:highlight w:val="none"/>
                    </w:rPr>
                  </w:pPr>
                  <w:r>
                    <w:rPr>
                      <w:rFonts w:hint="default" w:ascii="Times New Roman" w:hAnsi="Times New Roman" w:cs="Times New Roman"/>
                      <w:b/>
                      <w:bCs/>
                      <w:color w:val="auto"/>
                    </w:rPr>
                    <w:t>保护目标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40" w:hRule="atLeast"/>
                <w:jc w:val="center"/>
              </w:trPr>
              <w:tc>
                <w:tcPr>
                  <w:tcW w:w="657"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default" w:ascii="Times New Roman" w:hAnsi="Times New Roman" w:cs="Times New Roman"/>
                      <w:color w:val="auto"/>
                    </w:rPr>
                    <w:t>1</w:t>
                  </w:r>
                </w:p>
              </w:tc>
              <w:tc>
                <w:tcPr>
                  <w:tcW w:w="1638"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eastAsia" w:cs="Times New Roman"/>
                      <w:color w:val="auto"/>
                      <w:lang w:eastAsia="zh-CN"/>
                    </w:rPr>
                    <w:t>锡场镇育苗幼儿园华清分教处</w:t>
                  </w:r>
                </w:p>
              </w:tc>
              <w:tc>
                <w:tcPr>
                  <w:tcW w:w="990"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eastAsia" w:cs="Times New Roman"/>
                      <w:color w:val="auto"/>
                      <w:lang w:eastAsia="zh-CN"/>
                    </w:rPr>
                    <w:t>幼儿园</w:t>
                  </w:r>
                </w:p>
              </w:tc>
              <w:tc>
                <w:tcPr>
                  <w:tcW w:w="1065"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eastAsia" w:cs="Times New Roman"/>
                      <w:color w:val="auto"/>
                      <w:lang w:eastAsia="zh-CN"/>
                    </w:rPr>
                    <w:t>东</w:t>
                  </w:r>
                </w:p>
              </w:tc>
              <w:tc>
                <w:tcPr>
                  <w:tcW w:w="1050"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eastAsia" w:cs="Times New Roman"/>
                      <w:color w:val="auto"/>
                      <w:lang w:val="en-US" w:eastAsia="zh-CN"/>
                    </w:rPr>
                    <w:t>17</w:t>
                  </w:r>
                </w:p>
              </w:tc>
              <w:tc>
                <w:tcPr>
                  <w:tcW w:w="1200"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eastAsia" w:cs="Times New Roman"/>
                      <w:color w:val="auto"/>
                      <w:lang w:val="en-US" w:eastAsia="zh-CN"/>
                    </w:rPr>
                    <w:t>200</w:t>
                  </w:r>
                </w:p>
              </w:tc>
              <w:tc>
                <w:tcPr>
                  <w:tcW w:w="2870" w:type="dxa"/>
                  <w:vMerge w:val="restart"/>
                  <w:noWrap w:val="0"/>
                  <w:vAlign w:val="center"/>
                </w:tcPr>
                <w:p>
                  <w:pPr>
                    <w:pStyle w:val="120"/>
                    <w:spacing w:line="240" w:lineRule="atLeast"/>
                    <w:rPr>
                      <w:rFonts w:hint="default" w:ascii="Times New Roman" w:hAnsi="Times New Roman"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《环境空气质量标准》（GB3095-2012）二级标准</w:t>
                  </w:r>
                  <w:r>
                    <w:rPr>
                      <w:rFonts w:hint="default" w:ascii="Times New Roman" w:hAnsi="Times New Roman" w:cs="Times New Roman"/>
                      <w:color w:val="000000" w:themeColor="text1"/>
                      <w:lang w:eastAsia="zh-CN"/>
                      <w14:textFill>
                        <w14:solidFill>
                          <w14:schemeClr w14:val="tx1"/>
                        </w14:solidFill>
                      </w14:textFill>
                    </w:rPr>
                    <w:t>及</w:t>
                  </w:r>
                  <w:r>
                    <w:rPr>
                      <w:rFonts w:hint="default" w:ascii="Times New Roman" w:hAnsi="Times New Roman" w:cs="Times New Roman"/>
                      <w:color w:val="000000" w:themeColor="text1"/>
                      <w:lang w:val="en-US" w:eastAsia="zh-CN"/>
                      <w14:textFill>
                        <w14:solidFill>
                          <w14:schemeClr w14:val="tx1"/>
                        </w14:solidFill>
                      </w14:textFill>
                    </w:rPr>
                    <w:t>2018年</w:t>
                  </w:r>
                  <w:r>
                    <w:rPr>
                      <w:rFonts w:hint="default" w:ascii="Times New Roman" w:hAnsi="Times New Roman" w:cs="Times New Roman"/>
                      <w:color w:val="000000" w:themeColor="text1"/>
                      <w:lang w:eastAsia="zh-CN"/>
                      <w14:textFill>
                        <w14:solidFill>
                          <w14:schemeClr w14:val="tx1"/>
                        </w14:solidFill>
                      </w14:textFill>
                    </w:rPr>
                    <w:t>修改单，</w:t>
                  </w:r>
                </w:p>
                <w:p>
                  <w:pPr>
                    <w:pStyle w:val="120"/>
                    <w:spacing w:line="240" w:lineRule="atLeast"/>
                    <w:ind w:firstLine="0" w:firstLineChars="0"/>
                    <w:rPr>
                      <w:rFonts w:hint="default" w:ascii="Times New Roman" w:hAnsi="Times New Roman" w:eastAsia="宋体" w:cs="Times New Roman"/>
                      <w:color w:val="auto"/>
                      <w:highlight w:val="none"/>
                      <w:lang w:eastAsia="zh-CN"/>
                    </w:rPr>
                  </w:pPr>
                  <w:r>
                    <w:rPr>
                      <w:rFonts w:hint="default" w:ascii="Times New Roman" w:hAnsi="Times New Roman" w:cs="Times New Roman"/>
                      <w:color w:val="000000" w:themeColor="text1"/>
                      <w:lang w:eastAsia="zh-CN"/>
                      <w14:textFill>
                        <w14:solidFill>
                          <w14:schemeClr w14:val="tx1"/>
                        </w14:solidFill>
                      </w14:textFill>
                    </w:rPr>
                    <w:t>《声环境质量标准》</w:t>
                  </w:r>
                  <w:r>
                    <w:rPr>
                      <w:rFonts w:hint="default" w:ascii="Times New Roman" w:hAnsi="Times New Roman" w:cs="Times New Roman"/>
                      <w:color w:val="000000" w:themeColor="text1"/>
                      <w:szCs w:val="21"/>
                      <w14:textFill>
                        <w14:solidFill>
                          <w14:schemeClr w14:val="tx1"/>
                        </w14:solidFill>
                      </w14:textFill>
                    </w:rPr>
                    <w:t>（GB3096-2008）2类标准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40" w:hRule="atLeast"/>
                <w:jc w:val="center"/>
              </w:trPr>
              <w:tc>
                <w:tcPr>
                  <w:tcW w:w="657" w:type="dxa"/>
                  <w:noWrap w:val="0"/>
                  <w:vAlign w:val="center"/>
                </w:tcPr>
                <w:p>
                  <w:pPr>
                    <w:pStyle w:val="120"/>
                    <w:spacing w:line="240" w:lineRule="atLeast"/>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lang w:val="en-US" w:eastAsia="zh-CN"/>
                    </w:rPr>
                    <w:t>2</w:t>
                  </w:r>
                </w:p>
              </w:tc>
              <w:tc>
                <w:tcPr>
                  <w:tcW w:w="1638" w:type="dxa"/>
                  <w:noWrap w:val="0"/>
                  <w:vAlign w:val="center"/>
                </w:tcPr>
                <w:p>
                  <w:pPr>
                    <w:pStyle w:val="120"/>
                    <w:spacing w:line="240" w:lineRule="atLeast"/>
                    <w:ind w:firstLine="0" w:firstLineChars="0"/>
                    <w:rPr>
                      <w:rFonts w:hint="default" w:ascii="Times New Roman" w:hAnsi="Times New Roman" w:eastAsia="宋体" w:cs="Times New Roman"/>
                      <w:color w:val="auto"/>
                      <w:highlight w:val="none"/>
                      <w:lang w:eastAsia="zh-CN"/>
                    </w:rPr>
                  </w:pPr>
                  <w:r>
                    <w:rPr>
                      <w:rFonts w:hint="eastAsia" w:cs="Times New Roman"/>
                      <w:color w:val="auto"/>
                      <w:lang w:eastAsia="zh-CN"/>
                    </w:rPr>
                    <w:t>揭东区锡场镇华清小学</w:t>
                  </w:r>
                </w:p>
              </w:tc>
              <w:tc>
                <w:tcPr>
                  <w:tcW w:w="990" w:type="dxa"/>
                  <w:noWrap w:val="0"/>
                  <w:vAlign w:val="center"/>
                </w:tcPr>
                <w:p>
                  <w:pPr>
                    <w:pStyle w:val="120"/>
                    <w:spacing w:line="240" w:lineRule="atLeast"/>
                    <w:ind w:firstLine="0" w:firstLineChars="0"/>
                    <w:rPr>
                      <w:rFonts w:hint="default" w:ascii="Times New Roman" w:hAnsi="Times New Roman" w:eastAsia="宋体" w:cs="Times New Roman"/>
                      <w:color w:val="auto"/>
                      <w:highlight w:val="none"/>
                      <w:lang w:eastAsia="zh-CN"/>
                    </w:rPr>
                  </w:pPr>
                  <w:r>
                    <w:rPr>
                      <w:rFonts w:hint="eastAsia" w:cs="Times New Roman"/>
                      <w:color w:val="auto"/>
                      <w:lang w:eastAsia="zh-CN"/>
                    </w:rPr>
                    <w:t>学校</w:t>
                  </w:r>
                </w:p>
              </w:tc>
              <w:tc>
                <w:tcPr>
                  <w:tcW w:w="1065" w:type="dxa"/>
                  <w:noWrap w:val="0"/>
                  <w:vAlign w:val="center"/>
                </w:tcPr>
                <w:p>
                  <w:pPr>
                    <w:pStyle w:val="120"/>
                    <w:spacing w:line="240" w:lineRule="atLeast"/>
                    <w:ind w:firstLine="0" w:firstLineChars="0"/>
                    <w:rPr>
                      <w:rFonts w:hint="default" w:ascii="Times New Roman" w:hAnsi="Times New Roman" w:eastAsia="宋体" w:cs="Times New Roman"/>
                      <w:color w:val="auto"/>
                      <w:highlight w:val="none"/>
                      <w:lang w:val="en-US" w:eastAsia="zh-CN"/>
                    </w:rPr>
                  </w:pPr>
                  <w:r>
                    <w:rPr>
                      <w:rFonts w:hint="eastAsia" w:cs="Times New Roman"/>
                      <w:color w:val="auto"/>
                      <w:lang w:val="en-US" w:eastAsia="zh-CN"/>
                    </w:rPr>
                    <w:t>北</w:t>
                  </w:r>
                </w:p>
              </w:tc>
              <w:tc>
                <w:tcPr>
                  <w:tcW w:w="1050" w:type="dxa"/>
                  <w:noWrap w:val="0"/>
                  <w:vAlign w:val="center"/>
                </w:tcPr>
                <w:p>
                  <w:pPr>
                    <w:pStyle w:val="120"/>
                    <w:spacing w:line="240" w:lineRule="atLeast"/>
                    <w:ind w:firstLine="0" w:firstLineChars="0"/>
                    <w:rPr>
                      <w:rFonts w:hint="default" w:ascii="Times New Roman" w:hAnsi="Times New Roman" w:eastAsia="宋体" w:cs="Times New Roman"/>
                      <w:color w:val="auto"/>
                      <w:highlight w:val="none"/>
                      <w:lang w:val="en-US" w:eastAsia="zh-CN"/>
                    </w:rPr>
                  </w:pPr>
                  <w:r>
                    <w:rPr>
                      <w:rFonts w:hint="eastAsia" w:cs="Times New Roman"/>
                      <w:color w:val="auto"/>
                      <w:lang w:val="en-US" w:eastAsia="zh-CN"/>
                    </w:rPr>
                    <w:t>697</w:t>
                  </w:r>
                </w:p>
              </w:tc>
              <w:tc>
                <w:tcPr>
                  <w:tcW w:w="1200" w:type="dxa"/>
                  <w:noWrap w:val="0"/>
                  <w:vAlign w:val="center"/>
                </w:tcPr>
                <w:p>
                  <w:pPr>
                    <w:pStyle w:val="120"/>
                    <w:spacing w:line="240" w:lineRule="atLeast"/>
                    <w:ind w:firstLine="0" w:firstLineChars="0"/>
                    <w:rPr>
                      <w:rFonts w:hint="default" w:ascii="Times New Roman" w:hAnsi="Times New Roman" w:eastAsia="宋体" w:cs="Times New Roman"/>
                      <w:color w:val="auto"/>
                      <w:highlight w:val="none"/>
                      <w:lang w:val="en-US" w:eastAsia="zh-CN"/>
                    </w:rPr>
                  </w:pPr>
                  <w:r>
                    <w:rPr>
                      <w:rFonts w:hint="eastAsia" w:cs="Times New Roman"/>
                      <w:color w:val="auto"/>
                      <w:lang w:val="en-US" w:eastAsia="zh-CN"/>
                    </w:rPr>
                    <w:t>2000</w:t>
                  </w:r>
                </w:p>
              </w:tc>
              <w:tc>
                <w:tcPr>
                  <w:tcW w:w="2870" w:type="dxa"/>
                  <w:vMerge w:val="continue"/>
                  <w:noWrap w:val="0"/>
                  <w:vAlign w:val="center"/>
                </w:tcPr>
                <w:p>
                  <w:pPr>
                    <w:pStyle w:val="120"/>
                    <w:spacing w:line="240" w:lineRule="atLeast"/>
                    <w:ind w:firstLine="0" w:firstLineChars="0"/>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40" w:hRule="atLeast"/>
                <w:jc w:val="center"/>
              </w:trPr>
              <w:tc>
                <w:tcPr>
                  <w:tcW w:w="657" w:type="dxa"/>
                  <w:noWrap w:val="0"/>
                  <w:vAlign w:val="center"/>
                </w:tcPr>
                <w:p>
                  <w:pPr>
                    <w:pStyle w:val="120"/>
                    <w:spacing w:line="240" w:lineRule="atLeast"/>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lang w:val="en-US" w:eastAsia="zh-CN"/>
                    </w:rPr>
                    <w:t>3</w:t>
                  </w:r>
                </w:p>
              </w:tc>
              <w:tc>
                <w:tcPr>
                  <w:tcW w:w="1638"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eastAsia" w:cs="Times New Roman"/>
                      <w:color w:val="auto"/>
                      <w:lang w:eastAsia="zh-CN"/>
                    </w:rPr>
                    <w:t>华清中学</w:t>
                  </w:r>
                </w:p>
              </w:tc>
              <w:tc>
                <w:tcPr>
                  <w:tcW w:w="990"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eastAsia" w:cs="Times New Roman"/>
                      <w:color w:val="auto"/>
                      <w:lang w:eastAsia="zh-CN"/>
                    </w:rPr>
                    <w:t>学校</w:t>
                  </w:r>
                </w:p>
              </w:tc>
              <w:tc>
                <w:tcPr>
                  <w:tcW w:w="1065"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eastAsia" w:cs="Times New Roman"/>
                      <w:color w:val="auto"/>
                      <w:lang w:eastAsia="zh-CN"/>
                    </w:rPr>
                    <w:t>北</w:t>
                  </w:r>
                </w:p>
              </w:tc>
              <w:tc>
                <w:tcPr>
                  <w:tcW w:w="1050"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eastAsia" w:cs="Times New Roman"/>
                      <w:color w:val="auto"/>
                      <w:lang w:val="en-US" w:eastAsia="zh-CN"/>
                    </w:rPr>
                    <w:t>923</w:t>
                  </w:r>
                </w:p>
              </w:tc>
              <w:tc>
                <w:tcPr>
                  <w:tcW w:w="1200"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eastAsia" w:cs="Times New Roman"/>
                      <w:color w:val="auto"/>
                      <w:lang w:val="en-US" w:eastAsia="zh-CN"/>
                    </w:rPr>
                    <w:t>2500</w:t>
                  </w:r>
                </w:p>
              </w:tc>
              <w:tc>
                <w:tcPr>
                  <w:tcW w:w="2870" w:type="dxa"/>
                  <w:vMerge w:val="continue"/>
                  <w:noWrap w:val="0"/>
                  <w:vAlign w:val="center"/>
                </w:tcPr>
                <w:p>
                  <w:pPr>
                    <w:pStyle w:val="120"/>
                    <w:spacing w:line="240" w:lineRule="atLeast"/>
                    <w:ind w:firstLine="0" w:firstLineChars="0"/>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40" w:hRule="atLeast"/>
                <w:jc w:val="center"/>
              </w:trPr>
              <w:tc>
                <w:tcPr>
                  <w:tcW w:w="657" w:type="dxa"/>
                  <w:noWrap w:val="0"/>
                  <w:vAlign w:val="center"/>
                </w:tcPr>
                <w:p>
                  <w:pPr>
                    <w:pStyle w:val="120"/>
                    <w:spacing w:line="240" w:lineRule="atLeast"/>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lang w:val="en-US" w:eastAsia="zh-CN"/>
                    </w:rPr>
                    <w:t>4</w:t>
                  </w:r>
                </w:p>
              </w:tc>
              <w:tc>
                <w:tcPr>
                  <w:tcW w:w="1638"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eastAsia" w:cs="Times New Roman"/>
                      <w:color w:val="auto"/>
                      <w:lang w:eastAsia="zh-CN"/>
                    </w:rPr>
                    <w:t>揭阳市揭东区锡场镇军埔电子商务村</w:t>
                  </w:r>
                </w:p>
              </w:tc>
              <w:tc>
                <w:tcPr>
                  <w:tcW w:w="990"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eastAsia" w:cs="Times New Roman"/>
                      <w:color w:val="auto"/>
                      <w:lang w:eastAsia="zh-CN"/>
                    </w:rPr>
                    <w:t>商业</w:t>
                  </w:r>
                  <w:r>
                    <w:rPr>
                      <w:rFonts w:hint="default" w:ascii="Times New Roman" w:hAnsi="Times New Roman" w:cs="Times New Roman"/>
                      <w:color w:val="auto"/>
                    </w:rPr>
                    <w:t>区</w:t>
                  </w:r>
                </w:p>
              </w:tc>
              <w:tc>
                <w:tcPr>
                  <w:tcW w:w="1065"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eastAsia" w:cs="Times New Roman"/>
                      <w:color w:val="auto"/>
                      <w:lang w:eastAsia="zh-CN"/>
                    </w:rPr>
                    <w:t>西</w:t>
                  </w:r>
                </w:p>
              </w:tc>
              <w:tc>
                <w:tcPr>
                  <w:tcW w:w="1050" w:type="dxa"/>
                  <w:noWrap w:val="0"/>
                  <w:vAlign w:val="center"/>
                </w:tcPr>
                <w:p>
                  <w:pPr>
                    <w:pStyle w:val="120"/>
                    <w:spacing w:line="240" w:lineRule="atLeast"/>
                    <w:ind w:firstLine="0" w:firstLineChars="0"/>
                    <w:rPr>
                      <w:rFonts w:hint="default" w:ascii="Times New Roman" w:hAnsi="Times New Roman" w:cs="Times New Roman"/>
                      <w:color w:val="auto"/>
                      <w:highlight w:val="none"/>
                      <w:lang w:val="en-US"/>
                    </w:rPr>
                  </w:pPr>
                  <w:r>
                    <w:rPr>
                      <w:rFonts w:hint="eastAsia" w:cs="Times New Roman"/>
                      <w:color w:val="auto"/>
                      <w:lang w:val="en-US" w:eastAsia="zh-CN"/>
                    </w:rPr>
                    <w:t>963</w:t>
                  </w:r>
                </w:p>
              </w:tc>
              <w:tc>
                <w:tcPr>
                  <w:tcW w:w="1200"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eastAsia" w:cs="Times New Roman"/>
                      <w:color w:val="auto"/>
                      <w:lang w:val="en-US" w:eastAsia="zh-CN"/>
                    </w:rPr>
                    <w:t>3000</w:t>
                  </w:r>
                </w:p>
              </w:tc>
              <w:tc>
                <w:tcPr>
                  <w:tcW w:w="2870" w:type="dxa"/>
                  <w:vMerge w:val="continue"/>
                  <w:noWrap w:val="0"/>
                  <w:vAlign w:val="center"/>
                </w:tcPr>
                <w:p>
                  <w:pPr>
                    <w:pStyle w:val="120"/>
                    <w:spacing w:line="240" w:lineRule="atLeast"/>
                    <w:ind w:firstLine="0" w:firstLineChars="0"/>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40" w:hRule="atLeast"/>
                <w:jc w:val="center"/>
              </w:trPr>
              <w:tc>
                <w:tcPr>
                  <w:tcW w:w="657" w:type="dxa"/>
                  <w:noWrap w:val="0"/>
                  <w:vAlign w:val="center"/>
                </w:tcPr>
                <w:p>
                  <w:pPr>
                    <w:pStyle w:val="120"/>
                    <w:spacing w:line="240" w:lineRule="atLeast"/>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lang w:val="en-US" w:eastAsia="zh-CN"/>
                    </w:rPr>
                    <w:t>5</w:t>
                  </w:r>
                </w:p>
              </w:tc>
              <w:tc>
                <w:tcPr>
                  <w:tcW w:w="1638"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eastAsia" w:cs="Times New Roman"/>
                      <w:color w:val="auto"/>
                      <w:lang w:eastAsia="zh-CN"/>
                    </w:rPr>
                    <w:t>广东省揭阳市技术学校蓝田分教处</w:t>
                  </w:r>
                </w:p>
              </w:tc>
              <w:tc>
                <w:tcPr>
                  <w:tcW w:w="990"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eastAsia" w:cs="Times New Roman"/>
                      <w:color w:val="auto"/>
                      <w:lang w:eastAsia="zh-CN"/>
                    </w:rPr>
                    <w:t>学校</w:t>
                  </w:r>
                </w:p>
              </w:tc>
              <w:tc>
                <w:tcPr>
                  <w:tcW w:w="1065"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eastAsia" w:cs="Times New Roman"/>
                      <w:color w:val="auto"/>
                      <w:lang w:eastAsia="zh-CN"/>
                    </w:rPr>
                    <w:t>西</w:t>
                  </w:r>
                </w:p>
              </w:tc>
              <w:tc>
                <w:tcPr>
                  <w:tcW w:w="1050"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eastAsia" w:cs="Times New Roman"/>
                      <w:color w:val="auto"/>
                      <w:lang w:val="en-US" w:eastAsia="zh-CN"/>
                    </w:rPr>
                    <w:t>1200</w:t>
                  </w:r>
                </w:p>
              </w:tc>
              <w:tc>
                <w:tcPr>
                  <w:tcW w:w="1200"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eastAsia" w:cs="Times New Roman"/>
                      <w:color w:val="auto"/>
                      <w:lang w:val="en-US" w:eastAsia="zh-CN"/>
                    </w:rPr>
                    <w:t>2000</w:t>
                  </w:r>
                </w:p>
              </w:tc>
              <w:tc>
                <w:tcPr>
                  <w:tcW w:w="2870" w:type="dxa"/>
                  <w:vMerge w:val="continue"/>
                  <w:noWrap w:val="0"/>
                  <w:vAlign w:val="center"/>
                </w:tcPr>
                <w:p>
                  <w:pPr>
                    <w:pStyle w:val="120"/>
                    <w:spacing w:line="240" w:lineRule="atLeast"/>
                    <w:ind w:firstLine="0" w:firstLineChars="0"/>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40" w:hRule="atLeast"/>
                <w:jc w:val="center"/>
              </w:trPr>
              <w:tc>
                <w:tcPr>
                  <w:tcW w:w="657" w:type="dxa"/>
                  <w:noWrap w:val="0"/>
                  <w:vAlign w:val="center"/>
                </w:tcPr>
                <w:p>
                  <w:pPr>
                    <w:pStyle w:val="120"/>
                    <w:spacing w:line="240" w:lineRule="atLeast"/>
                    <w:ind w:firstLine="0" w:firstLineChars="0"/>
                    <w:rPr>
                      <w:rFonts w:hint="default" w:ascii="Times New Roman" w:hAnsi="Times New Roman" w:eastAsia="宋体" w:cs="Times New Roman"/>
                      <w:color w:val="auto"/>
                      <w:highlight w:val="none"/>
                      <w:lang w:val="en-US" w:eastAsia="zh-CN"/>
                    </w:rPr>
                  </w:pPr>
                  <w:r>
                    <w:rPr>
                      <w:rFonts w:hint="eastAsia" w:cs="Times New Roman"/>
                      <w:color w:val="auto"/>
                      <w:lang w:val="en-US" w:eastAsia="zh-CN"/>
                    </w:rPr>
                    <w:t>6</w:t>
                  </w:r>
                </w:p>
              </w:tc>
              <w:tc>
                <w:tcPr>
                  <w:tcW w:w="1638"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eastAsia" w:cs="Times New Roman"/>
                      <w:color w:val="000000" w:themeColor="text1"/>
                      <w:lang w:eastAsia="zh-CN"/>
                      <w14:textFill>
                        <w14:solidFill>
                          <w14:schemeClr w14:val="tx1"/>
                        </w14:solidFill>
                      </w14:textFill>
                    </w:rPr>
                    <w:t>榕江北河</w:t>
                  </w:r>
                </w:p>
              </w:tc>
              <w:tc>
                <w:tcPr>
                  <w:tcW w:w="990"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default" w:ascii="Times New Roman" w:hAnsi="Times New Roman" w:cs="Times New Roman"/>
                      <w:color w:val="auto"/>
                    </w:rPr>
                    <w:t>地表水</w:t>
                  </w:r>
                </w:p>
              </w:tc>
              <w:tc>
                <w:tcPr>
                  <w:tcW w:w="1065"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eastAsia" w:cs="Times New Roman"/>
                      <w:color w:val="auto"/>
                      <w:lang w:eastAsia="zh-CN"/>
                    </w:rPr>
                    <w:t>南</w:t>
                  </w:r>
                </w:p>
              </w:tc>
              <w:tc>
                <w:tcPr>
                  <w:tcW w:w="1050"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eastAsia" w:cs="Times New Roman"/>
                      <w:color w:val="auto"/>
                      <w:lang w:val="en-US" w:eastAsia="zh-CN"/>
                    </w:rPr>
                    <w:t>3000</w:t>
                  </w:r>
                </w:p>
              </w:tc>
              <w:tc>
                <w:tcPr>
                  <w:tcW w:w="1200"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default" w:ascii="Times New Roman" w:hAnsi="Times New Roman" w:cs="Times New Roman"/>
                      <w:color w:val="auto"/>
                    </w:rPr>
                    <w:t>/</w:t>
                  </w:r>
                </w:p>
              </w:tc>
              <w:tc>
                <w:tcPr>
                  <w:tcW w:w="2870" w:type="dxa"/>
                  <w:noWrap w:val="0"/>
                  <w:vAlign w:val="center"/>
                </w:tcPr>
                <w:p>
                  <w:pPr>
                    <w:pStyle w:val="120"/>
                    <w:spacing w:line="240" w:lineRule="atLeast"/>
                    <w:ind w:firstLine="0" w:firstLineChars="0"/>
                    <w:rPr>
                      <w:rFonts w:hint="default" w:ascii="Times New Roman" w:hAnsi="Times New Roman" w:cs="Times New Roman"/>
                      <w:color w:val="auto"/>
                      <w:highlight w:val="none"/>
                    </w:rPr>
                  </w:pPr>
                  <w:r>
                    <w:rPr>
                      <w:rFonts w:hint="default" w:ascii="Times New Roman" w:hAnsi="Times New Roman" w:cs="Times New Roman"/>
                      <w:color w:val="auto"/>
                    </w:rPr>
                    <w:t>《地表水环境质量标准》（GB3838-2002）</w:t>
                  </w:r>
                  <w:r>
                    <w:rPr>
                      <w:rFonts w:hint="eastAsia" w:cs="Times New Roman"/>
                      <w:color w:val="auto"/>
                      <w:lang w:val="en-US" w:eastAsia="zh-CN"/>
                    </w:rPr>
                    <w:t>II</w:t>
                  </w:r>
                  <w:r>
                    <w:rPr>
                      <w:rFonts w:hint="default" w:ascii="Times New Roman" w:hAnsi="Times New Roman" w:cs="Times New Roman"/>
                      <w:color w:val="auto"/>
                    </w:rPr>
                    <w:t>类标准</w:t>
                  </w:r>
                </w:p>
              </w:tc>
            </w:tr>
          </w:tbl>
          <w:p>
            <w:pPr>
              <w:adjustRightIn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三）环境风险识别</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eastAsia="zh-CN"/>
              </w:rPr>
              <w:t>本项目不涉及</w:t>
            </w:r>
            <w:r>
              <w:rPr>
                <w:rFonts w:hint="default" w:ascii="Times New Roman" w:hAnsi="Times New Roman" w:cs="Times New Roman"/>
                <w:color w:val="auto"/>
                <w:sz w:val="24"/>
                <w:highlight w:val="none"/>
              </w:rPr>
              <w:t>《建设项目环境风险评价技术导则》（HJ/T 169－20</w:t>
            </w:r>
            <w:r>
              <w:rPr>
                <w:rFonts w:hint="default" w:ascii="Times New Roman" w:hAnsi="Times New Roman" w:cs="Times New Roman"/>
                <w:color w:val="auto"/>
                <w:sz w:val="24"/>
                <w:highlight w:val="none"/>
                <w:lang w:val="en-US" w:eastAsia="zh-CN"/>
              </w:rPr>
              <w:t>18</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eastAsia="zh-CN"/>
              </w:rPr>
              <w:t>附录</w:t>
            </w:r>
            <w:r>
              <w:rPr>
                <w:rFonts w:hint="default" w:ascii="Times New Roman" w:hAnsi="Times New Roman" w:cs="Times New Roman"/>
                <w:color w:val="auto"/>
                <w:sz w:val="24"/>
                <w:highlight w:val="none"/>
                <w:lang w:val="en-US" w:eastAsia="zh-CN"/>
              </w:rPr>
              <w:t>B所列的突发环境事件风险物质。</w:t>
            </w:r>
            <w:r>
              <w:rPr>
                <w:rFonts w:hint="default" w:ascii="Times New Roman" w:hAnsi="Times New Roman" w:cs="Times New Roman"/>
                <w:color w:val="auto"/>
                <w:sz w:val="24"/>
                <w:highlight w:val="none"/>
                <w:lang w:eastAsia="zh-CN"/>
              </w:rPr>
              <w:t>项目</w:t>
            </w:r>
            <w:r>
              <w:rPr>
                <w:rFonts w:hint="default" w:ascii="Times New Roman" w:hAnsi="Times New Roman" w:cs="Times New Roman"/>
                <w:color w:val="auto"/>
                <w:sz w:val="24"/>
                <w:highlight w:val="none"/>
              </w:rPr>
              <w:t>存在的风险源有：医疗</w:t>
            </w:r>
            <w:r>
              <w:rPr>
                <w:rFonts w:hint="default" w:ascii="Times New Roman" w:hAnsi="Times New Roman" w:cs="Times New Roman"/>
                <w:color w:val="auto"/>
                <w:sz w:val="24"/>
                <w:highlight w:val="none"/>
                <w:lang w:eastAsia="zh-CN"/>
              </w:rPr>
              <w:t>污水</w:t>
            </w:r>
            <w:r>
              <w:rPr>
                <w:rFonts w:hint="default" w:ascii="Times New Roman" w:hAnsi="Times New Roman" w:cs="Times New Roman"/>
                <w:color w:val="auto"/>
                <w:sz w:val="24"/>
                <w:highlight w:val="none"/>
              </w:rPr>
              <w:t>在污水处理站发生事故时，未经处理及消毒的排放；医疗废物在收集、贮存、运送过程中的存在的风险等。</w:t>
            </w:r>
          </w:p>
          <w:p>
            <w:pPr>
              <w:adjustRightIn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四）环境风险分析</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（1）</w:t>
            </w:r>
            <w:r>
              <w:rPr>
                <w:rFonts w:hint="default" w:ascii="Times New Roman" w:hAnsi="Times New Roman" w:cs="Times New Roman"/>
                <w:color w:val="auto"/>
                <w:sz w:val="24"/>
                <w:highlight w:val="none"/>
              </w:rPr>
              <w:t>医疗</w:t>
            </w:r>
            <w:r>
              <w:rPr>
                <w:rFonts w:hint="default" w:ascii="Times New Roman" w:hAnsi="Times New Roman" w:cs="Times New Roman"/>
                <w:color w:val="auto"/>
                <w:sz w:val="24"/>
                <w:highlight w:val="none"/>
                <w:lang w:eastAsia="zh-CN"/>
              </w:rPr>
              <w:t>污水</w:t>
            </w:r>
            <w:r>
              <w:rPr>
                <w:rFonts w:hint="default" w:ascii="Times New Roman" w:hAnsi="Times New Roman" w:cs="Times New Roman"/>
                <w:color w:val="auto"/>
                <w:sz w:val="24"/>
                <w:highlight w:val="none"/>
              </w:rPr>
              <w:t>在污水处理站发生事故时，未经处理及消毒排放的风险</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医院污水处理设施发生故障导致带病原性微生物的含菌</w:t>
            </w:r>
            <w:r>
              <w:rPr>
                <w:rFonts w:hint="default" w:ascii="Times New Roman" w:hAnsi="Times New Roman" w:cs="Times New Roman"/>
                <w:color w:val="auto"/>
                <w:sz w:val="24"/>
                <w:highlight w:val="none"/>
                <w:lang w:eastAsia="zh-CN"/>
              </w:rPr>
              <w:t>医疗污水</w:t>
            </w:r>
            <w:r>
              <w:rPr>
                <w:rFonts w:hint="default" w:ascii="Times New Roman" w:hAnsi="Times New Roman" w:cs="Times New Roman"/>
                <w:color w:val="auto"/>
                <w:sz w:val="24"/>
                <w:highlight w:val="none"/>
              </w:rPr>
              <w:t>没有得到及时处理而排入</w:t>
            </w:r>
            <w:r>
              <w:rPr>
                <w:rFonts w:hint="default" w:ascii="Times New Roman" w:hAnsi="Times New Roman" w:cs="Times New Roman"/>
                <w:color w:val="auto"/>
                <w:sz w:val="24"/>
                <w:highlight w:val="none"/>
                <w:lang w:eastAsia="zh-CN"/>
              </w:rPr>
              <w:t>附近水体</w:t>
            </w:r>
            <w:r>
              <w:rPr>
                <w:rFonts w:hint="default" w:ascii="Times New Roman" w:hAnsi="Times New Roman" w:cs="Times New Roman"/>
                <w:color w:val="auto"/>
                <w:sz w:val="24"/>
                <w:highlight w:val="none"/>
              </w:rPr>
              <w:t>。</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（2）</w:t>
            </w:r>
            <w:r>
              <w:rPr>
                <w:rFonts w:hint="default" w:ascii="Times New Roman" w:hAnsi="Times New Roman" w:cs="Times New Roman"/>
                <w:color w:val="auto"/>
                <w:sz w:val="24"/>
                <w:highlight w:val="none"/>
              </w:rPr>
              <w:t>医疗废物在收集、贮存、运送过程中的风险</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医疗废物中可能存在传染性病菌、病毒、化学污染物等有害物质，由于医疗废物具有空间污染、急性传染和潜伏性污染等特征，其病毒、病菌的危害性是普通生活垃圾的几十、几百甚至上千倍，且基本没有回收再利用的价值。如果不经分类收集等有效处理，或在贮存、运送过程中因管理不善而发生泄露的话，很容易引起各种疾病的传播和蔓延。</w:t>
            </w:r>
          </w:p>
          <w:p>
            <w:pPr>
              <w:adjustRightIn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（五）环境风险防范措施及应急要求</w:t>
            </w:r>
          </w:p>
          <w:p>
            <w:pPr>
              <w:adjustRightIn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val="en-US" w:eastAsia="zh-CN"/>
              </w:rPr>
              <w:t>（1）</w:t>
            </w:r>
            <w:r>
              <w:rPr>
                <w:rFonts w:hint="default" w:ascii="Times New Roman" w:hAnsi="Times New Roman" w:cs="Times New Roman"/>
                <w:color w:val="auto"/>
                <w:sz w:val="24"/>
                <w:highlight w:val="none"/>
              </w:rPr>
              <w:t>污水处理站</w:t>
            </w:r>
            <w:r>
              <w:rPr>
                <w:rFonts w:hint="default" w:ascii="Times New Roman" w:hAnsi="Times New Roman" w:cs="Times New Roman"/>
                <w:color w:val="auto"/>
                <w:sz w:val="24"/>
                <w:highlight w:val="none"/>
                <w:lang w:eastAsia="zh-CN"/>
              </w:rPr>
              <w:t>事故防范措施</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①污水处理系统出现故障，不能正常运行，立即启用备用设备，保障污水能够得到及时处理并及时对出现故障的设备进行维修，确保污水做到达标排放，不对周边环境造成污染；</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②加强污水处理效果的监控设施建设，主要为消毒剂投加自动控制措施的监控，消毒剂的投加量需根据实际水质水量进行调整，严禁医院污水不经处理直接排放。</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③处理后出水指标要按照环境管理工作制度的要求，定期、定时进行监测，以保证污水稳定达标排放。</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④医院备有应急电源，在系统停电情况下，应立即启用应急电源，优先保证污水处理系统的用电，使其正常运转。</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⑤针对</w:t>
            </w:r>
            <w:r>
              <w:rPr>
                <w:rFonts w:hint="default" w:ascii="Times New Roman" w:hAnsi="Times New Roman" w:cs="Times New Roman"/>
                <w:color w:val="auto"/>
                <w:sz w:val="24"/>
                <w:highlight w:val="none"/>
                <w:lang w:eastAsia="zh-CN"/>
              </w:rPr>
              <w:t>医疗污水</w:t>
            </w:r>
            <w:r>
              <w:rPr>
                <w:rFonts w:hint="default" w:ascii="Times New Roman" w:hAnsi="Times New Roman" w:cs="Times New Roman"/>
                <w:color w:val="auto"/>
                <w:sz w:val="24"/>
                <w:highlight w:val="none"/>
              </w:rPr>
              <w:t>事故排放所产生的风险，根据《医疗污水处理工程技术规范》(HJ2029-2013)，污水处理工程应急池的容积不小于日排放量的30%。建议项目设计事故池（容积</w:t>
            </w:r>
            <w:r>
              <w:rPr>
                <w:rFonts w:hint="eastAsia" w:cs="Times New Roman"/>
                <w:color w:val="auto"/>
                <w:sz w:val="24"/>
                <w:highlight w:val="none"/>
                <w:lang w:val="en-US" w:eastAsia="zh-CN"/>
              </w:rPr>
              <w:t>20</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事故应急池设在污水处理站的旁边，配套建设完善的排水系统管网和切换系统，以应对因管道破裂、泵设备损坏或失效、人为操作失误等事故，确保发生事故时的受污染消防水全部收集至事故池暂存，待事故结束后妥善处理。</w:t>
            </w:r>
          </w:p>
          <w:p>
            <w:pPr>
              <w:adjustRightIn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（2）医疗废物事故防范措施</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项目建成后全院医疗废物必须经科学地分类收集、贮存运送后交由具有医疗废物处理资质的单位处理集中处理。</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鉴于医疗废物的极大危害性，该项目在收集、贮存、运送医疗废物的过程中存在着一定的风险。为保证项目产生的医疗废物得到有效处置，使其风险减少到最小程度，而不会对周围环境造成不良影响，应具体采取如下的措施进行防范。</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1）</w:t>
            </w:r>
            <w:r>
              <w:rPr>
                <w:rFonts w:hint="default" w:ascii="Times New Roman" w:hAnsi="Times New Roman" w:cs="Times New Roman"/>
                <w:color w:val="auto"/>
                <w:sz w:val="24"/>
                <w:highlight w:val="none"/>
              </w:rPr>
              <w:t>为防止医疗废物环境风险事故发生，建设单位将对医疗废物的管理将制定和实施严格的管理制度，包括：</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①分类收集：将医疗废物分类收集；</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②采用专用容器存放：如密闭的包装袋、利器盒、周转箱等；</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③规范化暂存：将医疗废物收集至医疗废物贮存间，避免雨淋、泄漏并设置防鼠、防蚊蝇、防蟑螂的安全措施，且做到日产日清；</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④交接规范化：运送人员应检查医疗废物的包装、标识，接收医疗废物的单位必须有相关资质，交接时采用危险废物转移联单管理；</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⑤运输规范化：使用专用车辆，运送车辆应配备相应的规范化文本、运送路线图、通讯设备、医疗废物产生单位及其管理人员名单与电话号码、事故应急预案及联络单位和人员的名单、电话号码、收集医疗废物的工具、消毒器具与药品、备用的医疗废物专用袋和利器盒、备用的人员防护用品等。同时运输路线的选择上尽量以城市周边道路为主要选择，避开人口密集区，降低运输过程中的风险。</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2</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加强检查</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医疗废物在装卸、运输的“跑、冒、滴、漏”现象是风险来源之一，其后果在大多数情况下并不导致人员受伤或是设备受损，但外泄的危险废物对环境造成污染。因此要加强巡回检查，是发现“跑、冒、滴、漏”等事故的重要是手段。每日的巡回检查应做详细记录，发现问题应及时上报，并做到及时防范。</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3</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事故应急处理措施</w:t>
            </w:r>
          </w:p>
          <w:p>
            <w:pPr>
              <w:adjustRightIn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医疗废物在收集、储存、运输过程中因意外出现泄漏，应立即报告医院保卫部门，封闭现场，进行清理。清理干净后，需要对现场进行严格消毒，对含有毒性强的医疗废物泄漏，还应该立即疏散周围人群，设置警示标志及距离，并在处理过程中穿防护服。</w:t>
            </w:r>
          </w:p>
          <w:p>
            <w:pPr>
              <w:snapToGri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（六）分析结论</w:t>
            </w:r>
          </w:p>
          <w:p>
            <w:pPr>
              <w:snapToGri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rPr>
              <w:t>评价建议建设单位根据项目环境风险特征制定相应的环境风险防范措施，同时制定环境风险应急预案、应急环境监测、抢救、救援及控制措施，本着预防为主的原则，落实环境风险防范措施及环境风险应急预案后，项日建设环境风险事故容易得到控制，对环境影响较小。</w:t>
            </w:r>
            <w:r>
              <w:rPr>
                <w:rFonts w:hint="default" w:ascii="Times New Roman" w:hAnsi="Times New Roman" w:cs="Times New Roman"/>
                <w:color w:val="auto"/>
                <w:sz w:val="24"/>
                <w:highlight w:val="none"/>
                <w:lang w:eastAsia="zh-CN"/>
              </w:rPr>
              <w:t>综上，该项目在严格按照风险防范措施处理情况下，该项目环境风险是可以接受的。</w:t>
            </w:r>
          </w:p>
          <w:p>
            <w:pPr>
              <w:adjustRightInd w:val="0"/>
              <w:spacing w:line="360" w:lineRule="auto"/>
              <w:ind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lang w:eastAsia="zh-CN"/>
              </w:rPr>
              <w:t>六</w:t>
            </w:r>
            <w:r>
              <w:rPr>
                <w:rFonts w:hint="default" w:ascii="Times New Roman" w:hAnsi="Times New Roman" w:cs="Times New Roman"/>
                <w:b/>
                <w:color w:val="auto"/>
                <w:sz w:val="24"/>
                <w:highlight w:val="none"/>
              </w:rPr>
              <w:t>、</w:t>
            </w:r>
            <w:r>
              <w:rPr>
                <w:rFonts w:hint="default" w:ascii="Times New Roman" w:hAnsi="Times New Roman" w:cs="Times New Roman"/>
                <w:b/>
                <w:color w:val="auto"/>
                <w:sz w:val="24"/>
                <w:highlight w:val="none"/>
                <w:lang w:eastAsia="zh-CN"/>
              </w:rPr>
              <w:t>外环境</w:t>
            </w:r>
            <w:r>
              <w:rPr>
                <w:rFonts w:hint="default" w:ascii="Times New Roman" w:hAnsi="Times New Roman" w:cs="Times New Roman"/>
                <w:b/>
                <w:color w:val="auto"/>
                <w:sz w:val="24"/>
                <w:highlight w:val="none"/>
              </w:rPr>
              <w:t>影响分析</w:t>
            </w:r>
          </w:p>
          <w:p>
            <w:pPr>
              <w:snapToGri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本项目为</w:t>
            </w:r>
            <w:r>
              <w:rPr>
                <w:rFonts w:hint="eastAsia" w:cs="Times New Roman"/>
                <w:color w:val="auto"/>
                <w:sz w:val="24"/>
                <w:highlight w:val="none"/>
                <w:lang w:eastAsia="zh-CN"/>
              </w:rPr>
              <w:t>综合医院</w:t>
            </w:r>
            <w:r>
              <w:rPr>
                <w:rFonts w:hint="default" w:ascii="Times New Roman" w:hAnsi="Times New Roman" w:cs="Times New Roman"/>
                <w:color w:val="auto"/>
                <w:sz w:val="24"/>
                <w:highlight w:val="none"/>
                <w:lang w:eastAsia="zh-CN"/>
              </w:rPr>
              <w:t>，本身为环境敏感目标，对外环境中的各种污染因素比较敏感，因此有必要就外环境对本项目的影响进行分析。</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eastAsia="zh-CN"/>
              </w:rPr>
              <w:t>根据现场踏勘，项目</w:t>
            </w:r>
            <w:r>
              <w:rPr>
                <w:rFonts w:hint="eastAsia" w:cs="Times New Roman"/>
                <w:color w:val="auto"/>
                <w:sz w:val="24"/>
                <w:highlight w:val="none"/>
                <w:lang w:eastAsia="zh-CN"/>
              </w:rPr>
              <w:t>四周均为居民区</w:t>
            </w:r>
            <w:r>
              <w:rPr>
                <w:rFonts w:hint="default" w:ascii="Times New Roman" w:hAnsi="Times New Roman" w:cs="Times New Roman"/>
                <w:color w:val="auto"/>
                <w:sz w:val="24"/>
                <w:highlight w:val="none"/>
                <w:lang w:eastAsia="zh-CN"/>
              </w:rPr>
              <w:t>。因此，外环境主要污染源头为社会噪声及流沙大道的交通道路噪声、尾气等。本项目与流沙大道的位置关系见表</w:t>
            </w:r>
            <w:r>
              <w:rPr>
                <w:rFonts w:hint="default" w:ascii="Times New Roman" w:hAnsi="Times New Roman" w:cs="Times New Roman"/>
                <w:color w:val="auto"/>
                <w:sz w:val="24"/>
                <w:highlight w:val="none"/>
                <w:lang w:val="en-US" w:eastAsia="zh-CN"/>
              </w:rPr>
              <w:t>7-12。</w:t>
            </w:r>
          </w:p>
          <w:p>
            <w:pPr>
              <w:pStyle w:val="103"/>
              <w:spacing w:line="240" w:lineRule="auto"/>
              <w:ind w:firstLine="422"/>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表7-</w:t>
            </w:r>
            <w:r>
              <w:rPr>
                <w:rFonts w:hint="default" w:ascii="Times New Roman" w:hAnsi="Times New Roman" w:eastAsia="宋体" w:cs="Times New Roman"/>
                <w:b/>
                <w:color w:val="auto"/>
                <w:sz w:val="21"/>
                <w:szCs w:val="21"/>
                <w:highlight w:val="none"/>
                <w:lang w:val="en-US" w:eastAsia="zh-CN"/>
              </w:rPr>
              <w:t>12</w:t>
            </w:r>
            <w:r>
              <w:rPr>
                <w:rFonts w:hint="default" w:ascii="Times New Roman" w:hAnsi="Times New Roman" w:eastAsia="宋体" w:cs="Times New Roman"/>
                <w:b/>
                <w:color w:val="auto"/>
                <w:sz w:val="21"/>
                <w:szCs w:val="21"/>
                <w:highlight w:val="none"/>
              </w:rPr>
              <w:t xml:space="preserve"> </w:t>
            </w:r>
            <w:r>
              <w:rPr>
                <w:rFonts w:hint="default" w:ascii="Times New Roman" w:hAnsi="Times New Roman" w:eastAsia="宋体" w:cs="Times New Roman"/>
                <w:b/>
                <w:color w:val="auto"/>
                <w:sz w:val="21"/>
                <w:szCs w:val="21"/>
                <w:highlight w:val="none"/>
                <w:lang w:eastAsia="zh-CN"/>
              </w:rPr>
              <w:t>项目与</w:t>
            </w:r>
            <w:r>
              <w:rPr>
                <w:rFonts w:hint="eastAsia" w:eastAsia="宋体" w:cs="Times New Roman"/>
                <w:b/>
                <w:color w:val="auto"/>
                <w:sz w:val="21"/>
                <w:szCs w:val="21"/>
                <w:highlight w:val="none"/>
                <w:lang w:eastAsia="zh-CN"/>
              </w:rPr>
              <w:t>村道</w:t>
            </w:r>
            <w:r>
              <w:rPr>
                <w:rFonts w:hint="default" w:ascii="Times New Roman" w:hAnsi="Times New Roman" w:eastAsia="宋体" w:cs="Times New Roman"/>
                <w:b/>
                <w:color w:val="auto"/>
                <w:sz w:val="21"/>
                <w:szCs w:val="21"/>
                <w:highlight w:val="none"/>
                <w:lang w:eastAsia="zh-CN"/>
              </w:rPr>
              <w:t>的位置关系</w:t>
            </w:r>
            <w:r>
              <w:rPr>
                <w:rFonts w:hint="default" w:ascii="Times New Roman" w:hAnsi="Times New Roman" w:eastAsia="宋体" w:cs="Times New Roman"/>
                <w:b/>
                <w:color w:val="auto"/>
                <w:sz w:val="21"/>
                <w:szCs w:val="21"/>
                <w:highlight w:val="none"/>
              </w:rPr>
              <w:t>一览表</w:t>
            </w:r>
          </w:p>
          <w:tbl>
            <w:tblPr>
              <w:tblStyle w:val="31"/>
              <w:tblW w:w="6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6"/>
              <w:gridCol w:w="2147"/>
              <w:gridCol w:w="2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66" w:type="dxa"/>
                  <w:vAlign w:val="center"/>
                </w:tcPr>
                <w:p>
                  <w:pPr>
                    <w:jc w:val="center"/>
                    <w:rPr>
                      <w:rFonts w:hint="default" w:ascii="Times New Roman" w:hAnsi="Times New Roman" w:eastAsia="宋体" w:cs="Times New Roman"/>
                      <w:b/>
                      <w:color w:val="auto"/>
                      <w:szCs w:val="21"/>
                      <w:highlight w:val="none"/>
                      <w:lang w:eastAsia="zh-CN"/>
                    </w:rPr>
                  </w:pPr>
                  <w:r>
                    <w:rPr>
                      <w:rFonts w:hint="default" w:ascii="Times New Roman" w:hAnsi="Times New Roman" w:cs="Times New Roman"/>
                      <w:b/>
                      <w:color w:val="auto"/>
                      <w:szCs w:val="21"/>
                      <w:highlight w:val="none"/>
                      <w:lang w:eastAsia="zh-CN"/>
                    </w:rPr>
                    <w:t>道路名称</w:t>
                  </w:r>
                </w:p>
              </w:tc>
              <w:tc>
                <w:tcPr>
                  <w:tcW w:w="2147" w:type="dxa"/>
                  <w:vAlign w:val="center"/>
                </w:tcPr>
                <w:p>
                  <w:pPr>
                    <w:jc w:val="center"/>
                    <w:rPr>
                      <w:rFonts w:hint="default" w:ascii="Times New Roman" w:hAnsi="Times New Roman" w:eastAsia="宋体" w:cs="Times New Roman"/>
                      <w:b/>
                      <w:color w:val="auto"/>
                      <w:szCs w:val="21"/>
                      <w:highlight w:val="none"/>
                      <w:lang w:eastAsia="zh-CN"/>
                    </w:rPr>
                  </w:pPr>
                  <w:r>
                    <w:rPr>
                      <w:rFonts w:hint="default" w:ascii="Times New Roman" w:hAnsi="Times New Roman" w:cs="Times New Roman"/>
                      <w:b/>
                      <w:color w:val="auto"/>
                      <w:szCs w:val="21"/>
                      <w:highlight w:val="none"/>
                      <w:lang w:eastAsia="zh-CN"/>
                    </w:rPr>
                    <w:t>道路概况</w:t>
                  </w:r>
                </w:p>
              </w:tc>
              <w:tc>
                <w:tcPr>
                  <w:tcW w:w="2703" w:type="dxa"/>
                  <w:vAlign w:val="center"/>
                </w:tcPr>
                <w:p>
                  <w:pPr>
                    <w:jc w:val="center"/>
                    <w:rPr>
                      <w:rFonts w:hint="default" w:ascii="Times New Roman" w:hAnsi="Times New Roman" w:eastAsia="宋体" w:cs="Times New Roman"/>
                      <w:b/>
                      <w:color w:val="auto"/>
                      <w:szCs w:val="21"/>
                      <w:highlight w:val="none"/>
                      <w:lang w:eastAsia="zh-CN"/>
                    </w:rPr>
                  </w:pPr>
                  <w:r>
                    <w:rPr>
                      <w:rFonts w:hint="default" w:ascii="Times New Roman" w:hAnsi="Times New Roman" w:cs="Times New Roman"/>
                      <w:b/>
                      <w:color w:val="auto"/>
                      <w:szCs w:val="21"/>
                      <w:highlight w:val="none"/>
                      <w:lang w:eastAsia="zh-CN"/>
                    </w:rPr>
                    <w:t>道路与项目边界距离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366" w:type="dxa"/>
                  <w:vAlign w:val="center"/>
                </w:tcPr>
                <w:p>
                  <w:pPr>
                    <w:jc w:val="center"/>
                    <w:rPr>
                      <w:rFonts w:hint="default" w:ascii="Times New Roman" w:hAnsi="Times New Roman" w:eastAsia="宋体" w:cs="Times New Roman"/>
                      <w:color w:val="auto"/>
                      <w:szCs w:val="21"/>
                      <w:highlight w:val="none"/>
                      <w:lang w:eastAsia="zh-CN"/>
                    </w:rPr>
                  </w:pPr>
                  <w:r>
                    <w:rPr>
                      <w:rFonts w:hint="eastAsia" w:cs="Times New Roman"/>
                      <w:color w:val="auto"/>
                      <w:szCs w:val="21"/>
                      <w:highlight w:val="none"/>
                      <w:lang w:eastAsia="zh-CN"/>
                    </w:rPr>
                    <w:t>村道</w:t>
                  </w:r>
                </w:p>
              </w:tc>
              <w:tc>
                <w:tcPr>
                  <w:tcW w:w="2147" w:type="dxa"/>
                  <w:vAlign w:val="center"/>
                </w:tcPr>
                <w:p>
                  <w:pPr>
                    <w:jc w:val="center"/>
                    <w:rPr>
                      <w:rFonts w:hint="default" w:ascii="Times New Roman" w:hAnsi="Times New Roman" w:eastAsia="宋体" w:cs="Times New Roman"/>
                      <w:color w:val="auto"/>
                      <w:szCs w:val="21"/>
                      <w:highlight w:val="none"/>
                      <w:lang w:eastAsia="zh-CN"/>
                    </w:rPr>
                  </w:pPr>
                  <w:r>
                    <w:rPr>
                      <w:rFonts w:hint="eastAsia" w:cs="Times New Roman"/>
                      <w:color w:val="auto"/>
                      <w:szCs w:val="21"/>
                      <w:highlight w:val="none"/>
                      <w:lang w:eastAsia="zh-CN"/>
                    </w:rPr>
                    <w:t>两车道</w:t>
                  </w:r>
                </w:p>
              </w:tc>
              <w:tc>
                <w:tcPr>
                  <w:tcW w:w="2703" w:type="dxa"/>
                  <w:vAlign w:val="center"/>
                </w:tcPr>
                <w:p>
                  <w:pPr>
                    <w:jc w:val="center"/>
                    <w:rPr>
                      <w:rFonts w:hint="default" w:ascii="Times New Roman" w:hAnsi="Times New Roman" w:eastAsia="宋体" w:cs="Times New Roman"/>
                      <w:color w:val="auto"/>
                      <w:szCs w:val="21"/>
                      <w:highlight w:val="none"/>
                      <w:vertAlign w:val="subscript"/>
                      <w:lang w:eastAsia="zh-CN"/>
                    </w:rPr>
                  </w:pPr>
                  <w:r>
                    <w:rPr>
                      <w:rFonts w:hint="default" w:ascii="Times New Roman" w:hAnsi="Times New Roman" w:cs="Times New Roman"/>
                      <w:color w:val="auto"/>
                      <w:szCs w:val="21"/>
                      <w:highlight w:val="none"/>
                      <w:lang w:eastAsia="zh-CN"/>
                    </w:rPr>
                    <w:t>相临</w:t>
                  </w:r>
                </w:p>
              </w:tc>
            </w:tr>
          </w:tbl>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1、社会噪声及交通噪声对本项目的影响</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eastAsia="zh-CN"/>
              </w:rPr>
              <w:t>由于进出</w:t>
            </w:r>
            <w:r>
              <w:rPr>
                <w:rFonts w:hint="eastAsia" w:cs="Times New Roman"/>
                <w:color w:val="auto"/>
                <w:sz w:val="24"/>
                <w:highlight w:val="none"/>
                <w:lang w:eastAsia="zh-CN"/>
              </w:rPr>
              <w:t>村道</w:t>
            </w:r>
            <w:r>
              <w:rPr>
                <w:rFonts w:hint="default" w:ascii="Times New Roman" w:hAnsi="Times New Roman" w:cs="Times New Roman"/>
                <w:color w:val="auto"/>
                <w:sz w:val="24"/>
                <w:highlight w:val="none"/>
                <w:lang w:eastAsia="zh-CN"/>
              </w:rPr>
              <w:t>的车辆主要为来往县区的车辆，据统计车辆约为</w:t>
            </w:r>
            <w:r>
              <w:rPr>
                <w:rFonts w:hint="eastAsia" w:cs="Times New Roman"/>
                <w:color w:val="auto"/>
                <w:sz w:val="24"/>
                <w:highlight w:val="none"/>
                <w:lang w:val="en-US" w:eastAsia="zh-CN"/>
              </w:rPr>
              <w:t>10</w:t>
            </w:r>
            <w:r>
              <w:rPr>
                <w:rFonts w:hint="default" w:ascii="Times New Roman" w:hAnsi="Times New Roman" w:cs="Times New Roman"/>
                <w:color w:val="auto"/>
                <w:sz w:val="24"/>
                <w:highlight w:val="none"/>
                <w:lang w:val="en-US" w:eastAsia="zh-CN"/>
              </w:rPr>
              <w:t>辆/h，本项目需采取一定的降噪防护措施，确保本项目建成后室内声环境达到《民用建筑隔声设计规范》（GB50118-2010）相关要求。建议建设单位在临路一侧安装隔声性能较好的窗户和采取设置绿化等方式来减少社会生活噪声及交通噪声对本项目的影响。具体措施如下：</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（1）设置绿化带</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本项目应加强社区卫生服务中心四周绿化，绿化带隔音效果可达3dB，经设置绿化带，可进一步降低南面流沙大道对社区卫生服务中心产生的噪声影响。</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（2）安装隔声窗</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为更好的预防周边车辆及社会生活噪声可能对医院产生的不良环境影响，建议建设单位在临路一侧窗户安装双层隔音窗。双层隔音窗隔音效果一般能达到37dB，社会生活噪声及交通噪声经过双层隔音窗隔音后，外环境噪音对项目影响较小。</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2、道路机动车尾气对本项目的影响</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机动车尾气由三部分组成：内燃机废气通过排气管排出，占尾气60%左右；曲轴箱泄露气体以及汽化器中蒸发出的气体，一般占20%左右。机动车尾气所含的成分有120～2000种化合物，但一般以一氧化碳（CO）、氮氧化物（NOx）、碳氢化合物（HC）等为代表。现汽车执行《轻型汽车污染物排放限值及测量方法（中国Ⅲ、Ⅳ阶段）》（GB18352.3-2005）中的国Ⅲ标准，污染物排污系数较小，污染物排放浓度较低。在构筑物周围及道路两旁种有绿化植物。经植物净化作用和合理布局后，汽车尾气及道路扬尘对本项目影响不大。</w:t>
            </w:r>
          </w:p>
          <w:p>
            <w:pPr>
              <w:snapToGrid w:val="0"/>
              <w:spacing w:line="360" w:lineRule="auto"/>
              <w:ind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七、建设项目环保“三同时”工程验收</w:t>
            </w:r>
          </w:p>
          <w:p>
            <w:pPr>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依据建设项目管理办法，环境保护设施必须与主体工程同时设计、同时施工、同时投入使用，在建设项目完成后，应对环境保护设施进行验收。运营期环境保护“三同时”验收一览表见表7-</w:t>
            </w:r>
            <w:r>
              <w:rPr>
                <w:rFonts w:hint="default" w:ascii="Times New Roman" w:hAnsi="Times New Roman" w:cs="Times New Roman"/>
                <w:color w:val="auto"/>
                <w:sz w:val="24"/>
                <w:highlight w:val="none"/>
                <w:lang w:val="en-US" w:eastAsia="zh-CN"/>
              </w:rPr>
              <w:t>13</w:t>
            </w:r>
            <w:r>
              <w:rPr>
                <w:rFonts w:hint="default" w:ascii="Times New Roman" w:hAnsi="Times New Roman" w:cs="Times New Roman"/>
                <w:color w:val="auto"/>
                <w:sz w:val="24"/>
                <w:highlight w:val="none"/>
              </w:rPr>
              <w:t xml:space="preserve">。 </w:t>
            </w:r>
          </w:p>
          <w:p>
            <w:pPr>
              <w:pStyle w:val="103"/>
              <w:ind w:firstLine="422"/>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表7-</w:t>
            </w:r>
            <w:r>
              <w:rPr>
                <w:rFonts w:hint="default" w:ascii="Times New Roman" w:hAnsi="Times New Roman" w:eastAsia="宋体" w:cs="Times New Roman"/>
                <w:b/>
                <w:color w:val="auto"/>
                <w:sz w:val="21"/>
                <w:szCs w:val="21"/>
                <w:highlight w:val="none"/>
                <w:lang w:val="en-US" w:eastAsia="zh-CN"/>
              </w:rPr>
              <w:t>13</w:t>
            </w:r>
            <w:r>
              <w:rPr>
                <w:rFonts w:hint="default" w:ascii="Times New Roman" w:hAnsi="Times New Roman" w:eastAsia="宋体" w:cs="Times New Roman"/>
                <w:b/>
                <w:color w:val="auto"/>
                <w:sz w:val="21"/>
                <w:szCs w:val="21"/>
                <w:highlight w:val="none"/>
              </w:rPr>
              <w:t xml:space="preserve"> 环境保护“三同时”验收一览表</w:t>
            </w:r>
          </w:p>
          <w:tbl>
            <w:tblPr>
              <w:tblStyle w:val="31"/>
              <w:tblW w:w="87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910"/>
              <w:gridCol w:w="2768"/>
              <w:gridCol w:w="3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59" w:type="dxa"/>
                  <w:vAlign w:val="center"/>
                </w:tcPr>
                <w:p>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类别</w:t>
                  </w:r>
                </w:p>
              </w:tc>
              <w:tc>
                <w:tcPr>
                  <w:tcW w:w="1910" w:type="dxa"/>
                  <w:vAlign w:val="center"/>
                </w:tcPr>
                <w:p>
                  <w:pPr>
                    <w:jc w:val="center"/>
                    <w:rPr>
                      <w:rFonts w:hint="default" w:ascii="Times New Roman" w:hAnsi="Times New Roman" w:eastAsia="宋体" w:cs="Times New Roman"/>
                      <w:b/>
                      <w:color w:val="auto"/>
                      <w:szCs w:val="21"/>
                      <w:highlight w:val="none"/>
                      <w:lang w:eastAsia="zh-CN"/>
                    </w:rPr>
                  </w:pPr>
                  <w:r>
                    <w:rPr>
                      <w:rFonts w:hint="default" w:ascii="Times New Roman" w:hAnsi="Times New Roman" w:cs="Times New Roman"/>
                      <w:b/>
                      <w:color w:val="auto"/>
                      <w:szCs w:val="21"/>
                      <w:highlight w:val="none"/>
                      <w:lang w:eastAsia="zh-CN"/>
                    </w:rPr>
                    <w:t>污染源</w:t>
                  </w:r>
                </w:p>
              </w:tc>
              <w:tc>
                <w:tcPr>
                  <w:tcW w:w="2768" w:type="dxa"/>
                  <w:vAlign w:val="center"/>
                </w:tcPr>
                <w:p>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监测/检查内容</w:t>
                  </w:r>
                </w:p>
              </w:tc>
              <w:tc>
                <w:tcPr>
                  <w:tcW w:w="3270" w:type="dxa"/>
                  <w:vAlign w:val="center"/>
                </w:tcPr>
                <w:p>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59" w:type="dxa"/>
                  <w:vMerge w:val="restart"/>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废气</w:t>
                  </w:r>
                </w:p>
              </w:tc>
              <w:tc>
                <w:tcPr>
                  <w:tcW w:w="1910" w:type="dxa"/>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食堂油烟</w:t>
                  </w:r>
                </w:p>
              </w:tc>
              <w:tc>
                <w:tcPr>
                  <w:tcW w:w="2768" w:type="dxa"/>
                  <w:vAlign w:val="center"/>
                </w:tcPr>
                <w:p>
                  <w:pPr>
                    <w:jc w:val="center"/>
                    <w:rPr>
                      <w:rFonts w:hint="default" w:ascii="Times New Roman" w:hAnsi="Times New Roman" w:cs="Times New Roman"/>
                      <w:color w:val="auto"/>
                      <w:szCs w:val="21"/>
                      <w:highlight w:val="none"/>
                      <w:vertAlign w:val="subscript"/>
                    </w:rPr>
                  </w:pPr>
                  <w:r>
                    <w:rPr>
                      <w:rFonts w:hint="default" w:ascii="Times New Roman" w:hAnsi="Times New Roman" w:cs="Times New Roman"/>
                      <w:color w:val="auto"/>
                      <w:szCs w:val="21"/>
                      <w:highlight w:val="none"/>
                    </w:rPr>
                    <w:t xml:space="preserve">监测项目： </w:t>
                  </w:r>
                  <w:r>
                    <w:rPr>
                      <w:rFonts w:hint="default" w:ascii="Times New Roman" w:hAnsi="Times New Roman" w:cs="Times New Roman"/>
                      <w:color w:val="auto"/>
                      <w:szCs w:val="21"/>
                      <w:highlight w:val="none"/>
                      <w:lang w:eastAsia="zh-CN"/>
                    </w:rPr>
                    <w:t>油烟</w:t>
                  </w:r>
                  <w:r>
                    <w:rPr>
                      <w:rFonts w:hint="default" w:ascii="Times New Roman" w:hAnsi="Times New Roman" w:cs="Times New Roman"/>
                      <w:color w:val="auto"/>
                      <w:szCs w:val="21"/>
                      <w:highlight w:val="none"/>
                    </w:rPr>
                    <w:t>；</w:t>
                  </w:r>
                </w:p>
                <w:p>
                  <w:pPr>
                    <w:jc w:val="center"/>
                    <w:rPr>
                      <w:rFonts w:hint="default" w:ascii="Times New Roman" w:hAnsi="Times New Roman" w:cs="Times New Roman"/>
                      <w:color w:val="auto"/>
                      <w:szCs w:val="21"/>
                      <w:highlight w:val="none"/>
                      <w:vertAlign w:val="subscript"/>
                    </w:rPr>
                  </w:pPr>
                  <w:r>
                    <w:rPr>
                      <w:rFonts w:hint="default" w:ascii="Times New Roman" w:hAnsi="Times New Roman" w:cs="Times New Roman"/>
                      <w:color w:val="auto"/>
                      <w:szCs w:val="21"/>
                      <w:highlight w:val="none"/>
                    </w:rPr>
                    <w:t>处理设施：</w:t>
                  </w:r>
                  <w:r>
                    <w:rPr>
                      <w:rFonts w:hint="default" w:ascii="Times New Roman" w:hAnsi="Times New Roman" w:cs="Times New Roman"/>
                      <w:color w:val="auto"/>
                      <w:szCs w:val="21"/>
                      <w:highlight w:val="none"/>
                      <w:lang w:eastAsia="zh-CN"/>
                    </w:rPr>
                    <w:t>高效油烟净化装置</w:t>
                  </w:r>
                </w:p>
              </w:tc>
              <w:tc>
                <w:tcPr>
                  <w:tcW w:w="3270" w:type="dxa"/>
                  <w:vAlign w:val="center"/>
                </w:tcPr>
                <w:p>
                  <w:pPr>
                    <w:pStyle w:val="105"/>
                    <w:ind w:firstLine="42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达到《饮食业油烟排放标准》（GB18483-2001）中标准要求</w:t>
                  </w:r>
                  <w:r>
                    <w:rPr>
                      <w:rFonts w:hint="default" w:ascii="Times New Roman" w:hAnsi="Times New Roman" w:cs="Times New Roman"/>
                      <w:color w:val="auto"/>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9" w:hRule="atLeast"/>
                <w:jc w:val="center"/>
              </w:trPr>
              <w:tc>
                <w:tcPr>
                  <w:tcW w:w="759" w:type="dxa"/>
                  <w:vMerge w:val="continue"/>
                  <w:vAlign w:val="center"/>
                </w:tcPr>
                <w:p>
                  <w:pPr>
                    <w:jc w:val="center"/>
                    <w:rPr>
                      <w:rFonts w:hint="default" w:ascii="Times New Roman" w:hAnsi="Times New Roman" w:cs="Times New Roman"/>
                      <w:color w:val="auto"/>
                      <w:szCs w:val="21"/>
                      <w:highlight w:val="none"/>
                    </w:rPr>
                  </w:pPr>
                </w:p>
              </w:tc>
              <w:tc>
                <w:tcPr>
                  <w:tcW w:w="1910" w:type="dxa"/>
                  <w:vAlign w:val="center"/>
                </w:tcPr>
                <w:p>
                  <w:pPr>
                    <w:jc w:val="center"/>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lang w:eastAsia="zh-CN"/>
                    </w:rPr>
                    <w:t>发电机尾气</w:t>
                  </w:r>
                </w:p>
              </w:tc>
              <w:tc>
                <w:tcPr>
                  <w:tcW w:w="2768" w:type="dxa"/>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监测项目：</w:t>
                  </w:r>
                  <w:r>
                    <w:rPr>
                      <w:rFonts w:hint="default" w:ascii="Times New Roman" w:hAnsi="Times New Roman" w:cs="Times New Roman"/>
                      <w:color w:val="auto"/>
                      <w:highlight w:val="none"/>
                    </w:rPr>
                    <w:t>SO</w:t>
                  </w:r>
                  <w:r>
                    <w:rPr>
                      <w:rFonts w:hint="default" w:ascii="Times New Roman" w:hAnsi="Times New Roman" w:cs="Times New Roman"/>
                      <w:color w:val="auto"/>
                      <w:highlight w:val="none"/>
                      <w:vertAlign w:val="subscript"/>
                    </w:rPr>
                    <w:t>2</w:t>
                  </w:r>
                  <w:r>
                    <w:rPr>
                      <w:rFonts w:hint="default" w:ascii="Times New Roman" w:hAnsi="Times New Roman" w:cs="Times New Roman"/>
                      <w:color w:val="auto"/>
                      <w:highlight w:val="none"/>
                    </w:rPr>
                    <w:t xml:space="preserve"> 、NOx 、烟尘</w:t>
                  </w:r>
                </w:p>
                <w:p>
                  <w:pPr>
                    <w:pStyle w:val="2"/>
                    <w:ind w:left="0" w:leftChars="0" w:firstLine="0" w:firstLineChars="0"/>
                    <w:jc w:val="center"/>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sz w:val="21"/>
                      <w:szCs w:val="21"/>
                      <w:highlight w:val="none"/>
                      <w:lang w:eastAsia="zh-CN"/>
                    </w:rPr>
                    <w:t>处理设施：</w:t>
                  </w:r>
                  <w:r>
                    <w:rPr>
                      <w:rFonts w:hint="default" w:ascii="Times New Roman" w:hAnsi="Times New Roman" w:cs="Times New Roman"/>
                      <w:color w:val="auto"/>
                      <w:sz w:val="21"/>
                      <w:szCs w:val="21"/>
                      <w:highlight w:val="none"/>
                    </w:rPr>
                    <w:t>备用发电机废气经通过排气筒引至高空排放</w:t>
                  </w:r>
                </w:p>
              </w:tc>
              <w:tc>
                <w:tcPr>
                  <w:tcW w:w="3270" w:type="dxa"/>
                  <w:vAlign w:val="center"/>
                </w:tcPr>
                <w:p>
                  <w:pPr>
                    <w:pStyle w:val="105"/>
                    <w:ind w:firstLine="420"/>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highlight w:val="none"/>
                    </w:rPr>
                    <w:t>达到</w:t>
                  </w:r>
                  <w:r>
                    <w:rPr>
                      <w:rFonts w:hint="default" w:ascii="Times New Roman" w:hAnsi="Times New Roman" w:cs="Times New Roman"/>
                      <w:color w:val="auto"/>
                      <w:highlight w:val="none"/>
                      <w:lang w:eastAsia="zh-CN"/>
                    </w:rPr>
                    <w:t>广东省《大气污染物排放限值》（DB44/27-2001）中二级标准</w:t>
                  </w:r>
                  <w:r>
                    <w:rPr>
                      <w:rFonts w:hint="default" w:ascii="Times New Roman" w:hAnsi="Times New Roman" w:cs="Times New Roman"/>
                      <w:color w:val="auto"/>
                      <w:highlight w:val="none"/>
                    </w:rPr>
                    <w:t>排放限值排放，产生的废气收集后</w:t>
                  </w:r>
                  <w:r>
                    <w:rPr>
                      <w:rFonts w:hint="default" w:ascii="Times New Roman" w:hAnsi="Times New Roman" w:cs="Times New Roman"/>
                      <w:color w:val="auto"/>
                      <w:highlight w:val="none"/>
                      <w:lang w:eastAsia="zh-CN"/>
                    </w:rPr>
                    <w:t>通过排气筒</w:t>
                  </w:r>
                  <w:r>
                    <w:rPr>
                      <w:rFonts w:hint="default" w:ascii="Times New Roman" w:hAnsi="Times New Roman" w:cs="Times New Roman"/>
                      <w:color w:val="auto"/>
                      <w:highlight w:val="none"/>
                    </w:rPr>
                    <w:t>引至天面排放</w:t>
                  </w:r>
                  <w:r>
                    <w:rPr>
                      <w:rFonts w:hint="default" w:ascii="Times New Roman" w:hAnsi="Times New Roman" w:cs="Times New Roman"/>
                      <w:color w:val="auto"/>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9" w:hRule="atLeast"/>
                <w:jc w:val="center"/>
              </w:trPr>
              <w:tc>
                <w:tcPr>
                  <w:tcW w:w="759" w:type="dxa"/>
                  <w:vMerge w:val="continue"/>
                  <w:vAlign w:val="center"/>
                </w:tcPr>
                <w:p>
                  <w:pPr>
                    <w:jc w:val="center"/>
                    <w:rPr>
                      <w:rFonts w:hint="default" w:ascii="Times New Roman" w:hAnsi="Times New Roman" w:cs="Times New Roman"/>
                      <w:color w:val="auto"/>
                      <w:szCs w:val="21"/>
                      <w:highlight w:val="none"/>
                    </w:rPr>
                  </w:pPr>
                </w:p>
              </w:tc>
              <w:tc>
                <w:tcPr>
                  <w:tcW w:w="1910" w:type="dxa"/>
                  <w:vAlign w:val="center"/>
                </w:tcPr>
                <w:p>
                  <w:pPr>
                    <w:jc w:val="center"/>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lang w:eastAsia="zh-CN"/>
                    </w:rPr>
                    <w:t>污水处理站恶臭</w:t>
                  </w:r>
                </w:p>
              </w:tc>
              <w:tc>
                <w:tcPr>
                  <w:tcW w:w="2768" w:type="dxa"/>
                  <w:vAlign w:val="center"/>
                </w:tcPr>
                <w:p>
                  <w:pPr>
                    <w:pStyle w:val="2"/>
                    <w:ind w:left="0" w:leftChars="0" w:firstLine="0" w:firstLineChars="0"/>
                    <w:jc w:val="center"/>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监测项目：氨气、硫化氢、臭气浓度</w:t>
                  </w:r>
                </w:p>
                <w:p>
                  <w:pPr>
                    <w:pStyle w:val="2"/>
                    <w:ind w:left="0" w:leftChars="0" w:firstLine="0" w:firstLineChars="0"/>
                    <w:jc w:val="center"/>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处理设施：采用</w:t>
                  </w:r>
                  <w:r>
                    <w:rPr>
                      <w:rFonts w:hint="eastAsia" w:cs="Times New Roman"/>
                      <w:color w:val="auto"/>
                      <w:sz w:val="21"/>
                      <w:szCs w:val="21"/>
                      <w:highlight w:val="none"/>
                      <w:lang w:eastAsia="zh-CN"/>
                    </w:rPr>
                    <w:t>地埋式污水处理设施，臭气无组织排放量极少</w:t>
                  </w:r>
                </w:p>
              </w:tc>
              <w:tc>
                <w:tcPr>
                  <w:tcW w:w="3270" w:type="dxa"/>
                  <w:vAlign w:val="center"/>
                </w:tcPr>
                <w:p>
                  <w:pPr>
                    <w:pStyle w:val="105"/>
                    <w:ind w:firstLine="420"/>
                    <w:jc w:val="center"/>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highlight w:val="none"/>
                      <w:lang w:eastAsia="zh-CN"/>
                    </w:rPr>
                    <w:t>达到《恶臭污染物排放标准》（GB14554-93）厂界二级标准</w:t>
                  </w:r>
                  <w:r>
                    <w:rPr>
                      <w:rFonts w:hint="default" w:ascii="Times New Roman" w:hAnsi="Times New Roman" w:cs="Times New Roman"/>
                      <w:color w:val="auto"/>
                      <w:highlight w:val="none"/>
                      <w:lang w:val="en-US" w:eastAsia="zh-CN"/>
                    </w:rPr>
                    <w:t>，污水处理站周边</w:t>
                  </w:r>
                  <w:r>
                    <w:rPr>
                      <w:rFonts w:hint="default" w:ascii="Times New Roman" w:hAnsi="Times New Roman" w:cs="Times New Roman"/>
                      <w:color w:val="auto"/>
                      <w:highlight w:val="none"/>
                      <w:lang w:eastAsia="zh-CN"/>
                    </w:rPr>
                    <w:t>达到</w:t>
                  </w:r>
                  <w:r>
                    <w:rPr>
                      <w:rFonts w:hint="default" w:ascii="Times New Roman" w:hAnsi="Times New Roman" w:cs="Times New Roman"/>
                      <w:color w:val="auto"/>
                      <w:szCs w:val="21"/>
                      <w:highlight w:val="none"/>
                    </w:rPr>
                    <w:t>《医疗机构水污染物排放标准》（GB18466-2005）中</w:t>
                  </w:r>
                  <w:r>
                    <w:rPr>
                      <w:rFonts w:hint="default" w:ascii="Times New Roman" w:hAnsi="Times New Roman" w:cs="Times New Roman"/>
                      <w:color w:val="auto"/>
                      <w:szCs w:val="21"/>
                      <w:highlight w:val="none"/>
                      <w:lang w:eastAsia="zh-CN"/>
                    </w:rPr>
                    <w:t>污水处理站周边大气污染物最高允许浓度。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9" w:hRule="atLeast"/>
                <w:jc w:val="center"/>
              </w:trPr>
              <w:tc>
                <w:tcPr>
                  <w:tcW w:w="759" w:type="dxa"/>
                  <w:vMerge w:val="continue"/>
                  <w:vAlign w:val="center"/>
                </w:tcPr>
                <w:p>
                  <w:pPr>
                    <w:jc w:val="center"/>
                    <w:rPr>
                      <w:rFonts w:hint="default" w:ascii="Times New Roman" w:hAnsi="Times New Roman" w:cs="Times New Roman"/>
                      <w:color w:val="auto"/>
                      <w:szCs w:val="21"/>
                      <w:highlight w:val="none"/>
                    </w:rPr>
                  </w:pPr>
                </w:p>
              </w:tc>
              <w:tc>
                <w:tcPr>
                  <w:tcW w:w="1910" w:type="dxa"/>
                  <w:vAlign w:val="center"/>
                </w:tcPr>
                <w:p>
                  <w:pPr>
                    <w:jc w:val="center"/>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lang w:eastAsia="zh-CN"/>
                    </w:rPr>
                    <w:t>垃圾收集房臭气</w:t>
                  </w:r>
                </w:p>
              </w:tc>
              <w:tc>
                <w:tcPr>
                  <w:tcW w:w="2768" w:type="dxa"/>
                  <w:vAlign w:val="center"/>
                </w:tcPr>
                <w:p>
                  <w:pPr>
                    <w:pStyle w:val="2"/>
                    <w:ind w:left="0" w:leftChars="0" w:firstLine="0" w:firstLineChars="0"/>
                    <w:jc w:val="center"/>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监测项目：氨气、硫化氢、臭气浓度</w:t>
                  </w:r>
                </w:p>
                <w:p>
                  <w:pPr>
                    <w:pStyle w:val="2"/>
                    <w:ind w:left="0" w:leftChars="0" w:firstLine="0" w:firstLineChars="0"/>
                    <w:jc w:val="center"/>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处理设施：采用封闭式设计，垃圾收集入房即关闭房门，对垃圾收集房喷洒除臭剂、消毒剂，经常地面清洗处理</w:t>
                  </w:r>
                </w:p>
              </w:tc>
              <w:tc>
                <w:tcPr>
                  <w:tcW w:w="3270" w:type="dxa"/>
                  <w:vAlign w:val="center"/>
                </w:tcPr>
                <w:p>
                  <w:pPr>
                    <w:pStyle w:val="105"/>
                    <w:ind w:firstLine="420" w:firstLineChars="200"/>
                    <w:jc w:val="center"/>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highlight w:val="none"/>
                      <w:lang w:eastAsia="zh-CN"/>
                    </w:rPr>
                    <w:t>达到《恶臭污染物排放标准》（GB14554-93）厂界二级标准。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59" w:type="dxa"/>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废水</w:t>
                  </w:r>
                </w:p>
              </w:tc>
              <w:tc>
                <w:tcPr>
                  <w:tcW w:w="1910" w:type="dxa"/>
                  <w:vAlign w:val="center"/>
                </w:tcPr>
                <w:p>
                  <w:pPr>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医疗污水、洗衣房废水和生活污水综合废水</w:t>
                  </w:r>
                </w:p>
              </w:tc>
              <w:tc>
                <w:tcPr>
                  <w:tcW w:w="2768" w:type="dxa"/>
                  <w:vAlign w:val="center"/>
                </w:tcPr>
                <w:p>
                  <w:pPr>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监测项目：COD</w:t>
                  </w:r>
                  <w:r>
                    <w:rPr>
                      <w:rFonts w:hint="default" w:ascii="Times New Roman" w:hAnsi="Times New Roman" w:cs="Times New Roman"/>
                      <w:color w:val="auto"/>
                      <w:szCs w:val="21"/>
                      <w:highlight w:val="none"/>
                      <w:vertAlign w:val="subscript"/>
                    </w:rPr>
                    <w:t>Cr</w:t>
                  </w:r>
                  <w:r>
                    <w:rPr>
                      <w:rFonts w:hint="default" w:ascii="Times New Roman" w:hAnsi="Times New Roman" w:cs="Times New Roman"/>
                      <w:color w:val="auto"/>
                      <w:szCs w:val="21"/>
                      <w:highlight w:val="none"/>
                    </w:rPr>
                    <w:t>、BOD</w:t>
                  </w:r>
                  <w:r>
                    <w:rPr>
                      <w:rFonts w:hint="default" w:ascii="Times New Roman" w:hAnsi="Times New Roman" w:cs="Times New Roman"/>
                      <w:color w:val="auto"/>
                      <w:szCs w:val="21"/>
                      <w:highlight w:val="none"/>
                      <w:vertAlign w:val="subscript"/>
                    </w:rPr>
                    <w:t>5</w:t>
                  </w:r>
                  <w:r>
                    <w:rPr>
                      <w:rFonts w:hint="default" w:ascii="Times New Roman" w:hAnsi="Times New Roman" w:cs="Times New Roman"/>
                      <w:color w:val="auto"/>
                      <w:szCs w:val="21"/>
                      <w:highlight w:val="none"/>
                    </w:rPr>
                    <w:t>、SS、NH</w:t>
                  </w:r>
                  <w:r>
                    <w:rPr>
                      <w:rFonts w:hint="default" w:ascii="Times New Roman" w:hAnsi="Times New Roman" w:cs="Times New Roman"/>
                      <w:color w:val="auto"/>
                      <w:szCs w:val="21"/>
                      <w:highlight w:val="none"/>
                      <w:vertAlign w:val="subscript"/>
                    </w:rPr>
                    <w:t>3</w:t>
                  </w:r>
                  <w:r>
                    <w:rPr>
                      <w:rFonts w:hint="default" w:ascii="Times New Roman" w:hAnsi="Times New Roman" w:cs="Times New Roman"/>
                      <w:color w:val="auto"/>
                      <w:szCs w:val="21"/>
                      <w:highlight w:val="none"/>
                    </w:rPr>
                    <w:t>-N</w:t>
                  </w:r>
                  <w:r>
                    <w:rPr>
                      <w:rFonts w:hint="default" w:ascii="Times New Roman" w:hAnsi="Times New Roman" w:cs="Times New Roman"/>
                      <w:color w:val="auto"/>
                      <w:szCs w:val="21"/>
                      <w:highlight w:val="none"/>
                      <w:lang w:eastAsia="zh-CN"/>
                    </w:rPr>
                    <w:t>、粪大肠菌群</w:t>
                  </w:r>
                </w:p>
                <w:p>
                  <w:pPr>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处理设施：</w:t>
                  </w:r>
                  <w:r>
                    <w:rPr>
                      <w:rFonts w:hint="default" w:ascii="Times New Roman" w:hAnsi="Times New Roman" w:cs="Times New Roman"/>
                      <w:color w:val="auto"/>
                      <w:szCs w:val="21"/>
                      <w:highlight w:val="none"/>
                      <w:lang w:eastAsia="zh-CN"/>
                    </w:rPr>
                    <w:t>自建污水处理站</w:t>
                  </w:r>
                </w:p>
              </w:tc>
              <w:tc>
                <w:tcPr>
                  <w:tcW w:w="3270" w:type="dxa"/>
                  <w:vAlign w:val="center"/>
                </w:tcPr>
                <w:p>
                  <w:pPr>
                    <w:ind w:firstLine="420" w:firstLineChars="200"/>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kern w:val="2"/>
                      <w:sz w:val="21"/>
                      <w:szCs w:val="24"/>
                      <w:highlight w:val="none"/>
                      <w:lang w:val="en-US" w:eastAsia="zh-CN" w:bidi="ar-SA"/>
                    </w:rPr>
                    <w:t>达到《城市污水再生利用 城市杂用水水质》（GB/T18920-2002）中“城市绿化”标准后回用项目周边绿化用水。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59" w:type="dxa"/>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噪声</w:t>
                  </w:r>
                </w:p>
              </w:tc>
              <w:tc>
                <w:tcPr>
                  <w:tcW w:w="1910" w:type="dxa"/>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各种配套设备（水泵、发电机、抽排风机、</w:t>
                  </w:r>
                  <w:r>
                    <w:rPr>
                      <w:rFonts w:hint="default" w:ascii="Times New Roman" w:hAnsi="Times New Roman" w:cs="Times New Roman"/>
                      <w:color w:val="auto"/>
                      <w:szCs w:val="21"/>
                      <w:highlight w:val="none"/>
                      <w:lang w:eastAsia="zh-CN"/>
                    </w:rPr>
                    <w:t>空调系统</w:t>
                  </w:r>
                  <w:r>
                    <w:rPr>
                      <w:rFonts w:hint="default" w:ascii="Times New Roman" w:hAnsi="Times New Roman" w:cs="Times New Roman"/>
                      <w:color w:val="auto"/>
                      <w:szCs w:val="21"/>
                      <w:highlight w:val="none"/>
                    </w:rPr>
                    <w:t>等）运行时产生的噪声、进出车辆噪声及社会活动噪声</w:t>
                  </w:r>
                </w:p>
              </w:tc>
              <w:tc>
                <w:tcPr>
                  <w:tcW w:w="2768" w:type="dxa"/>
                  <w:vAlign w:val="center"/>
                </w:tcPr>
                <w:p>
                  <w:pPr>
                    <w:ind w:firstLine="420" w:firstLineChars="20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等效连续A声级Leq</w:t>
                  </w:r>
                </w:p>
              </w:tc>
              <w:tc>
                <w:tcPr>
                  <w:tcW w:w="3270" w:type="dxa"/>
                  <w:vAlign w:val="center"/>
                </w:tcPr>
                <w:p>
                  <w:pPr>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边界</w:t>
                  </w:r>
                  <w:r>
                    <w:rPr>
                      <w:rFonts w:hint="default" w:ascii="Times New Roman" w:hAnsi="Times New Roman" w:cs="Times New Roman"/>
                      <w:color w:val="auto"/>
                      <w:szCs w:val="21"/>
                      <w:highlight w:val="none"/>
                    </w:rPr>
                    <w:t>噪声排放满足《工业企业厂界环境噪声排放标准》（GB12348-2008）中的2类标准</w:t>
                  </w:r>
                  <w:r>
                    <w:rPr>
                      <w:rFonts w:hint="default" w:ascii="Times New Roman" w:hAnsi="Times New Roman" w:cs="Times New Roman"/>
                      <w:color w:val="auto"/>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2" w:hRule="atLeast"/>
                <w:jc w:val="center"/>
              </w:trPr>
              <w:tc>
                <w:tcPr>
                  <w:tcW w:w="759" w:type="dxa"/>
                  <w:vMerge w:val="restart"/>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固废</w:t>
                  </w:r>
                </w:p>
              </w:tc>
              <w:tc>
                <w:tcPr>
                  <w:tcW w:w="1910" w:type="dxa"/>
                  <w:vAlign w:val="center"/>
                </w:tcPr>
                <w:p>
                  <w:pPr>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一般</w:t>
                  </w:r>
                  <w:r>
                    <w:rPr>
                      <w:rFonts w:hint="default" w:ascii="Times New Roman" w:hAnsi="Times New Roman" w:cs="Times New Roman"/>
                      <w:color w:val="auto"/>
                      <w:szCs w:val="21"/>
                      <w:highlight w:val="none"/>
                      <w:lang w:eastAsia="zh-CN"/>
                    </w:rPr>
                    <w:t>办公生活垃圾</w:t>
                  </w:r>
                </w:p>
              </w:tc>
              <w:tc>
                <w:tcPr>
                  <w:tcW w:w="2768" w:type="dxa"/>
                  <w:vAlign w:val="center"/>
                </w:tcPr>
                <w:p>
                  <w:pPr>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符合相关废物贮存的要求</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交由环卫部门清运。</w:t>
                  </w:r>
                </w:p>
              </w:tc>
              <w:tc>
                <w:tcPr>
                  <w:tcW w:w="3270" w:type="dxa"/>
                  <w:vAlign w:val="center"/>
                </w:tcPr>
                <w:p>
                  <w:pPr>
                    <w:ind w:firstLine="420" w:firstLineChars="200"/>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符合相关废物贮存的要求</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交由环卫部门清运。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59" w:type="dxa"/>
                  <w:vMerge w:val="continue"/>
                  <w:vAlign w:val="center"/>
                </w:tcPr>
                <w:p>
                  <w:pPr>
                    <w:jc w:val="center"/>
                    <w:rPr>
                      <w:rFonts w:hint="default" w:ascii="Times New Roman" w:hAnsi="Times New Roman" w:cs="Times New Roman"/>
                      <w:color w:val="auto"/>
                      <w:szCs w:val="21"/>
                      <w:highlight w:val="none"/>
                    </w:rPr>
                  </w:pPr>
                </w:p>
              </w:tc>
              <w:tc>
                <w:tcPr>
                  <w:tcW w:w="1910" w:type="dxa"/>
                  <w:vAlign w:val="center"/>
                </w:tcPr>
                <w:p>
                  <w:pPr>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医疗废物</w:t>
                  </w:r>
                </w:p>
              </w:tc>
              <w:tc>
                <w:tcPr>
                  <w:tcW w:w="2768" w:type="dxa"/>
                  <w:vAlign w:val="center"/>
                </w:tcPr>
                <w:p>
                  <w:pPr>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符合相关废物贮存的要求</w:t>
                  </w:r>
                  <w:r>
                    <w:rPr>
                      <w:rFonts w:hint="default" w:ascii="Times New Roman" w:hAnsi="Times New Roman" w:cs="Times New Roman"/>
                      <w:color w:val="auto"/>
                      <w:szCs w:val="21"/>
                      <w:highlight w:val="none"/>
                      <w:lang w:eastAsia="zh-CN"/>
                    </w:rPr>
                    <w:t>，交由有资质单位回收处理。</w:t>
                  </w:r>
                </w:p>
              </w:tc>
              <w:tc>
                <w:tcPr>
                  <w:tcW w:w="3270" w:type="dxa"/>
                  <w:vAlign w:val="center"/>
                </w:tcPr>
                <w:p>
                  <w:pPr>
                    <w:ind w:firstLine="420" w:firstLineChars="20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符合相关废物贮存的要求</w:t>
                  </w:r>
                  <w:r>
                    <w:rPr>
                      <w:rFonts w:hint="default" w:ascii="Times New Roman" w:hAnsi="Times New Roman" w:cs="Times New Roman"/>
                      <w:color w:val="auto"/>
                      <w:szCs w:val="21"/>
                      <w:highlight w:val="none"/>
                      <w:lang w:eastAsia="zh-CN"/>
                    </w:rPr>
                    <w:t>，交由有资质单位回收处理。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59" w:type="dxa"/>
                  <w:vMerge w:val="continue"/>
                  <w:vAlign w:val="center"/>
                </w:tcPr>
                <w:p>
                  <w:pPr>
                    <w:jc w:val="center"/>
                    <w:rPr>
                      <w:rFonts w:hint="default" w:ascii="Times New Roman" w:hAnsi="Times New Roman" w:cs="Times New Roman"/>
                      <w:color w:val="auto"/>
                      <w:szCs w:val="21"/>
                      <w:highlight w:val="none"/>
                    </w:rPr>
                  </w:pPr>
                </w:p>
              </w:tc>
              <w:tc>
                <w:tcPr>
                  <w:tcW w:w="1910" w:type="dxa"/>
                  <w:vAlign w:val="center"/>
                </w:tcPr>
                <w:p>
                  <w:pPr>
                    <w:jc w:val="center"/>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lang w:eastAsia="zh-CN"/>
                    </w:rPr>
                    <w:t>污泥</w:t>
                  </w:r>
                </w:p>
              </w:tc>
              <w:tc>
                <w:tcPr>
                  <w:tcW w:w="2768" w:type="dxa"/>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符合相关废物贮存的要求</w:t>
                  </w:r>
                  <w:r>
                    <w:rPr>
                      <w:rFonts w:hint="default" w:ascii="Times New Roman" w:hAnsi="Times New Roman" w:cs="Times New Roman"/>
                      <w:color w:val="auto"/>
                      <w:szCs w:val="21"/>
                      <w:highlight w:val="none"/>
                      <w:lang w:eastAsia="zh-CN"/>
                    </w:rPr>
                    <w:t>，交由有资质单位回收处理。</w:t>
                  </w:r>
                </w:p>
              </w:tc>
              <w:tc>
                <w:tcPr>
                  <w:tcW w:w="3270" w:type="dxa"/>
                  <w:vAlign w:val="center"/>
                </w:tcPr>
                <w:p>
                  <w:pPr>
                    <w:ind w:firstLine="420" w:firstLineChars="20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符合相关废物贮存的要求</w:t>
                  </w:r>
                  <w:r>
                    <w:rPr>
                      <w:rFonts w:hint="default" w:ascii="Times New Roman" w:hAnsi="Times New Roman" w:cs="Times New Roman"/>
                      <w:color w:val="auto"/>
                      <w:szCs w:val="21"/>
                      <w:highlight w:val="none"/>
                      <w:lang w:eastAsia="zh-CN"/>
                    </w:rPr>
                    <w:t>，交由有资质单位回收处理。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59" w:type="dxa"/>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环境风险</w:t>
                  </w:r>
                </w:p>
              </w:tc>
              <w:tc>
                <w:tcPr>
                  <w:tcW w:w="1910" w:type="dxa"/>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环境风险</w:t>
                  </w:r>
                </w:p>
              </w:tc>
              <w:tc>
                <w:tcPr>
                  <w:tcW w:w="2768" w:type="dxa"/>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编制并备案应急预案</w:t>
                  </w:r>
                </w:p>
              </w:tc>
              <w:tc>
                <w:tcPr>
                  <w:tcW w:w="3270" w:type="dxa"/>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59" w:type="dxa"/>
                  <w:vMerge w:val="restart"/>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环境管理</w:t>
                  </w:r>
                </w:p>
              </w:tc>
              <w:tc>
                <w:tcPr>
                  <w:tcW w:w="1910" w:type="dxa"/>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日常管理</w:t>
                  </w:r>
                </w:p>
              </w:tc>
              <w:tc>
                <w:tcPr>
                  <w:tcW w:w="2768" w:type="dxa"/>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3270" w:type="dxa"/>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59" w:type="dxa"/>
                  <w:vMerge w:val="continue"/>
                  <w:vAlign w:val="center"/>
                </w:tcPr>
                <w:p>
                  <w:pPr>
                    <w:jc w:val="center"/>
                    <w:rPr>
                      <w:rFonts w:hint="default" w:ascii="Times New Roman" w:hAnsi="Times New Roman" w:cs="Times New Roman"/>
                      <w:color w:val="auto"/>
                      <w:szCs w:val="21"/>
                      <w:highlight w:val="none"/>
                    </w:rPr>
                  </w:pPr>
                </w:p>
              </w:tc>
              <w:tc>
                <w:tcPr>
                  <w:tcW w:w="1910" w:type="dxa"/>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各类产品台账系统</w:t>
                  </w:r>
                </w:p>
              </w:tc>
              <w:tc>
                <w:tcPr>
                  <w:tcW w:w="2768" w:type="dxa"/>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3270" w:type="dxa"/>
                  <w:vAlign w:val="center"/>
                </w:tcPr>
                <w:p>
                  <w:pPr>
                    <w:ind w:firstLine="42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清晰的台账系统</w:t>
                  </w:r>
                </w:p>
              </w:tc>
            </w:tr>
          </w:tbl>
          <w:p>
            <w:pPr>
              <w:adjustRightInd w:val="0"/>
              <w:snapToGrid w:val="0"/>
              <w:spacing w:line="360" w:lineRule="auto"/>
              <w:ind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lang w:eastAsia="zh-CN"/>
              </w:rPr>
              <w:t>八</w:t>
            </w:r>
            <w:r>
              <w:rPr>
                <w:rFonts w:hint="default" w:ascii="Times New Roman" w:hAnsi="Times New Roman" w:cs="Times New Roman"/>
                <w:b/>
                <w:color w:val="auto"/>
                <w:sz w:val="24"/>
                <w:highlight w:val="none"/>
              </w:rPr>
              <w:t>、环境保护设施投资</w:t>
            </w:r>
          </w:p>
          <w:p>
            <w:pPr>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依据国家有关环境保护的法律、法规、制度的规定，对项目产生的废水、废气、噪声、固废等各种污染，必须采用有效治理措施，保证污染物排放达到相关的污染物排放标准和污染物总量控制要求。</w:t>
            </w:r>
          </w:p>
          <w:p>
            <w:pPr>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本工程投资总计为</w:t>
            </w:r>
            <w:r>
              <w:rPr>
                <w:rFonts w:hint="eastAsia" w:cs="Times New Roman"/>
                <w:color w:val="auto"/>
                <w:sz w:val="24"/>
                <w:highlight w:val="none"/>
                <w:lang w:val="en-US" w:eastAsia="zh-CN"/>
              </w:rPr>
              <w:t>500</w:t>
            </w:r>
            <w:r>
              <w:rPr>
                <w:rFonts w:hint="default" w:ascii="Times New Roman" w:hAnsi="Times New Roman" w:cs="Times New Roman"/>
                <w:color w:val="auto"/>
                <w:sz w:val="24"/>
                <w:highlight w:val="none"/>
              </w:rPr>
              <w:t>万元。凡属污染治理和环境保护所需的装置、设备、工程设施均属环保设施，其投资全部计入环保投资共计</w:t>
            </w:r>
            <w:r>
              <w:rPr>
                <w:rFonts w:hint="eastAsia" w:cs="Times New Roman"/>
                <w:color w:val="auto"/>
                <w:sz w:val="24"/>
                <w:highlight w:val="none"/>
                <w:lang w:val="en-US" w:eastAsia="zh-CN"/>
              </w:rPr>
              <w:t>150</w:t>
            </w:r>
            <w:r>
              <w:rPr>
                <w:rFonts w:hint="default" w:ascii="Times New Roman" w:hAnsi="Times New Roman" w:cs="Times New Roman"/>
                <w:color w:val="auto"/>
                <w:sz w:val="24"/>
                <w:highlight w:val="none"/>
              </w:rPr>
              <w:t>万元。工程环保设施及环保投资详见表7-</w:t>
            </w:r>
            <w:r>
              <w:rPr>
                <w:rFonts w:hint="default" w:ascii="Times New Roman" w:hAnsi="Times New Roman" w:cs="Times New Roman"/>
                <w:color w:val="auto"/>
                <w:sz w:val="24"/>
                <w:highlight w:val="none"/>
                <w:lang w:val="en-US" w:eastAsia="zh-CN"/>
              </w:rPr>
              <w:t>14</w:t>
            </w:r>
            <w:r>
              <w:rPr>
                <w:rFonts w:hint="default" w:ascii="Times New Roman" w:hAnsi="Times New Roman" w:cs="Times New Roman"/>
                <w:color w:val="auto"/>
                <w:sz w:val="24"/>
                <w:highlight w:val="none"/>
              </w:rPr>
              <w:t>，环保投资占工程总投资</w:t>
            </w:r>
            <w:r>
              <w:rPr>
                <w:rFonts w:hint="default" w:ascii="Times New Roman" w:hAnsi="Times New Roman" w:cs="Times New Roman"/>
                <w:color w:val="auto"/>
                <w:sz w:val="24"/>
                <w:highlight w:val="none"/>
                <w:lang w:val="en-US" w:eastAsia="zh-CN"/>
              </w:rPr>
              <w:t>11.12</w:t>
            </w:r>
            <w:r>
              <w:rPr>
                <w:rFonts w:hint="default" w:ascii="Times New Roman" w:hAnsi="Times New Roman" w:cs="Times New Roman"/>
                <w:color w:val="auto"/>
                <w:sz w:val="24"/>
                <w:highlight w:val="none"/>
              </w:rPr>
              <w:t>%。</w:t>
            </w:r>
          </w:p>
          <w:p>
            <w:pPr>
              <w:pStyle w:val="103"/>
              <w:ind w:firstLine="422"/>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表7-</w:t>
            </w:r>
            <w:r>
              <w:rPr>
                <w:rFonts w:hint="default" w:ascii="Times New Roman" w:hAnsi="Times New Roman" w:eastAsia="宋体" w:cs="Times New Roman"/>
                <w:b/>
                <w:color w:val="auto"/>
                <w:sz w:val="21"/>
                <w:szCs w:val="21"/>
                <w:highlight w:val="none"/>
                <w:lang w:val="en-US" w:eastAsia="zh-CN"/>
              </w:rPr>
              <w:t>14</w:t>
            </w:r>
            <w:r>
              <w:rPr>
                <w:rFonts w:hint="default" w:ascii="Times New Roman" w:hAnsi="Times New Roman" w:eastAsia="宋体" w:cs="Times New Roman"/>
                <w:b/>
                <w:color w:val="auto"/>
                <w:sz w:val="21"/>
                <w:szCs w:val="21"/>
                <w:highlight w:val="none"/>
              </w:rPr>
              <w:t>环保投资概算一览表</w:t>
            </w:r>
          </w:p>
          <w:tbl>
            <w:tblPr>
              <w:tblStyle w:val="31"/>
              <w:tblW w:w="8749"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79"/>
              <w:gridCol w:w="1599"/>
              <w:gridCol w:w="2815"/>
              <w:gridCol w:w="1302"/>
              <w:gridCol w:w="155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479" w:type="dxa"/>
                  <w:vAlign w:val="center"/>
                </w:tcPr>
                <w:p>
                  <w:pPr>
                    <w:pStyle w:val="8"/>
                    <w:ind w:firstLine="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措施</w:t>
                  </w:r>
                </w:p>
              </w:tc>
              <w:tc>
                <w:tcPr>
                  <w:tcW w:w="1599" w:type="dxa"/>
                  <w:vAlign w:val="center"/>
                </w:tcPr>
                <w:p>
                  <w:pPr>
                    <w:pStyle w:val="8"/>
                    <w:ind w:firstLine="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污染源</w:t>
                  </w:r>
                </w:p>
              </w:tc>
              <w:tc>
                <w:tcPr>
                  <w:tcW w:w="2815" w:type="dxa"/>
                  <w:vAlign w:val="center"/>
                </w:tcPr>
                <w:p>
                  <w:pPr>
                    <w:pStyle w:val="8"/>
                    <w:ind w:firstLine="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内容</w:t>
                  </w:r>
                </w:p>
              </w:tc>
              <w:tc>
                <w:tcPr>
                  <w:tcW w:w="1302" w:type="dxa"/>
                  <w:vAlign w:val="center"/>
                </w:tcPr>
                <w:p>
                  <w:pPr>
                    <w:pStyle w:val="8"/>
                    <w:ind w:firstLine="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投资（万元）</w:t>
                  </w:r>
                </w:p>
              </w:tc>
              <w:tc>
                <w:tcPr>
                  <w:tcW w:w="1554" w:type="dxa"/>
                  <w:vAlign w:val="center"/>
                </w:tcPr>
                <w:p>
                  <w:pPr>
                    <w:pStyle w:val="8"/>
                    <w:ind w:firstLine="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479" w:type="dxa"/>
                  <w:vAlign w:val="center"/>
                </w:tcPr>
                <w:p>
                  <w:pPr>
                    <w:pStyle w:val="8"/>
                    <w:ind w:firstLine="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污水治理措施</w:t>
                  </w:r>
                </w:p>
              </w:tc>
              <w:tc>
                <w:tcPr>
                  <w:tcW w:w="1599" w:type="dxa"/>
                  <w:vAlign w:val="center"/>
                </w:tcPr>
                <w:p>
                  <w:pPr>
                    <w:pStyle w:val="8"/>
                    <w:ind w:firstLine="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医疗污水、洗衣房废水和</w:t>
                  </w:r>
                  <w:r>
                    <w:rPr>
                      <w:rFonts w:hint="default" w:ascii="Times New Roman" w:hAnsi="Times New Roman" w:cs="Times New Roman"/>
                      <w:color w:val="auto"/>
                      <w:szCs w:val="21"/>
                      <w:highlight w:val="none"/>
                    </w:rPr>
                    <w:t>生活污水</w:t>
                  </w:r>
                </w:p>
              </w:tc>
              <w:tc>
                <w:tcPr>
                  <w:tcW w:w="2815" w:type="dxa"/>
                  <w:vAlign w:val="center"/>
                </w:tcPr>
                <w:p>
                  <w:pPr>
                    <w:pStyle w:val="8"/>
                    <w:ind w:firstLine="0"/>
                    <w:jc w:val="center"/>
                    <w:rPr>
                      <w:rFonts w:hint="default" w:ascii="Times New Roman" w:hAnsi="Times New Roman" w:cs="Times New Roman"/>
                      <w:color w:val="auto"/>
                      <w:szCs w:val="21"/>
                      <w:highlight w:val="none"/>
                    </w:rPr>
                  </w:pPr>
                  <w:r>
                    <w:rPr>
                      <w:rFonts w:hint="default" w:ascii="Times New Roman" w:hAnsi="Times New Roman" w:cs="Times New Roman"/>
                      <w:color w:val="auto"/>
                      <w:kern w:val="0"/>
                      <w:szCs w:val="21"/>
                      <w:highlight w:val="none"/>
                      <w:lang w:eastAsia="zh-CN"/>
                    </w:rPr>
                    <w:t>自建污水处理站</w:t>
                  </w:r>
                </w:p>
              </w:tc>
              <w:tc>
                <w:tcPr>
                  <w:tcW w:w="1302" w:type="dxa"/>
                  <w:vAlign w:val="center"/>
                </w:tcPr>
                <w:p>
                  <w:pPr>
                    <w:pStyle w:val="8"/>
                    <w:ind w:firstLine="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120</w:t>
                  </w:r>
                </w:p>
              </w:tc>
              <w:tc>
                <w:tcPr>
                  <w:tcW w:w="1554" w:type="dxa"/>
                  <w:vAlign w:val="center"/>
                </w:tcPr>
                <w:p>
                  <w:pPr>
                    <w:pStyle w:val="8"/>
                    <w:ind w:firstLine="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981" w:hRule="atLeast"/>
                <w:jc w:val="center"/>
              </w:trPr>
              <w:tc>
                <w:tcPr>
                  <w:tcW w:w="1479" w:type="dxa"/>
                  <w:vAlign w:val="center"/>
                </w:tcPr>
                <w:p>
                  <w:pPr>
                    <w:pStyle w:val="8"/>
                    <w:ind w:firstLine="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废气治理措施</w:t>
                  </w:r>
                </w:p>
              </w:tc>
              <w:tc>
                <w:tcPr>
                  <w:tcW w:w="1599" w:type="dxa"/>
                  <w:vAlign w:val="center"/>
                </w:tcPr>
                <w:p>
                  <w:pPr>
                    <w:pStyle w:val="8"/>
                    <w:ind w:firstLine="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食堂油烟、备用发电机尾气、污水处理站恶臭、垃圾收集房臭气</w:t>
                  </w:r>
                </w:p>
              </w:tc>
              <w:tc>
                <w:tcPr>
                  <w:tcW w:w="2815" w:type="dxa"/>
                  <w:vAlign w:val="center"/>
                </w:tcPr>
                <w:p>
                  <w:pPr>
                    <w:pStyle w:val="8"/>
                    <w:ind w:firstLine="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高效油烟净化装置、</w:t>
                  </w:r>
                  <w:r>
                    <w:rPr>
                      <w:rFonts w:hint="default" w:ascii="Times New Roman" w:hAnsi="Times New Roman" w:cs="Times New Roman"/>
                      <w:color w:val="auto"/>
                      <w:sz w:val="21"/>
                      <w:szCs w:val="21"/>
                      <w:highlight w:val="none"/>
                    </w:rPr>
                    <w:t>备用发电机废气经通过排气筒引至高空排放</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lang w:val="en-US" w:eastAsia="zh-CN"/>
                    </w:rPr>
                    <w:t>本项目采用地埋式污水处理设施，污水处理站臭气无组织排放量极少</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lang w:eastAsia="zh-CN"/>
                    </w:rPr>
                    <w:t>垃圾收集房采用封闭式设计，垃圾收集入房即关闭房门，对垃圾收集房喷洒除臭剂、消毒剂，经常地面清洗处理</w:t>
                  </w:r>
                  <w:r>
                    <w:rPr>
                      <w:rFonts w:hint="default" w:ascii="Times New Roman" w:hAnsi="Times New Roman" w:cs="Times New Roman"/>
                      <w:color w:val="auto"/>
                      <w:szCs w:val="21"/>
                      <w:highlight w:val="none"/>
                      <w:lang w:eastAsia="zh-CN"/>
                    </w:rPr>
                    <w:t>日常管理</w:t>
                  </w:r>
                  <w:r>
                    <w:rPr>
                      <w:rFonts w:hint="default" w:ascii="Times New Roman" w:hAnsi="Times New Roman" w:cs="Times New Roman"/>
                      <w:color w:val="auto"/>
                      <w:szCs w:val="21"/>
                      <w:highlight w:val="none"/>
                    </w:rPr>
                    <w:t>等</w:t>
                  </w:r>
                </w:p>
              </w:tc>
              <w:tc>
                <w:tcPr>
                  <w:tcW w:w="1302" w:type="dxa"/>
                  <w:vAlign w:val="center"/>
                </w:tcPr>
                <w:p>
                  <w:pPr>
                    <w:pStyle w:val="8"/>
                    <w:ind w:firstLine="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60</w:t>
                  </w:r>
                </w:p>
              </w:tc>
              <w:tc>
                <w:tcPr>
                  <w:tcW w:w="1554" w:type="dxa"/>
                  <w:vAlign w:val="center"/>
                </w:tcPr>
                <w:p>
                  <w:pPr>
                    <w:pStyle w:val="8"/>
                    <w:ind w:firstLine="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479" w:type="dxa"/>
                  <w:vAlign w:val="center"/>
                </w:tcPr>
                <w:p>
                  <w:pPr>
                    <w:pStyle w:val="8"/>
                    <w:ind w:firstLine="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噪声治理措施</w:t>
                  </w:r>
                </w:p>
              </w:tc>
              <w:tc>
                <w:tcPr>
                  <w:tcW w:w="1599" w:type="dxa"/>
                  <w:vAlign w:val="center"/>
                </w:tcPr>
                <w:p>
                  <w:pPr>
                    <w:pStyle w:val="8"/>
                    <w:ind w:firstLine="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设备噪声</w:t>
                  </w:r>
                </w:p>
              </w:tc>
              <w:tc>
                <w:tcPr>
                  <w:tcW w:w="2815" w:type="dxa"/>
                  <w:vAlign w:val="center"/>
                </w:tcPr>
                <w:p>
                  <w:pPr>
                    <w:pStyle w:val="8"/>
                    <w:ind w:firstLine="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采用低噪声设备、隔声罩、绿化等。</w:t>
                  </w:r>
                </w:p>
              </w:tc>
              <w:tc>
                <w:tcPr>
                  <w:tcW w:w="1302" w:type="dxa"/>
                  <w:vAlign w:val="center"/>
                </w:tcPr>
                <w:p>
                  <w:pPr>
                    <w:pStyle w:val="8"/>
                    <w:ind w:firstLine="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rPr>
                    <w:t>1</w:t>
                  </w:r>
                  <w:r>
                    <w:rPr>
                      <w:rFonts w:hint="default" w:ascii="Times New Roman" w:hAnsi="Times New Roman" w:cs="Times New Roman"/>
                      <w:color w:val="auto"/>
                      <w:szCs w:val="21"/>
                      <w:highlight w:val="none"/>
                      <w:lang w:val="en-US" w:eastAsia="zh-CN"/>
                    </w:rPr>
                    <w:t>0</w:t>
                  </w:r>
                </w:p>
              </w:tc>
              <w:tc>
                <w:tcPr>
                  <w:tcW w:w="1554" w:type="dxa"/>
                  <w:vAlign w:val="center"/>
                </w:tcPr>
                <w:p>
                  <w:pPr>
                    <w:pStyle w:val="8"/>
                    <w:ind w:firstLine="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7" w:hRule="atLeast"/>
                <w:jc w:val="center"/>
              </w:trPr>
              <w:tc>
                <w:tcPr>
                  <w:tcW w:w="1479" w:type="dxa"/>
                  <w:vAlign w:val="center"/>
                </w:tcPr>
                <w:p>
                  <w:pPr>
                    <w:pStyle w:val="8"/>
                    <w:ind w:firstLine="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固废处理措施</w:t>
                  </w:r>
                </w:p>
              </w:tc>
              <w:tc>
                <w:tcPr>
                  <w:tcW w:w="1599" w:type="dxa"/>
                  <w:vAlign w:val="center"/>
                </w:tcPr>
                <w:p>
                  <w:pPr>
                    <w:pStyle w:val="8"/>
                    <w:ind w:firstLine="0"/>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一般办公生活垃圾、医疗废物、污泥</w:t>
                  </w:r>
                </w:p>
              </w:tc>
              <w:tc>
                <w:tcPr>
                  <w:tcW w:w="2815" w:type="dxa"/>
                  <w:vAlign w:val="center"/>
                </w:tcPr>
                <w:p>
                  <w:pPr>
                    <w:pStyle w:val="8"/>
                    <w:ind w:firstLine="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垃圾收集房、危险废物间</w:t>
                  </w:r>
                  <w:r>
                    <w:rPr>
                      <w:rFonts w:hint="default" w:ascii="Times New Roman" w:hAnsi="Times New Roman" w:cs="Times New Roman"/>
                      <w:color w:val="auto"/>
                      <w:szCs w:val="21"/>
                      <w:highlight w:val="none"/>
                    </w:rPr>
                    <w:t>。</w:t>
                  </w:r>
                </w:p>
              </w:tc>
              <w:tc>
                <w:tcPr>
                  <w:tcW w:w="1302" w:type="dxa"/>
                  <w:vAlign w:val="center"/>
                </w:tcPr>
                <w:p>
                  <w:pPr>
                    <w:pStyle w:val="8"/>
                    <w:ind w:firstLine="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rPr>
                    <w:t>1</w:t>
                  </w:r>
                  <w:r>
                    <w:rPr>
                      <w:rFonts w:hint="default" w:ascii="Times New Roman" w:hAnsi="Times New Roman" w:cs="Times New Roman"/>
                      <w:color w:val="auto"/>
                      <w:szCs w:val="21"/>
                      <w:highlight w:val="none"/>
                      <w:lang w:val="en-US" w:eastAsia="zh-CN"/>
                    </w:rPr>
                    <w:t>0</w:t>
                  </w:r>
                </w:p>
              </w:tc>
              <w:tc>
                <w:tcPr>
                  <w:tcW w:w="1554" w:type="dxa"/>
                  <w:vAlign w:val="center"/>
                </w:tcPr>
                <w:p>
                  <w:pPr>
                    <w:pStyle w:val="8"/>
                    <w:ind w:firstLine="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893" w:type="dxa"/>
                  <w:gridSpan w:val="3"/>
                  <w:vAlign w:val="center"/>
                </w:tcPr>
                <w:p>
                  <w:pPr>
                    <w:pStyle w:val="8"/>
                    <w:ind w:firstLine="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合计</w:t>
                  </w:r>
                </w:p>
              </w:tc>
              <w:tc>
                <w:tcPr>
                  <w:tcW w:w="1302" w:type="dxa"/>
                  <w:vAlign w:val="center"/>
                </w:tcPr>
                <w:p>
                  <w:pPr>
                    <w:pStyle w:val="8"/>
                    <w:ind w:firstLine="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200</w:t>
                  </w:r>
                </w:p>
              </w:tc>
              <w:tc>
                <w:tcPr>
                  <w:tcW w:w="1554" w:type="dxa"/>
                  <w:vAlign w:val="center"/>
                </w:tcPr>
                <w:p>
                  <w:pPr>
                    <w:pStyle w:val="8"/>
                    <w:ind w:firstLine="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bl>
          <w:p>
            <w:pPr>
              <w:adjustRightInd w:val="0"/>
              <w:snapToGrid w:val="0"/>
              <w:spacing w:line="360" w:lineRule="auto"/>
              <w:ind w:firstLine="482" w:firstLineChars="200"/>
              <w:rPr>
                <w:rFonts w:hint="default" w:ascii="Times New Roman" w:hAnsi="Times New Roman" w:cs="Times New Roman"/>
                <w:b/>
                <w:color w:val="auto"/>
                <w:sz w:val="24"/>
                <w:highlight w:val="none"/>
                <w:lang w:eastAsia="zh-CN"/>
              </w:rPr>
            </w:pPr>
            <w:r>
              <w:rPr>
                <w:rFonts w:hint="default" w:ascii="Times New Roman" w:hAnsi="Times New Roman" w:cs="Times New Roman"/>
                <w:b/>
                <w:color w:val="auto"/>
                <w:sz w:val="24"/>
                <w:highlight w:val="none"/>
                <w:lang w:eastAsia="zh-CN"/>
              </w:rPr>
              <w:t>九</w:t>
            </w:r>
            <w:r>
              <w:rPr>
                <w:rFonts w:hint="default" w:ascii="Times New Roman" w:hAnsi="Times New Roman" w:cs="Times New Roman"/>
                <w:b/>
                <w:color w:val="auto"/>
                <w:sz w:val="24"/>
                <w:highlight w:val="none"/>
              </w:rPr>
              <w:t>、环境</w:t>
            </w:r>
            <w:r>
              <w:rPr>
                <w:rFonts w:hint="default" w:ascii="Times New Roman" w:hAnsi="Times New Roman" w:cs="Times New Roman"/>
                <w:b/>
                <w:color w:val="auto"/>
                <w:sz w:val="24"/>
                <w:highlight w:val="none"/>
                <w:lang w:eastAsia="zh-CN"/>
              </w:rPr>
              <w:t>监测计划</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1、施工期环境监测计划</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为了及时了解和掌握建设项目施工期主要污染源污染物的排放状况，项目施工单位应定期委托有资质的环境监测部门对施工期主要污染源排放的污染物进行监测。</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（1）大气污染源监测</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监测点布设：施工场地四周边界外；</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监测项目：颗粒物日均值；</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监测频次：施工期每季度监测一次，每次一天；</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监测采样及分析方法：《环境监测技术规范》、《环境空气监测和分析方法》、《大气污染物无组织排放监测技术导则》（HJ/T55-2000）。</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（2）噪声源监测</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 xml:space="preserve">监测点位：施工场地四周边界外； </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监测项目：等效连续A声级；</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监测频次：施工期每月监测一次（日），每日分昼夜间各监测一次；</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监测采样及分析方法：测量应在无雨、无雷电天气、风速5m/s以下时进行，设置在场界外1m处，高度在1.2m以上。</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2、营运期环境监测计划</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（1）水污染源监测</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监测点布设：污水处理站出水口</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监测项目：水量、pH值、DO、COD</w:t>
            </w:r>
            <w:r>
              <w:rPr>
                <w:rFonts w:hint="default" w:ascii="Times New Roman" w:hAnsi="Times New Roman" w:cs="Times New Roman"/>
                <w:color w:val="auto"/>
                <w:sz w:val="24"/>
                <w:highlight w:val="none"/>
                <w:vertAlign w:val="subscript"/>
                <w:lang w:val="en-US" w:eastAsia="zh-CN"/>
              </w:rPr>
              <w:t>Cr</w:t>
            </w:r>
            <w:r>
              <w:rPr>
                <w:rFonts w:hint="default" w:ascii="Times New Roman" w:hAnsi="Times New Roman" w:cs="Times New Roman"/>
                <w:color w:val="auto"/>
                <w:sz w:val="24"/>
                <w:highlight w:val="none"/>
                <w:lang w:val="en-US" w:eastAsia="zh-CN"/>
              </w:rPr>
              <w:t>、BOD</w:t>
            </w:r>
            <w:r>
              <w:rPr>
                <w:rFonts w:hint="default" w:ascii="Times New Roman" w:hAnsi="Times New Roman" w:cs="Times New Roman"/>
                <w:color w:val="auto"/>
                <w:sz w:val="24"/>
                <w:highlight w:val="none"/>
                <w:vertAlign w:val="subscript"/>
                <w:lang w:val="en-US" w:eastAsia="zh-CN"/>
              </w:rPr>
              <w:t>5</w:t>
            </w:r>
            <w:r>
              <w:rPr>
                <w:rFonts w:hint="default" w:ascii="Times New Roman" w:hAnsi="Times New Roman" w:cs="Times New Roman"/>
                <w:color w:val="auto"/>
                <w:sz w:val="24"/>
                <w:highlight w:val="none"/>
                <w:lang w:val="en-US" w:eastAsia="zh-CN"/>
              </w:rPr>
              <w:t>、SS、NH</w:t>
            </w:r>
            <w:r>
              <w:rPr>
                <w:rFonts w:hint="default" w:ascii="Times New Roman" w:hAnsi="Times New Roman" w:cs="Times New Roman"/>
                <w:color w:val="auto"/>
                <w:sz w:val="24"/>
                <w:highlight w:val="none"/>
                <w:vertAlign w:val="subscript"/>
                <w:lang w:val="en-US" w:eastAsia="zh-CN"/>
              </w:rPr>
              <w:t>3</w:t>
            </w:r>
            <w:r>
              <w:rPr>
                <w:rFonts w:hint="default" w:ascii="Times New Roman" w:hAnsi="Times New Roman" w:cs="Times New Roman"/>
                <w:color w:val="auto"/>
                <w:sz w:val="24"/>
                <w:highlight w:val="none"/>
                <w:lang w:val="en-US" w:eastAsia="zh-CN"/>
              </w:rPr>
              <w:t>-N、总磷、动植物油、阴离子表面活性剂、Cr</w:t>
            </w:r>
            <w:r>
              <w:rPr>
                <w:rFonts w:hint="default" w:ascii="Times New Roman" w:hAnsi="Times New Roman" w:cs="Times New Roman"/>
                <w:color w:val="auto"/>
                <w:sz w:val="24"/>
                <w:highlight w:val="none"/>
                <w:vertAlign w:val="superscript"/>
                <w:lang w:val="en-US" w:eastAsia="zh-CN"/>
              </w:rPr>
              <w:t>6+</w:t>
            </w:r>
            <w:r>
              <w:rPr>
                <w:rFonts w:hint="default" w:ascii="Times New Roman" w:hAnsi="Times New Roman" w:cs="Times New Roman"/>
                <w:color w:val="auto"/>
                <w:sz w:val="24"/>
                <w:highlight w:val="none"/>
                <w:lang w:val="en-US" w:eastAsia="zh-CN"/>
              </w:rPr>
              <w:t>、Hg、粪大肠菌群、总余氯。</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监测频次：院方监测机构负责进行日常污水处理站的维护和保养，并请当地环境监测站定期对其排水进行监测，每季度一次，全年共4次。</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监测采样和分析方法：《环境监测技术规范》和《地表水和污水监测技术规范》。</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（2）大气污染源监测</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监测点布设：排气筒及厂界。</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监测项目：备用发电机废气排放口监测SO</w:t>
            </w:r>
            <w:r>
              <w:rPr>
                <w:rFonts w:hint="default" w:ascii="Times New Roman" w:hAnsi="Times New Roman" w:cs="Times New Roman"/>
                <w:color w:val="auto"/>
                <w:sz w:val="24"/>
                <w:highlight w:val="none"/>
                <w:vertAlign w:val="subscript"/>
                <w:lang w:val="en-US" w:eastAsia="zh-CN"/>
              </w:rPr>
              <w:t>2</w:t>
            </w:r>
            <w:r>
              <w:rPr>
                <w:rFonts w:hint="default" w:ascii="Times New Roman" w:hAnsi="Times New Roman" w:cs="Times New Roman"/>
                <w:color w:val="auto"/>
                <w:sz w:val="24"/>
                <w:highlight w:val="none"/>
                <w:lang w:val="en-US" w:eastAsia="zh-CN"/>
              </w:rPr>
              <w:t>、NO</w:t>
            </w:r>
            <w:r>
              <w:rPr>
                <w:rFonts w:hint="default" w:ascii="Times New Roman" w:hAnsi="Times New Roman" w:cs="Times New Roman"/>
                <w:color w:val="auto"/>
                <w:sz w:val="24"/>
                <w:highlight w:val="none"/>
                <w:vertAlign w:val="subscript"/>
                <w:lang w:val="en-US" w:eastAsia="zh-CN"/>
              </w:rPr>
              <w:t>x</w:t>
            </w:r>
            <w:r>
              <w:rPr>
                <w:rFonts w:hint="default" w:ascii="Times New Roman" w:hAnsi="Times New Roman" w:cs="Times New Roman"/>
                <w:color w:val="auto"/>
                <w:sz w:val="24"/>
                <w:highlight w:val="none"/>
                <w:lang w:val="en-US" w:eastAsia="zh-CN"/>
              </w:rPr>
              <w:t>、烟尘；污水处理设施臭气排放口监测氨气、硫化氢和臭气浓度；厂界氨气、硫化氢和臭气浓度。</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监测频次：每季度监测一次，全年共4次。</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监测采样及分析方法：《环境监测技术规范》、《空气和废气监测分析方法》。</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（3）噪声源监测</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监测点位：建设项目厂区四周边界。</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测量量：等效连续A声级。</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监测频次：每季度一次，全年共4次。</w:t>
            </w:r>
          </w:p>
          <w:p>
            <w:pPr>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测量方法：测量应在无雨、无雷电天气、风速5m/s以下时进行，设置在场界外1m处，高度在1.2m以上。</w:t>
            </w:r>
          </w:p>
          <w:p>
            <w:pPr>
              <w:adjustRightInd w:val="0"/>
              <w:spacing w:line="360" w:lineRule="auto"/>
              <w:rPr>
                <w:rFonts w:hint="default" w:ascii="Times New Roman" w:hAnsi="Times New Roman" w:cs="Times New Roman"/>
                <w:color w:val="auto"/>
                <w:sz w:val="24"/>
                <w:highlight w:val="none"/>
              </w:rPr>
            </w:pPr>
          </w:p>
        </w:tc>
      </w:tr>
    </w:tbl>
    <w:p>
      <w:pPr>
        <w:spacing w:line="300" w:lineRule="auto"/>
        <w:rPr>
          <w:rFonts w:hint="default" w:ascii="Times New Roman" w:hAnsi="Times New Roman" w:eastAsia="黑体" w:cs="Times New Roman"/>
          <w:color w:val="auto"/>
          <w:sz w:val="24"/>
        </w:rPr>
        <w:sectPr>
          <w:footerReference r:id="rId9" w:type="default"/>
          <w:pgSz w:w="11907" w:h="16840"/>
          <w:pgMar w:top="1531" w:right="1134" w:bottom="1134" w:left="1418" w:header="907" w:footer="907" w:gutter="0"/>
          <w:pgBorders>
            <w:top w:val="none" w:sz="0" w:space="0"/>
            <w:left w:val="none" w:sz="0" w:space="0"/>
            <w:bottom w:val="none" w:sz="0" w:space="0"/>
            <w:right w:val="none" w:sz="0" w:space="0"/>
          </w:pgBorders>
          <w:cols w:space="720" w:num="1"/>
          <w:docGrid w:linePitch="326" w:charSpace="-4916"/>
        </w:sectPr>
      </w:pPr>
    </w:p>
    <w:p>
      <w:pPr>
        <w:pStyle w:val="3"/>
        <w:jc w:val="both"/>
        <w:rPr>
          <w:rFonts w:hint="default" w:ascii="Times New Roman" w:hAnsi="Times New Roman" w:cs="Times New Roman"/>
          <w:bCs/>
          <w:color w:val="auto"/>
          <w:kern w:val="18"/>
        </w:rPr>
      </w:pPr>
      <w:r>
        <w:rPr>
          <w:rStyle w:val="45"/>
          <w:rFonts w:hint="default" w:ascii="Times New Roman" w:hAnsi="Times New Roman" w:cs="Times New Roman"/>
          <w:b/>
          <w:bCs/>
          <w:color w:val="auto"/>
          <w:szCs w:val="28"/>
        </w:rPr>
        <w:t>项目采取的防治措施及预期治理效果</w:t>
      </w:r>
    </w:p>
    <w:tbl>
      <w:tblPr>
        <w:tblStyle w:val="31"/>
        <w:tblW w:w="945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6"/>
        <w:gridCol w:w="422"/>
        <w:gridCol w:w="1285"/>
        <w:gridCol w:w="1470"/>
        <w:gridCol w:w="2358"/>
        <w:gridCol w:w="2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6" w:type="dxa"/>
            <w:tcBorders>
              <w:tl2br w:val="single" w:color="auto" w:sz="4" w:space="0"/>
            </w:tcBorders>
          </w:tcPr>
          <w:p>
            <w:pPr>
              <w:snapToGrid w:val="0"/>
              <w:spacing w:line="216" w:lineRule="auto"/>
              <w:rPr>
                <w:rFonts w:hint="default" w:ascii="Times New Roman" w:hAnsi="Times New Roman" w:cs="Times New Roman"/>
                <w:b/>
                <w:color w:val="auto"/>
                <w:sz w:val="24"/>
              </w:rPr>
            </w:pPr>
            <w:r>
              <w:rPr>
                <w:rFonts w:hint="default" w:ascii="Times New Roman" w:hAnsi="Times New Roman" w:cs="Times New Roman"/>
                <w:b/>
                <w:color w:val="auto"/>
                <w:sz w:val="24"/>
              </w:rPr>
              <w:t xml:space="preserve">  内容</w:t>
            </w:r>
          </w:p>
          <w:p>
            <w:pPr>
              <w:snapToGrid w:val="0"/>
              <w:spacing w:line="216" w:lineRule="auto"/>
              <w:rPr>
                <w:rFonts w:hint="default" w:ascii="Times New Roman" w:hAnsi="Times New Roman" w:cs="Times New Roman"/>
                <w:b/>
                <w:color w:val="auto"/>
                <w:sz w:val="24"/>
              </w:rPr>
            </w:pPr>
            <w:r>
              <w:rPr>
                <w:rFonts w:hint="default" w:ascii="Times New Roman" w:hAnsi="Times New Roman" w:cs="Times New Roman"/>
                <w:b/>
                <w:color w:val="auto"/>
                <w:sz w:val="24"/>
              </w:rPr>
              <w:t>类型</w:t>
            </w:r>
          </w:p>
        </w:tc>
        <w:tc>
          <w:tcPr>
            <w:tcW w:w="1707" w:type="dxa"/>
            <w:gridSpan w:val="2"/>
            <w:vAlign w:val="center"/>
          </w:tcPr>
          <w:p>
            <w:pPr>
              <w:snapToGrid w:val="0"/>
              <w:spacing w:line="216" w:lineRule="auto"/>
              <w:jc w:val="center"/>
              <w:rPr>
                <w:rFonts w:hint="default" w:ascii="Times New Roman" w:hAnsi="Times New Roman" w:cs="Times New Roman"/>
                <w:b/>
                <w:color w:val="auto"/>
                <w:sz w:val="24"/>
              </w:rPr>
            </w:pPr>
            <w:r>
              <w:rPr>
                <w:rFonts w:hint="default" w:ascii="Times New Roman" w:hAnsi="Times New Roman" w:cs="Times New Roman"/>
                <w:b/>
                <w:color w:val="auto"/>
                <w:sz w:val="24"/>
              </w:rPr>
              <w:t>排放源</w:t>
            </w:r>
          </w:p>
          <w:p>
            <w:pPr>
              <w:snapToGrid w:val="0"/>
              <w:spacing w:line="216" w:lineRule="auto"/>
              <w:jc w:val="center"/>
              <w:rPr>
                <w:rFonts w:hint="default" w:ascii="Times New Roman" w:hAnsi="Times New Roman" w:cs="Times New Roman"/>
                <w:b/>
                <w:color w:val="auto"/>
                <w:sz w:val="24"/>
              </w:rPr>
            </w:pPr>
            <w:r>
              <w:rPr>
                <w:rFonts w:hint="default" w:ascii="Times New Roman" w:hAnsi="Times New Roman" w:cs="Times New Roman"/>
                <w:b/>
                <w:color w:val="auto"/>
                <w:sz w:val="24"/>
              </w:rPr>
              <w:t>（编号）</w:t>
            </w:r>
          </w:p>
        </w:tc>
        <w:tc>
          <w:tcPr>
            <w:tcW w:w="1470" w:type="dxa"/>
            <w:vAlign w:val="center"/>
          </w:tcPr>
          <w:p>
            <w:pPr>
              <w:snapToGrid w:val="0"/>
              <w:spacing w:line="216" w:lineRule="auto"/>
              <w:jc w:val="center"/>
              <w:rPr>
                <w:rFonts w:hint="default" w:ascii="Times New Roman" w:hAnsi="Times New Roman" w:cs="Times New Roman"/>
                <w:b/>
                <w:color w:val="auto"/>
                <w:sz w:val="24"/>
              </w:rPr>
            </w:pPr>
            <w:r>
              <w:rPr>
                <w:rFonts w:hint="default" w:ascii="Times New Roman" w:hAnsi="Times New Roman" w:cs="Times New Roman"/>
                <w:b/>
                <w:color w:val="auto"/>
                <w:sz w:val="24"/>
              </w:rPr>
              <w:t>污染物名称</w:t>
            </w:r>
          </w:p>
        </w:tc>
        <w:tc>
          <w:tcPr>
            <w:tcW w:w="2358" w:type="dxa"/>
            <w:vAlign w:val="center"/>
          </w:tcPr>
          <w:p>
            <w:pPr>
              <w:snapToGrid w:val="0"/>
              <w:spacing w:line="216" w:lineRule="auto"/>
              <w:jc w:val="center"/>
              <w:rPr>
                <w:rFonts w:hint="default" w:ascii="Times New Roman" w:hAnsi="Times New Roman" w:cs="Times New Roman"/>
                <w:b/>
                <w:color w:val="auto"/>
                <w:sz w:val="24"/>
              </w:rPr>
            </w:pPr>
            <w:r>
              <w:rPr>
                <w:rFonts w:hint="default" w:ascii="Times New Roman" w:hAnsi="Times New Roman" w:cs="Times New Roman"/>
                <w:b/>
                <w:color w:val="auto"/>
                <w:sz w:val="24"/>
              </w:rPr>
              <w:t>防治措施</w:t>
            </w:r>
          </w:p>
        </w:tc>
        <w:tc>
          <w:tcPr>
            <w:tcW w:w="2928" w:type="dxa"/>
            <w:vAlign w:val="center"/>
          </w:tcPr>
          <w:p>
            <w:pPr>
              <w:snapToGrid w:val="0"/>
              <w:spacing w:line="216" w:lineRule="auto"/>
              <w:jc w:val="center"/>
              <w:rPr>
                <w:rFonts w:hint="default" w:ascii="Times New Roman" w:hAnsi="Times New Roman" w:cs="Times New Roman"/>
                <w:b/>
                <w:color w:val="auto"/>
                <w:sz w:val="24"/>
              </w:rPr>
            </w:pPr>
            <w:r>
              <w:rPr>
                <w:rFonts w:hint="default" w:ascii="Times New Roman" w:hAnsi="Times New Roman" w:cs="Times New Roman"/>
                <w:b/>
                <w:color w:val="auto"/>
                <w:sz w:val="24"/>
              </w:rPr>
              <w:t>预期治理效果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5" w:hRule="atLeast"/>
        </w:trPr>
        <w:tc>
          <w:tcPr>
            <w:tcW w:w="996" w:type="dxa"/>
            <w:vMerge w:val="restart"/>
            <w:vAlign w:val="center"/>
          </w:tcPr>
          <w:p>
            <w:pPr>
              <w:snapToGrid w:val="0"/>
              <w:spacing w:line="216" w:lineRule="auto"/>
              <w:jc w:val="center"/>
              <w:rPr>
                <w:rFonts w:hint="default" w:ascii="Times New Roman" w:hAnsi="Times New Roman" w:cs="Times New Roman"/>
                <w:b/>
                <w:color w:val="auto"/>
                <w:sz w:val="24"/>
              </w:rPr>
            </w:pPr>
            <w:r>
              <w:rPr>
                <w:rFonts w:hint="default" w:ascii="Times New Roman" w:hAnsi="Times New Roman" w:cs="Times New Roman"/>
                <w:b/>
                <w:color w:val="auto"/>
                <w:sz w:val="24"/>
              </w:rPr>
              <w:t>大</w:t>
            </w:r>
          </w:p>
          <w:p>
            <w:pPr>
              <w:snapToGrid w:val="0"/>
              <w:spacing w:line="216" w:lineRule="auto"/>
              <w:jc w:val="center"/>
              <w:rPr>
                <w:rFonts w:hint="default" w:ascii="Times New Roman" w:hAnsi="Times New Roman" w:cs="Times New Roman"/>
                <w:b/>
                <w:color w:val="auto"/>
                <w:sz w:val="24"/>
              </w:rPr>
            </w:pPr>
            <w:r>
              <w:rPr>
                <w:rFonts w:hint="default" w:ascii="Times New Roman" w:hAnsi="Times New Roman" w:cs="Times New Roman"/>
                <w:b/>
                <w:color w:val="auto"/>
                <w:sz w:val="24"/>
              </w:rPr>
              <w:t>气</w:t>
            </w:r>
          </w:p>
          <w:p>
            <w:pPr>
              <w:snapToGrid w:val="0"/>
              <w:spacing w:line="216" w:lineRule="auto"/>
              <w:jc w:val="center"/>
              <w:rPr>
                <w:rFonts w:hint="default" w:ascii="Times New Roman" w:hAnsi="Times New Roman" w:cs="Times New Roman"/>
                <w:b/>
                <w:color w:val="auto"/>
                <w:sz w:val="24"/>
              </w:rPr>
            </w:pPr>
            <w:r>
              <w:rPr>
                <w:rFonts w:hint="default" w:ascii="Times New Roman" w:hAnsi="Times New Roman" w:cs="Times New Roman"/>
                <w:b/>
                <w:color w:val="auto"/>
                <w:sz w:val="24"/>
              </w:rPr>
              <w:t>污</w:t>
            </w:r>
          </w:p>
          <w:p>
            <w:pPr>
              <w:snapToGrid w:val="0"/>
              <w:spacing w:line="216" w:lineRule="auto"/>
              <w:jc w:val="center"/>
              <w:rPr>
                <w:rFonts w:hint="default" w:ascii="Times New Roman" w:hAnsi="Times New Roman" w:cs="Times New Roman"/>
                <w:b/>
                <w:color w:val="auto"/>
                <w:sz w:val="24"/>
              </w:rPr>
            </w:pPr>
            <w:r>
              <w:rPr>
                <w:rFonts w:hint="default" w:ascii="Times New Roman" w:hAnsi="Times New Roman" w:cs="Times New Roman"/>
                <w:b/>
                <w:color w:val="auto"/>
                <w:sz w:val="24"/>
              </w:rPr>
              <w:t>染</w:t>
            </w:r>
          </w:p>
          <w:p>
            <w:pPr>
              <w:snapToGrid w:val="0"/>
              <w:spacing w:line="216" w:lineRule="auto"/>
              <w:jc w:val="center"/>
              <w:rPr>
                <w:rFonts w:hint="default" w:ascii="Times New Roman" w:hAnsi="Times New Roman" w:cs="Times New Roman"/>
                <w:b/>
                <w:color w:val="auto"/>
                <w:sz w:val="24"/>
              </w:rPr>
            </w:pPr>
            <w:r>
              <w:rPr>
                <w:rFonts w:hint="default" w:ascii="Times New Roman" w:hAnsi="Times New Roman" w:cs="Times New Roman"/>
                <w:b/>
                <w:color w:val="auto"/>
                <w:sz w:val="24"/>
              </w:rPr>
              <w:t>物</w:t>
            </w:r>
          </w:p>
        </w:tc>
        <w:tc>
          <w:tcPr>
            <w:tcW w:w="422" w:type="dxa"/>
            <w:vMerge w:val="restart"/>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运营期</w:t>
            </w:r>
          </w:p>
        </w:tc>
        <w:tc>
          <w:tcPr>
            <w:tcW w:w="1285" w:type="dxa"/>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食堂油烟</w:t>
            </w:r>
          </w:p>
        </w:tc>
        <w:tc>
          <w:tcPr>
            <w:tcW w:w="1470" w:type="dxa"/>
            <w:vAlign w:val="center"/>
          </w:tcPr>
          <w:p>
            <w:pPr>
              <w:pStyle w:val="41"/>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油烟</w:t>
            </w:r>
          </w:p>
        </w:tc>
        <w:tc>
          <w:tcPr>
            <w:tcW w:w="2358" w:type="dxa"/>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高效油烟净化装置</w:t>
            </w:r>
          </w:p>
        </w:tc>
        <w:tc>
          <w:tcPr>
            <w:tcW w:w="2928" w:type="dxa"/>
            <w:vAlign w:val="center"/>
          </w:tcPr>
          <w:p>
            <w:pPr>
              <w:jc w:val="center"/>
              <w:rPr>
                <w:rFonts w:hint="default" w:ascii="Times New Roman" w:hAnsi="Times New Roman" w:cs="Times New Roman"/>
                <w:color w:val="auto"/>
                <w:szCs w:val="21"/>
              </w:rPr>
            </w:pPr>
            <w:r>
              <w:rPr>
                <w:rFonts w:hint="default" w:ascii="Times New Roman" w:hAnsi="Times New Roman" w:eastAsia="宋体" w:cs="Times New Roman"/>
                <w:color w:val="auto"/>
                <w:szCs w:val="21"/>
                <w:lang w:eastAsia="zh-CN"/>
              </w:rPr>
              <w:t>达到《饮食业油烟排放标准》（GB18483-2001）中标准要求</w:t>
            </w:r>
            <w:r>
              <w:rPr>
                <w:rFonts w:hint="default" w:ascii="Times New Roman" w:hAnsi="Times New Roman" w:cs="Times New Roman"/>
                <w:color w:val="auto"/>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5" w:hRule="atLeast"/>
        </w:trPr>
        <w:tc>
          <w:tcPr>
            <w:tcW w:w="996" w:type="dxa"/>
            <w:vMerge w:val="continue"/>
            <w:vAlign w:val="center"/>
          </w:tcPr>
          <w:p>
            <w:pPr>
              <w:snapToGrid w:val="0"/>
              <w:spacing w:line="216" w:lineRule="auto"/>
              <w:jc w:val="center"/>
              <w:rPr>
                <w:rFonts w:hint="default" w:ascii="Times New Roman" w:hAnsi="Times New Roman" w:cs="Times New Roman"/>
                <w:b/>
                <w:color w:val="auto"/>
                <w:sz w:val="24"/>
              </w:rPr>
            </w:pPr>
          </w:p>
        </w:tc>
        <w:tc>
          <w:tcPr>
            <w:tcW w:w="422" w:type="dxa"/>
            <w:vMerge w:val="continue"/>
            <w:vAlign w:val="center"/>
          </w:tcPr>
          <w:p>
            <w:pPr>
              <w:jc w:val="center"/>
              <w:rPr>
                <w:rFonts w:hint="default" w:ascii="Times New Roman" w:hAnsi="Times New Roman" w:cs="Times New Roman"/>
                <w:color w:val="auto"/>
                <w:szCs w:val="21"/>
              </w:rPr>
            </w:pPr>
          </w:p>
        </w:tc>
        <w:tc>
          <w:tcPr>
            <w:tcW w:w="1285" w:type="dxa"/>
            <w:vAlign w:val="center"/>
          </w:tcPr>
          <w:p>
            <w:pPr>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发电机尾气</w:t>
            </w:r>
          </w:p>
        </w:tc>
        <w:tc>
          <w:tcPr>
            <w:tcW w:w="1470"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SO</w:t>
            </w:r>
            <w:r>
              <w:rPr>
                <w:rFonts w:hint="default" w:ascii="Times New Roman" w:hAnsi="Times New Roman" w:cs="Times New Roman"/>
                <w:color w:val="auto"/>
                <w:vertAlign w:val="subscript"/>
              </w:rPr>
              <w:t>2</w:t>
            </w:r>
            <w:r>
              <w:rPr>
                <w:rFonts w:hint="default" w:ascii="Times New Roman" w:hAnsi="Times New Roman" w:cs="Times New Roman"/>
                <w:color w:val="auto"/>
              </w:rPr>
              <w:t xml:space="preserve"> 、NOx 、烟尘</w:t>
            </w:r>
          </w:p>
          <w:p>
            <w:pPr>
              <w:pStyle w:val="41"/>
              <w:jc w:val="center"/>
              <w:rPr>
                <w:rFonts w:hint="default" w:ascii="Times New Roman" w:hAnsi="Times New Roman" w:eastAsia="宋体" w:cs="Times New Roman"/>
                <w:color w:val="auto"/>
                <w:sz w:val="21"/>
                <w:szCs w:val="21"/>
                <w:lang w:eastAsia="zh-CN"/>
              </w:rPr>
            </w:pPr>
          </w:p>
        </w:tc>
        <w:tc>
          <w:tcPr>
            <w:tcW w:w="2358" w:type="dxa"/>
            <w:vAlign w:val="center"/>
          </w:tcPr>
          <w:p>
            <w:pPr>
              <w:pStyle w:val="2"/>
              <w:ind w:left="0" w:leftChars="0" w:firstLine="0" w:firstLineChars="0"/>
              <w:rPr>
                <w:rFonts w:hint="default" w:ascii="Times New Roman" w:hAnsi="Times New Roman" w:cs="Times New Roman"/>
                <w:color w:val="auto"/>
                <w:szCs w:val="21"/>
                <w:lang w:eastAsia="zh-CN"/>
              </w:rPr>
            </w:pPr>
            <w:r>
              <w:rPr>
                <w:rFonts w:hint="default" w:ascii="Times New Roman" w:hAnsi="Times New Roman" w:cs="Times New Roman"/>
                <w:color w:val="auto"/>
                <w:sz w:val="21"/>
                <w:szCs w:val="21"/>
              </w:rPr>
              <w:t>备用发电机废气经通过排气筒引至高空排放</w:t>
            </w:r>
          </w:p>
        </w:tc>
        <w:tc>
          <w:tcPr>
            <w:tcW w:w="2928" w:type="dxa"/>
            <w:vAlign w:val="center"/>
          </w:tcPr>
          <w:p>
            <w:pPr>
              <w:pStyle w:val="105"/>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rPr>
              <w:t>达到</w:t>
            </w:r>
            <w:r>
              <w:rPr>
                <w:rFonts w:hint="default" w:ascii="Times New Roman" w:hAnsi="Times New Roman" w:cs="Times New Roman"/>
                <w:color w:val="auto"/>
                <w:lang w:eastAsia="zh-CN"/>
              </w:rPr>
              <w:t>广东省《大气污染物排放限值》（DB44/27-2001）中二级标准限值。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5" w:hRule="atLeast"/>
        </w:trPr>
        <w:tc>
          <w:tcPr>
            <w:tcW w:w="996" w:type="dxa"/>
            <w:vMerge w:val="continue"/>
            <w:vAlign w:val="center"/>
          </w:tcPr>
          <w:p>
            <w:pPr>
              <w:snapToGrid w:val="0"/>
              <w:spacing w:line="216" w:lineRule="auto"/>
              <w:jc w:val="center"/>
              <w:rPr>
                <w:rFonts w:hint="default" w:ascii="Times New Roman" w:hAnsi="Times New Roman" w:cs="Times New Roman"/>
                <w:b/>
                <w:color w:val="auto"/>
                <w:sz w:val="24"/>
              </w:rPr>
            </w:pPr>
          </w:p>
        </w:tc>
        <w:tc>
          <w:tcPr>
            <w:tcW w:w="422" w:type="dxa"/>
            <w:vMerge w:val="continue"/>
            <w:vAlign w:val="center"/>
          </w:tcPr>
          <w:p>
            <w:pPr>
              <w:jc w:val="center"/>
              <w:rPr>
                <w:rFonts w:hint="default" w:ascii="Times New Roman" w:hAnsi="Times New Roman" w:cs="Times New Roman"/>
                <w:color w:val="auto"/>
                <w:szCs w:val="21"/>
              </w:rPr>
            </w:pPr>
          </w:p>
        </w:tc>
        <w:tc>
          <w:tcPr>
            <w:tcW w:w="1285" w:type="dxa"/>
            <w:vAlign w:val="center"/>
          </w:tcPr>
          <w:p>
            <w:pPr>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污水处理站恶臭</w:t>
            </w:r>
          </w:p>
        </w:tc>
        <w:tc>
          <w:tcPr>
            <w:tcW w:w="1470" w:type="dxa"/>
            <w:vAlign w:val="center"/>
          </w:tcPr>
          <w:p>
            <w:pPr>
              <w:pStyle w:val="41"/>
              <w:jc w:val="center"/>
              <w:rPr>
                <w:rFonts w:hint="default" w:ascii="Times New Roman" w:hAnsi="Times New Roman" w:eastAsia="宋体" w:cs="Times New Roman"/>
                <w:color w:val="auto"/>
                <w:sz w:val="21"/>
                <w:szCs w:val="21"/>
                <w:highlight w:val="yellow"/>
                <w:lang w:eastAsia="zh-CN"/>
              </w:rPr>
            </w:pPr>
            <w:r>
              <w:rPr>
                <w:rFonts w:hint="default" w:ascii="Times New Roman" w:hAnsi="Times New Roman" w:eastAsia="宋体" w:cs="Times New Roman"/>
                <w:color w:val="auto"/>
                <w:kern w:val="2"/>
                <w:sz w:val="21"/>
                <w:szCs w:val="21"/>
                <w:highlight w:val="none"/>
                <w:lang w:val="en-US" w:eastAsia="zh-CN" w:bidi="ar-SA"/>
              </w:rPr>
              <w:t>恶臭</w:t>
            </w:r>
          </w:p>
        </w:tc>
        <w:tc>
          <w:tcPr>
            <w:tcW w:w="2358" w:type="dxa"/>
            <w:vAlign w:val="center"/>
          </w:tcPr>
          <w:p>
            <w:pPr>
              <w:pStyle w:val="2"/>
              <w:ind w:left="0" w:leftChars="0" w:firstLine="0" w:firstLineChars="0"/>
              <w:rPr>
                <w:rFonts w:hint="default" w:ascii="Times New Roman" w:hAnsi="Times New Roman" w:cs="Times New Roman"/>
                <w:color w:val="auto"/>
                <w:szCs w:val="21"/>
                <w:highlight w:val="yellow"/>
                <w:lang w:eastAsia="zh-CN"/>
              </w:rPr>
            </w:pPr>
            <w:r>
              <w:rPr>
                <w:rFonts w:hint="default" w:ascii="Times New Roman" w:hAnsi="Times New Roman" w:cs="Times New Roman"/>
                <w:color w:val="auto"/>
                <w:sz w:val="21"/>
                <w:szCs w:val="21"/>
                <w:lang w:val="en-US" w:eastAsia="zh-CN"/>
              </w:rPr>
              <w:t>本项目采用地埋式污水处理设施，污水处理站臭气无组织排放量极少</w:t>
            </w:r>
          </w:p>
        </w:tc>
        <w:tc>
          <w:tcPr>
            <w:tcW w:w="2928" w:type="dxa"/>
            <w:vAlign w:val="center"/>
          </w:tcPr>
          <w:p>
            <w:pPr>
              <w:pStyle w:val="105"/>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lang w:eastAsia="zh-CN"/>
              </w:rPr>
              <w:t>达到《恶臭污染物排放标准》（GB14554-93）厂界二级标准</w:t>
            </w:r>
            <w:r>
              <w:rPr>
                <w:rFonts w:hint="default" w:ascii="Times New Roman" w:hAnsi="Times New Roman" w:cs="Times New Roman"/>
                <w:color w:val="auto"/>
                <w:lang w:val="en-US" w:eastAsia="zh-CN"/>
              </w:rPr>
              <w:t>，污水处理站周边</w:t>
            </w:r>
            <w:r>
              <w:rPr>
                <w:rFonts w:hint="default" w:ascii="Times New Roman" w:hAnsi="Times New Roman" w:cs="Times New Roman"/>
                <w:color w:val="auto"/>
                <w:lang w:eastAsia="zh-CN"/>
              </w:rPr>
              <w:t>达到</w:t>
            </w:r>
            <w:r>
              <w:rPr>
                <w:rFonts w:hint="default" w:ascii="Times New Roman" w:hAnsi="Times New Roman" w:cs="Times New Roman"/>
                <w:color w:val="auto"/>
                <w:szCs w:val="21"/>
              </w:rPr>
              <w:t>《医疗机构水污染物排放标准》（GB18466-2005）中</w:t>
            </w:r>
            <w:r>
              <w:rPr>
                <w:rFonts w:hint="default" w:ascii="Times New Roman" w:hAnsi="Times New Roman" w:cs="Times New Roman"/>
                <w:color w:val="auto"/>
                <w:szCs w:val="21"/>
                <w:lang w:eastAsia="zh-CN"/>
              </w:rPr>
              <w:t>污水处理站周边大气污染物最高允许浓度。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4" w:hRule="atLeast"/>
        </w:trPr>
        <w:tc>
          <w:tcPr>
            <w:tcW w:w="996" w:type="dxa"/>
            <w:vMerge w:val="continue"/>
            <w:vAlign w:val="center"/>
          </w:tcPr>
          <w:p>
            <w:pPr>
              <w:snapToGrid w:val="0"/>
              <w:spacing w:line="216" w:lineRule="auto"/>
              <w:jc w:val="center"/>
              <w:rPr>
                <w:rFonts w:hint="default" w:ascii="Times New Roman" w:hAnsi="Times New Roman" w:cs="Times New Roman"/>
                <w:b/>
                <w:color w:val="auto"/>
                <w:sz w:val="24"/>
              </w:rPr>
            </w:pPr>
          </w:p>
        </w:tc>
        <w:tc>
          <w:tcPr>
            <w:tcW w:w="422" w:type="dxa"/>
            <w:vMerge w:val="continue"/>
            <w:vAlign w:val="center"/>
          </w:tcPr>
          <w:p>
            <w:pPr>
              <w:jc w:val="center"/>
              <w:rPr>
                <w:rFonts w:hint="default" w:ascii="Times New Roman" w:hAnsi="Times New Roman" w:cs="Times New Roman"/>
                <w:color w:val="auto"/>
                <w:szCs w:val="21"/>
              </w:rPr>
            </w:pPr>
          </w:p>
        </w:tc>
        <w:tc>
          <w:tcPr>
            <w:tcW w:w="1285" w:type="dxa"/>
            <w:vAlign w:val="center"/>
          </w:tcPr>
          <w:p>
            <w:pPr>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垃圾收集房臭气</w:t>
            </w:r>
          </w:p>
        </w:tc>
        <w:tc>
          <w:tcPr>
            <w:tcW w:w="1470" w:type="dxa"/>
            <w:vAlign w:val="center"/>
          </w:tcPr>
          <w:p>
            <w:pPr>
              <w:pStyle w:val="41"/>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2"/>
                <w:sz w:val="21"/>
                <w:szCs w:val="21"/>
                <w:lang w:val="en-US" w:eastAsia="zh-CN" w:bidi="ar-SA"/>
              </w:rPr>
              <w:t>恶臭</w:t>
            </w:r>
          </w:p>
        </w:tc>
        <w:tc>
          <w:tcPr>
            <w:tcW w:w="2358" w:type="dxa"/>
            <w:vAlign w:val="center"/>
          </w:tcPr>
          <w:p>
            <w:pPr>
              <w:pStyle w:val="2"/>
              <w:ind w:left="0" w:leftChars="0" w:firstLine="0" w:firstLineChars="0"/>
              <w:rPr>
                <w:rFonts w:hint="default" w:ascii="Times New Roman" w:hAnsi="Times New Roman" w:cs="Times New Roman"/>
                <w:color w:val="auto"/>
                <w:szCs w:val="21"/>
                <w:lang w:eastAsia="zh-CN"/>
              </w:rPr>
            </w:pPr>
            <w:r>
              <w:rPr>
                <w:rFonts w:hint="default" w:ascii="Times New Roman" w:hAnsi="Times New Roman" w:cs="Times New Roman"/>
                <w:color w:val="auto"/>
                <w:sz w:val="21"/>
                <w:szCs w:val="21"/>
                <w:lang w:eastAsia="zh-CN"/>
              </w:rPr>
              <w:t>采用封闭式设计，垃圾收集入房即关闭房门，对垃圾收集房喷洒除臭剂、消毒剂，经常地面清洗处理</w:t>
            </w:r>
          </w:p>
        </w:tc>
        <w:tc>
          <w:tcPr>
            <w:tcW w:w="2928" w:type="dxa"/>
            <w:vAlign w:val="center"/>
          </w:tcPr>
          <w:p>
            <w:pPr>
              <w:pStyle w:val="105"/>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lang w:eastAsia="zh-CN"/>
              </w:rPr>
              <w:t>达到《恶臭污染物排放标准》（GB14554-93）厂界二级标准。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996" w:type="dxa"/>
            <w:vAlign w:val="center"/>
          </w:tcPr>
          <w:p>
            <w:pPr>
              <w:snapToGrid w:val="0"/>
              <w:spacing w:line="216" w:lineRule="auto"/>
              <w:jc w:val="center"/>
              <w:rPr>
                <w:rFonts w:hint="default" w:ascii="Times New Roman" w:hAnsi="Times New Roman" w:cs="Times New Roman"/>
                <w:b/>
                <w:color w:val="auto"/>
                <w:sz w:val="24"/>
              </w:rPr>
            </w:pPr>
            <w:r>
              <w:rPr>
                <w:rFonts w:hint="default" w:ascii="Times New Roman" w:hAnsi="Times New Roman" w:cs="Times New Roman"/>
                <w:b/>
                <w:color w:val="auto"/>
                <w:sz w:val="24"/>
              </w:rPr>
              <w:t>水</w:t>
            </w:r>
          </w:p>
          <w:p>
            <w:pPr>
              <w:snapToGrid w:val="0"/>
              <w:spacing w:line="216" w:lineRule="auto"/>
              <w:jc w:val="center"/>
              <w:rPr>
                <w:rFonts w:hint="default" w:ascii="Times New Roman" w:hAnsi="Times New Roman" w:cs="Times New Roman"/>
                <w:b/>
                <w:color w:val="auto"/>
                <w:sz w:val="24"/>
              </w:rPr>
            </w:pPr>
            <w:r>
              <w:rPr>
                <w:rFonts w:hint="default" w:ascii="Times New Roman" w:hAnsi="Times New Roman" w:cs="Times New Roman"/>
                <w:b/>
                <w:color w:val="auto"/>
                <w:sz w:val="24"/>
              </w:rPr>
              <w:t>污</w:t>
            </w:r>
          </w:p>
          <w:p>
            <w:pPr>
              <w:snapToGrid w:val="0"/>
              <w:spacing w:line="216" w:lineRule="auto"/>
              <w:jc w:val="center"/>
              <w:rPr>
                <w:rFonts w:hint="default" w:ascii="Times New Roman" w:hAnsi="Times New Roman" w:cs="Times New Roman"/>
                <w:b/>
                <w:color w:val="auto"/>
                <w:sz w:val="24"/>
              </w:rPr>
            </w:pPr>
            <w:r>
              <w:rPr>
                <w:rFonts w:hint="default" w:ascii="Times New Roman" w:hAnsi="Times New Roman" w:cs="Times New Roman"/>
                <w:b/>
                <w:color w:val="auto"/>
                <w:sz w:val="24"/>
              </w:rPr>
              <w:t>染</w:t>
            </w:r>
          </w:p>
          <w:p>
            <w:pPr>
              <w:snapToGrid w:val="0"/>
              <w:spacing w:line="216" w:lineRule="auto"/>
              <w:jc w:val="center"/>
              <w:rPr>
                <w:rFonts w:hint="default" w:ascii="Times New Roman" w:hAnsi="Times New Roman" w:cs="Times New Roman"/>
                <w:b/>
                <w:color w:val="auto"/>
                <w:sz w:val="24"/>
              </w:rPr>
            </w:pPr>
            <w:r>
              <w:rPr>
                <w:rFonts w:hint="default" w:ascii="Times New Roman" w:hAnsi="Times New Roman" w:cs="Times New Roman"/>
                <w:b/>
                <w:color w:val="auto"/>
                <w:sz w:val="24"/>
              </w:rPr>
              <w:t>物</w:t>
            </w:r>
          </w:p>
        </w:tc>
        <w:tc>
          <w:tcPr>
            <w:tcW w:w="422" w:type="dxa"/>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运营期</w:t>
            </w:r>
          </w:p>
        </w:tc>
        <w:tc>
          <w:tcPr>
            <w:tcW w:w="1285" w:type="dxa"/>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lang w:eastAsia="zh-CN"/>
              </w:rPr>
              <w:t>医疗污水、洗衣房废水和</w:t>
            </w:r>
            <w:r>
              <w:rPr>
                <w:rFonts w:hint="default" w:ascii="Times New Roman" w:hAnsi="Times New Roman" w:cs="Times New Roman"/>
                <w:color w:val="auto"/>
                <w:szCs w:val="21"/>
              </w:rPr>
              <w:t>生活污水</w:t>
            </w:r>
          </w:p>
        </w:tc>
        <w:tc>
          <w:tcPr>
            <w:tcW w:w="1470" w:type="dxa"/>
            <w:vAlign w:val="center"/>
          </w:tcPr>
          <w:p>
            <w:pPr>
              <w:pStyle w:val="56"/>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COD</w:t>
            </w:r>
            <w:r>
              <w:rPr>
                <w:rFonts w:hint="default" w:ascii="Times New Roman" w:hAnsi="Times New Roman" w:cs="Times New Roman"/>
                <w:color w:val="auto"/>
                <w:sz w:val="21"/>
                <w:szCs w:val="21"/>
                <w:vertAlign w:val="subscript"/>
              </w:rPr>
              <w:t>Cr</w:t>
            </w:r>
            <w:r>
              <w:rPr>
                <w:rFonts w:hint="default" w:ascii="Times New Roman" w:hAnsi="Times New Roman" w:cs="Times New Roman"/>
                <w:color w:val="auto"/>
                <w:sz w:val="21"/>
                <w:szCs w:val="21"/>
              </w:rPr>
              <w:t>、BOD</w:t>
            </w:r>
            <w:r>
              <w:rPr>
                <w:rFonts w:hint="default" w:ascii="Times New Roman" w:hAnsi="Times New Roman" w:cs="Times New Roman"/>
                <w:color w:val="auto"/>
                <w:sz w:val="21"/>
                <w:szCs w:val="21"/>
                <w:vertAlign w:val="subscript"/>
              </w:rPr>
              <w:t>5</w:t>
            </w:r>
            <w:r>
              <w:rPr>
                <w:rFonts w:hint="default" w:ascii="Times New Roman" w:hAnsi="Times New Roman" w:cs="Times New Roman"/>
                <w:color w:val="auto"/>
                <w:sz w:val="21"/>
                <w:szCs w:val="21"/>
              </w:rPr>
              <w:t>、SS、NH</w:t>
            </w:r>
            <w:r>
              <w:rPr>
                <w:rFonts w:hint="default" w:ascii="Times New Roman" w:hAnsi="Times New Roman" w:cs="Times New Roman"/>
                <w:color w:val="auto"/>
                <w:sz w:val="21"/>
                <w:szCs w:val="21"/>
                <w:vertAlign w:val="subscript"/>
              </w:rPr>
              <w:t>3</w:t>
            </w:r>
            <w:r>
              <w:rPr>
                <w:rFonts w:hint="default" w:ascii="Times New Roman" w:hAnsi="Times New Roman" w:cs="Times New Roman"/>
                <w:color w:val="auto"/>
                <w:sz w:val="21"/>
                <w:szCs w:val="21"/>
              </w:rPr>
              <w:t>-N</w:t>
            </w:r>
            <w:r>
              <w:rPr>
                <w:rFonts w:hint="default" w:ascii="Times New Roman" w:hAnsi="Times New Roman" w:cs="Times New Roman"/>
                <w:color w:val="auto"/>
                <w:sz w:val="21"/>
                <w:szCs w:val="21"/>
                <w:lang w:eastAsia="zh-CN"/>
              </w:rPr>
              <w:t>、粪大肠菌群</w:t>
            </w:r>
          </w:p>
        </w:tc>
        <w:tc>
          <w:tcPr>
            <w:tcW w:w="2358" w:type="dxa"/>
            <w:tcBorders>
              <w:bottom w:val="single" w:color="auto" w:sz="4" w:space="0"/>
            </w:tcBorders>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Cs w:val="21"/>
                <w:lang w:eastAsia="zh-CN"/>
              </w:rPr>
              <w:t>自建污水处理站</w:t>
            </w:r>
          </w:p>
        </w:tc>
        <w:tc>
          <w:tcPr>
            <w:tcW w:w="2928" w:type="dxa"/>
            <w:tcBorders>
              <w:bottom w:val="single" w:color="auto" w:sz="4" w:space="0"/>
            </w:tcBorders>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Cs w:val="21"/>
                <w:lang w:val="en-US" w:eastAsia="zh-CN"/>
              </w:rPr>
              <w:t>达到《城市污水再生利用 城市杂用水水质》（GB/T18920-2002）中“城市绿化”标准后回用项目周边绿化用水。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atLeast"/>
        </w:trPr>
        <w:tc>
          <w:tcPr>
            <w:tcW w:w="996" w:type="dxa"/>
            <w:vMerge w:val="restart"/>
            <w:vAlign w:val="center"/>
          </w:tcPr>
          <w:p>
            <w:pPr>
              <w:snapToGrid w:val="0"/>
              <w:spacing w:line="216" w:lineRule="auto"/>
              <w:jc w:val="center"/>
              <w:rPr>
                <w:rFonts w:hint="default" w:ascii="Times New Roman" w:hAnsi="Times New Roman" w:cs="Times New Roman"/>
                <w:b/>
                <w:color w:val="auto"/>
                <w:sz w:val="24"/>
              </w:rPr>
            </w:pPr>
            <w:r>
              <w:rPr>
                <w:rFonts w:hint="default" w:ascii="Times New Roman" w:hAnsi="Times New Roman" w:cs="Times New Roman"/>
                <w:b/>
                <w:color w:val="auto"/>
                <w:sz w:val="24"/>
              </w:rPr>
              <w:t>固</w:t>
            </w:r>
          </w:p>
          <w:p>
            <w:pPr>
              <w:snapToGrid w:val="0"/>
              <w:spacing w:line="216" w:lineRule="auto"/>
              <w:jc w:val="center"/>
              <w:rPr>
                <w:rFonts w:hint="default" w:ascii="Times New Roman" w:hAnsi="Times New Roman" w:cs="Times New Roman"/>
                <w:b/>
                <w:color w:val="auto"/>
                <w:sz w:val="24"/>
              </w:rPr>
            </w:pPr>
            <w:r>
              <w:rPr>
                <w:rFonts w:hint="default" w:ascii="Times New Roman" w:hAnsi="Times New Roman" w:cs="Times New Roman"/>
                <w:b/>
                <w:color w:val="auto"/>
                <w:sz w:val="24"/>
              </w:rPr>
              <w:t>体</w:t>
            </w:r>
          </w:p>
          <w:p>
            <w:pPr>
              <w:snapToGrid w:val="0"/>
              <w:spacing w:line="216" w:lineRule="auto"/>
              <w:jc w:val="center"/>
              <w:rPr>
                <w:rFonts w:hint="default" w:ascii="Times New Roman" w:hAnsi="Times New Roman" w:cs="Times New Roman"/>
                <w:b/>
                <w:color w:val="auto"/>
                <w:sz w:val="24"/>
              </w:rPr>
            </w:pPr>
            <w:r>
              <w:rPr>
                <w:rFonts w:hint="default" w:ascii="Times New Roman" w:hAnsi="Times New Roman" w:cs="Times New Roman"/>
                <w:b/>
                <w:color w:val="auto"/>
                <w:sz w:val="24"/>
              </w:rPr>
              <w:t>废</w:t>
            </w:r>
          </w:p>
          <w:p>
            <w:pPr>
              <w:snapToGrid w:val="0"/>
              <w:spacing w:line="216" w:lineRule="auto"/>
              <w:jc w:val="center"/>
              <w:rPr>
                <w:rFonts w:hint="default" w:ascii="Times New Roman" w:hAnsi="Times New Roman" w:cs="Times New Roman"/>
                <w:b/>
                <w:color w:val="auto"/>
                <w:sz w:val="24"/>
              </w:rPr>
            </w:pPr>
            <w:r>
              <w:rPr>
                <w:rFonts w:hint="default" w:ascii="Times New Roman" w:hAnsi="Times New Roman" w:cs="Times New Roman"/>
                <w:b/>
                <w:color w:val="auto"/>
                <w:sz w:val="24"/>
              </w:rPr>
              <w:t>物</w:t>
            </w:r>
          </w:p>
        </w:tc>
        <w:tc>
          <w:tcPr>
            <w:tcW w:w="422" w:type="dxa"/>
            <w:vMerge w:val="restart"/>
            <w:vAlign w:val="center"/>
          </w:tcPr>
          <w:p>
            <w:pPr>
              <w:pStyle w:val="18"/>
              <w:snapToGrid w:val="0"/>
              <w:spacing w:line="216" w:lineRule="auto"/>
              <w:ind w:firstLine="0"/>
              <w:jc w:val="center"/>
              <w:rPr>
                <w:rFonts w:hint="default" w:ascii="Times New Roman" w:hAnsi="Times New Roman" w:cs="Times New Roman"/>
                <w:color w:val="auto"/>
              </w:rPr>
            </w:pPr>
            <w:r>
              <w:rPr>
                <w:rFonts w:hint="default" w:ascii="Times New Roman" w:hAnsi="Times New Roman" w:cs="Times New Roman"/>
                <w:color w:val="auto"/>
              </w:rPr>
              <w:t>运营期</w:t>
            </w:r>
          </w:p>
        </w:tc>
        <w:tc>
          <w:tcPr>
            <w:tcW w:w="1285" w:type="dxa"/>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Cs w:val="21"/>
              </w:rPr>
              <w:t>一般</w:t>
            </w:r>
            <w:r>
              <w:rPr>
                <w:rFonts w:hint="default" w:ascii="Times New Roman" w:hAnsi="Times New Roman" w:cs="Times New Roman"/>
                <w:color w:val="auto"/>
                <w:szCs w:val="21"/>
                <w:lang w:eastAsia="zh-CN"/>
              </w:rPr>
              <w:t>办公生活垃圾</w:t>
            </w:r>
          </w:p>
        </w:tc>
        <w:tc>
          <w:tcPr>
            <w:tcW w:w="1470" w:type="dxa"/>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rPr>
              <w:t>一般</w:t>
            </w:r>
            <w:r>
              <w:rPr>
                <w:rFonts w:hint="default" w:ascii="Times New Roman" w:hAnsi="Times New Roman" w:cs="Times New Roman"/>
                <w:color w:val="auto"/>
                <w:szCs w:val="21"/>
                <w:lang w:eastAsia="zh-CN"/>
              </w:rPr>
              <w:t>办公生活垃圾</w:t>
            </w:r>
          </w:p>
        </w:tc>
        <w:tc>
          <w:tcPr>
            <w:tcW w:w="2358" w:type="dxa"/>
            <w:vAlign w:val="center"/>
          </w:tcPr>
          <w:p>
            <w:pPr>
              <w:snapToGrid w:val="0"/>
              <w:spacing w:line="216" w:lineRule="auto"/>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交由环卫部门清运</w:t>
            </w:r>
          </w:p>
        </w:tc>
        <w:tc>
          <w:tcPr>
            <w:tcW w:w="2928" w:type="dxa"/>
            <w:vMerge w:val="restart"/>
            <w:vAlign w:val="center"/>
          </w:tcPr>
          <w:p>
            <w:pPr>
              <w:snapToGrid w:val="0"/>
              <w:spacing w:line="216"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96" w:type="dxa"/>
            <w:vMerge w:val="continue"/>
            <w:vAlign w:val="center"/>
          </w:tcPr>
          <w:p>
            <w:pPr>
              <w:snapToGrid w:val="0"/>
              <w:spacing w:line="216" w:lineRule="auto"/>
              <w:jc w:val="center"/>
              <w:rPr>
                <w:rFonts w:hint="default" w:ascii="Times New Roman" w:hAnsi="Times New Roman" w:cs="Times New Roman"/>
                <w:b/>
                <w:color w:val="auto"/>
                <w:sz w:val="24"/>
              </w:rPr>
            </w:pPr>
          </w:p>
        </w:tc>
        <w:tc>
          <w:tcPr>
            <w:tcW w:w="422" w:type="dxa"/>
            <w:vMerge w:val="continue"/>
            <w:vAlign w:val="center"/>
          </w:tcPr>
          <w:p>
            <w:pPr>
              <w:pStyle w:val="18"/>
              <w:snapToGrid w:val="0"/>
              <w:spacing w:line="216" w:lineRule="auto"/>
              <w:ind w:firstLine="0"/>
              <w:jc w:val="center"/>
              <w:rPr>
                <w:rFonts w:hint="default" w:ascii="Times New Roman" w:hAnsi="Times New Roman" w:cs="Times New Roman"/>
                <w:color w:val="auto"/>
              </w:rPr>
            </w:pPr>
          </w:p>
        </w:tc>
        <w:tc>
          <w:tcPr>
            <w:tcW w:w="1285" w:type="dxa"/>
            <w:vAlign w:val="center"/>
          </w:tcPr>
          <w:p>
            <w:pPr>
              <w:jc w:val="center"/>
              <w:rPr>
                <w:rFonts w:hint="default" w:ascii="Times New Roman" w:hAnsi="Times New Roman" w:eastAsia="宋体" w:cs="Times New Roman"/>
                <w:bCs/>
                <w:color w:val="auto"/>
                <w:kern w:val="28"/>
                <w:szCs w:val="21"/>
                <w:lang w:eastAsia="zh-CN"/>
              </w:rPr>
            </w:pPr>
            <w:r>
              <w:rPr>
                <w:rFonts w:hint="default" w:ascii="Times New Roman" w:hAnsi="Times New Roman" w:cs="Times New Roman"/>
                <w:color w:val="auto"/>
                <w:szCs w:val="21"/>
                <w:lang w:eastAsia="zh-CN"/>
              </w:rPr>
              <w:t>医疗废物</w:t>
            </w:r>
          </w:p>
        </w:tc>
        <w:tc>
          <w:tcPr>
            <w:tcW w:w="1470" w:type="dxa"/>
            <w:vAlign w:val="center"/>
          </w:tcPr>
          <w:p>
            <w:pPr>
              <w:jc w:val="center"/>
              <w:rPr>
                <w:rFonts w:hint="default" w:ascii="Times New Roman" w:hAnsi="Times New Roman" w:eastAsia="宋体" w:cs="Times New Roman"/>
                <w:bCs/>
                <w:color w:val="auto"/>
                <w:kern w:val="28"/>
                <w:szCs w:val="21"/>
                <w:lang w:eastAsia="zh-CN"/>
              </w:rPr>
            </w:pPr>
            <w:r>
              <w:rPr>
                <w:rFonts w:hint="default" w:ascii="Times New Roman" w:hAnsi="Times New Roman" w:cs="Times New Roman"/>
                <w:color w:val="auto"/>
                <w:szCs w:val="21"/>
                <w:lang w:eastAsia="zh-CN"/>
              </w:rPr>
              <w:t>医疗废物</w:t>
            </w:r>
          </w:p>
        </w:tc>
        <w:tc>
          <w:tcPr>
            <w:tcW w:w="2358" w:type="dxa"/>
            <w:vAlign w:val="center"/>
          </w:tcPr>
          <w:p>
            <w:pPr>
              <w:snapToGrid w:val="0"/>
              <w:spacing w:line="216"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lang w:eastAsia="zh-CN"/>
              </w:rPr>
              <w:t>交由有资质单位回收处理</w:t>
            </w:r>
          </w:p>
        </w:tc>
        <w:tc>
          <w:tcPr>
            <w:tcW w:w="2928" w:type="dxa"/>
            <w:vMerge w:val="continue"/>
            <w:vAlign w:val="center"/>
          </w:tcPr>
          <w:p>
            <w:pPr>
              <w:snapToGrid w:val="0"/>
              <w:spacing w:line="216" w:lineRule="auto"/>
              <w:jc w:val="center"/>
              <w:rPr>
                <w:rFonts w:hint="default"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996" w:type="dxa"/>
            <w:vMerge w:val="continue"/>
            <w:vAlign w:val="center"/>
          </w:tcPr>
          <w:p>
            <w:pPr>
              <w:snapToGrid w:val="0"/>
              <w:spacing w:line="216" w:lineRule="auto"/>
              <w:jc w:val="center"/>
              <w:rPr>
                <w:rFonts w:hint="default" w:ascii="Times New Roman" w:hAnsi="Times New Roman" w:cs="Times New Roman"/>
                <w:b/>
                <w:color w:val="auto"/>
                <w:sz w:val="24"/>
              </w:rPr>
            </w:pPr>
          </w:p>
        </w:tc>
        <w:tc>
          <w:tcPr>
            <w:tcW w:w="422" w:type="dxa"/>
            <w:vMerge w:val="continue"/>
            <w:vAlign w:val="center"/>
          </w:tcPr>
          <w:p>
            <w:pPr>
              <w:pStyle w:val="18"/>
              <w:snapToGrid w:val="0"/>
              <w:spacing w:line="216" w:lineRule="auto"/>
              <w:ind w:firstLine="0"/>
              <w:jc w:val="center"/>
              <w:rPr>
                <w:rFonts w:hint="default" w:ascii="Times New Roman" w:hAnsi="Times New Roman" w:cs="Times New Roman"/>
                <w:color w:val="auto"/>
              </w:rPr>
            </w:pPr>
          </w:p>
        </w:tc>
        <w:tc>
          <w:tcPr>
            <w:tcW w:w="1285" w:type="dxa"/>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Cs w:val="21"/>
                <w:lang w:eastAsia="zh-CN"/>
              </w:rPr>
              <w:t>污泥</w:t>
            </w:r>
          </w:p>
        </w:tc>
        <w:tc>
          <w:tcPr>
            <w:tcW w:w="1470" w:type="dxa"/>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lang w:eastAsia="zh-CN"/>
              </w:rPr>
              <w:t>污泥</w:t>
            </w:r>
          </w:p>
        </w:tc>
        <w:tc>
          <w:tcPr>
            <w:tcW w:w="2358" w:type="dxa"/>
            <w:vAlign w:val="center"/>
          </w:tcPr>
          <w:p>
            <w:pPr>
              <w:snapToGrid w:val="0"/>
              <w:spacing w:line="216"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lang w:eastAsia="zh-CN"/>
              </w:rPr>
              <w:t>交由有资质单位回收处理</w:t>
            </w:r>
          </w:p>
        </w:tc>
        <w:tc>
          <w:tcPr>
            <w:tcW w:w="2928" w:type="dxa"/>
            <w:vMerge w:val="continue"/>
            <w:vAlign w:val="center"/>
          </w:tcPr>
          <w:p>
            <w:pPr>
              <w:snapToGrid w:val="0"/>
              <w:spacing w:line="216" w:lineRule="auto"/>
              <w:jc w:val="center"/>
              <w:rPr>
                <w:rFonts w:hint="default"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996" w:type="dxa"/>
            <w:vAlign w:val="center"/>
          </w:tcPr>
          <w:p>
            <w:pPr>
              <w:snapToGrid w:val="0"/>
              <w:jc w:val="center"/>
              <w:rPr>
                <w:rFonts w:hint="default" w:ascii="Times New Roman" w:hAnsi="Times New Roman" w:cs="Times New Roman"/>
                <w:b/>
                <w:color w:val="auto"/>
                <w:sz w:val="24"/>
              </w:rPr>
            </w:pPr>
            <w:r>
              <w:rPr>
                <w:rFonts w:hint="default" w:ascii="Times New Roman" w:hAnsi="Times New Roman" w:cs="Times New Roman"/>
                <w:b/>
                <w:color w:val="auto"/>
                <w:sz w:val="24"/>
              </w:rPr>
              <w:t>噪</w:t>
            </w:r>
          </w:p>
          <w:p>
            <w:pPr>
              <w:snapToGrid w:val="0"/>
              <w:jc w:val="center"/>
              <w:rPr>
                <w:rFonts w:hint="default" w:ascii="Times New Roman" w:hAnsi="Times New Roman" w:cs="Times New Roman"/>
                <w:b/>
                <w:color w:val="auto"/>
                <w:sz w:val="24"/>
              </w:rPr>
            </w:pPr>
            <w:r>
              <w:rPr>
                <w:rFonts w:hint="default" w:ascii="Times New Roman" w:hAnsi="Times New Roman" w:cs="Times New Roman"/>
                <w:b/>
                <w:color w:val="auto"/>
                <w:sz w:val="24"/>
              </w:rPr>
              <w:t>声</w:t>
            </w:r>
          </w:p>
        </w:tc>
        <w:tc>
          <w:tcPr>
            <w:tcW w:w="422" w:type="dxa"/>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运营期</w:t>
            </w:r>
          </w:p>
        </w:tc>
        <w:tc>
          <w:tcPr>
            <w:tcW w:w="1285" w:type="dxa"/>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各种配套设备运行噪声、进出车辆噪声及社会活动噪声</w:t>
            </w:r>
          </w:p>
        </w:tc>
        <w:tc>
          <w:tcPr>
            <w:tcW w:w="1470" w:type="dxa"/>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噪声</w:t>
            </w:r>
          </w:p>
        </w:tc>
        <w:tc>
          <w:tcPr>
            <w:tcW w:w="5286" w:type="dxa"/>
            <w:gridSpan w:val="2"/>
            <w:vAlign w:val="center"/>
          </w:tcPr>
          <w:p>
            <w:pPr>
              <w:rPr>
                <w:rFonts w:hint="default" w:ascii="Times New Roman" w:hAnsi="Times New Roman" w:eastAsia="宋体" w:cs="Times New Roman"/>
                <w:color w:val="auto"/>
                <w:lang w:val="en-US" w:eastAsia="zh-CN"/>
              </w:rPr>
            </w:pPr>
            <w:r>
              <w:rPr>
                <w:rFonts w:hint="default" w:ascii="Times New Roman" w:hAnsi="Times New Roman" w:cs="Times New Roman"/>
                <w:color w:val="auto"/>
              </w:rPr>
              <w:t>营运期</w:t>
            </w:r>
            <w:r>
              <w:rPr>
                <w:rFonts w:hint="default" w:ascii="Times New Roman" w:hAnsi="Times New Roman" w:cs="Times New Roman"/>
                <w:color w:val="auto"/>
                <w:lang w:eastAsia="zh-CN"/>
              </w:rPr>
              <w:t>边</w:t>
            </w:r>
            <w:r>
              <w:rPr>
                <w:rFonts w:hint="default" w:ascii="Times New Roman" w:hAnsi="Times New Roman" w:cs="Times New Roman"/>
                <w:color w:val="auto"/>
              </w:rPr>
              <w:t>界噪声排放满足《工业企业厂界环境噪声排放标准》（GB12348-2008）中的2类标准</w:t>
            </w:r>
            <w:r>
              <w:rPr>
                <w:rFonts w:hint="default" w:ascii="Times New Roman" w:hAnsi="Times New Roman"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 w:hRule="atLeast"/>
        </w:trPr>
        <w:tc>
          <w:tcPr>
            <w:tcW w:w="996" w:type="dxa"/>
            <w:vAlign w:val="center"/>
          </w:tcPr>
          <w:p>
            <w:pPr>
              <w:jc w:val="both"/>
              <w:rPr>
                <w:rFonts w:hint="default" w:ascii="Times New Roman" w:hAnsi="Times New Roman" w:cs="Times New Roman"/>
                <w:b/>
                <w:color w:val="auto"/>
                <w:sz w:val="24"/>
              </w:rPr>
            </w:pPr>
            <w:r>
              <w:rPr>
                <w:rFonts w:hint="default" w:ascii="Times New Roman" w:hAnsi="Times New Roman" w:cs="Times New Roman"/>
                <w:b/>
                <w:color w:val="auto"/>
                <w:sz w:val="24"/>
              </w:rPr>
              <w:t>其他</w:t>
            </w:r>
          </w:p>
        </w:tc>
        <w:tc>
          <w:tcPr>
            <w:tcW w:w="8463" w:type="dxa"/>
            <w:gridSpan w:val="5"/>
            <w:vAlign w:val="center"/>
          </w:tcPr>
          <w:p>
            <w:pP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69" w:hRule="atLeast"/>
        </w:trPr>
        <w:tc>
          <w:tcPr>
            <w:tcW w:w="9459" w:type="dxa"/>
            <w:gridSpan w:val="6"/>
          </w:tcPr>
          <w:p>
            <w:pPr>
              <w:widowControl/>
              <w:tabs>
                <w:tab w:val="left" w:pos="945"/>
              </w:tabs>
              <w:autoSpaceDE w:val="0"/>
              <w:autoSpaceDN w:val="0"/>
              <w:spacing w:line="360" w:lineRule="auto"/>
              <w:jc w:val="left"/>
              <w:rPr>
                <w:rFonts w:hint="default" w:ascii="Times New Roman" w:hAnsi="Times New Roman" w:cs="Times New Roman"/>
                <w:b/>
                <w:color w:val="auto"/>
                <w:sz w:val="24"/>
              </w:rPr>
            </w:pPr>
            <w:r>
              <w:rPr>
                <w:rFonts w:hint="default" w:ascii="Times New Roman" w:hAnsi="Times New Roman" w:cs="Times New Roman"/>
                <w:b/>
                <w:color w:val="auto"/>
                <w:sz w:val="24"/>
              </w:rPr>
              <w:t>主要生态影响(不够时可附另页):</w:t>
            </w:r>
          </w:p>
          <w:p>
            <w:pPr>
              <w:spacing w:line="360" w:lineRule="auto"/>
              <w:ind w:firstLine="420" w:firstLineChars="20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1、合理厂区内的生产布局，防治内环境的污染。</w:t>
            </w:r>
          </w:p>
          <w:p>
            <w:pPr>
              <w:spacing w:line="360" w:lineRule="auto"/>
              <w:ind w:firstLine="420" w:firstLineChars="20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2、按上述措施对各种污染物进行有效的治理，可降低其对周围生态环境的影响，并</w:t>
            </w:r>
            <w:r>
              <w:rPr>
                <w:rFonts w:hint="eastAsia" w:cs="Times New Roman"/>
                <w:color w:val="auto"/>
                <w:sz w:val="21"/>
                <w:szCs w:val="21"/>
                <w:lang w:eastAsia="zh-CN"/>
              </w:rPr>
              <w:t>做好</w:t>
            </w:r>
            <w:r>
              <w:rPr>
                <w:rFonts w:hint="default" w:ascii="Times New Roman" w:hAnsi="Times New Roman" w:cs="Times New Roman"/>
                <w:color w:val="auto"/>
                <w:sz w:val="21"/>
                <w:szCs w:val="21"/>
              </w:rPr>
              <w:t>周围的绿化、美化，以减少对附近区域生态环境的影响。</w:t>
            </w:r>
          </w:p>
          <w:p>
            <w:pPr>
              <w:spacing w:line="360" w:lineRule="auto"/>
              <w:ind w:firstLine="420" w:firstLineChars="20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3、实施清洁生产，从源头到污染物的排放全过程控制，实现节能、降耗、减污、增效的目标。</w:t>
            </w:r>
          </w:p>
          <w:p>
            <w:pPr>
              <w:spacing w:line="360" w:lineRule="auto"/>
              <w:ind w:firstLine="420" w:firstLineChars="200"/>
              <w:rPr>
                <w:rFonts w:hint="default" w:ascii="Times New Roman" w:hAnsi="Times New Roman" w:cs="Times New Roman"/>
                <w:color w:val="auto"/>
                <w:sz w:val="24"/>
              </w:rPr>
            </w:pPr>
            <w:r>
              <w:rPr>
                <w:rFonts w:hint="default" w:ascii="Times New Roman" w:hAnsi="Times New Roman" w:cs="Times New Roman"/>
                <w:color w:val="auto"/>
                <w:sz w:val="21"/>
                <w:szCs w:val="21"/>
              </w:rPr>
              <w:t>4、加强生态建设，实行综合利用和资源化再生产。</w:t>
            </w:r>
          </w:p>
        </w:tc>
      </w:tr>
    </w:tbl>
    <w:p>
      <w:pPr>
        <w:rPr>
          <w:rFonts w:hint="default" w:ascii="Times New Roman" w:hAnsi="Times New Roman" w:cs="Times New Roman"/>
          <w:color w:val="auto"/>
          <w:sz w:val="28"/>
        </w:rPr>
        <w:sectPr>
          <w:footerReference r:id="rId10" w:type="default"/>
          <w:pgSz w:w="11907" w:h="16840"/>
          <w:pgMar w:top="1531" w:right="1134" w:bottom="1134" w:left="1418" w:header="907" w:footer="907" w:gutter="0"/>
          <w:pgBorders>
            <w:top w:val="none" w:sz="0" w:space="0"/>
            <w:left w:val="none" w:sz="0" w:space="0"/>
            <w:bottom w:val="none" w:sz="0" w:space="0"/>
            <w:right w:val="none" w:sz="0" w:space="0"/>
          </w:pgBorders>
          <w:cols w:space="720" w:num="1"/>
          <w:docGrid w:linePitch="326" w:charSpace="-4916"/>
        </w:sectPr>
      </w:pPr>
    </w:p>
    <w:p>
      <w:pPr>
        <w:keepNext/>
        <w:outlineLvl w:val="0"/>
        <w:rPr>
          <w:rFonts w:hint="default" w:ascii="Times New Roman" w:hAnsi="Times New Roman" w:cs="Times New Roman"/>
          <w:b/>
          <w:color w:val="auto"/>
          <w:sz w:val="30"/>
          <w:szCs w:val="30"/>
        </w:rPr>
      </w:pPr>
      <w:bookmarkStart w:id="20" w:name="_Toc244053175"/>
      <w:r>
        <w:rPr>
          <w:rFonts w:hint="default" w:ascii="Times New Roman" w:hAnsi="Times New Roman" w:cs="Times New Roman"/>
          <w:b/>
          <w:color w:val="auto"/>
          <w:sz w:val="30"/>
          <w:szCs w:val="30"/>
        </w:rPr>
        <w:t>产业政策、选址合理性分析</w:t>
      </w:r>
      <w:bookmarkEnd w:id="20"/>
    </w:p>
    <w:tbl>
      <w:tblPr>
        <w:tblStyle w:val="31"/>
        <w:tblW w:w="9280"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28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10005" w:hRule="atLeast"/>
          <w:jc w:val="center"/>
        </w:trPr>
        <w:tc>
          <w:tcPr>
            <w:tcW w:w="9280" w:type="dxa"/>
          </w:tcPr>
          <w:p>
            <w:pPr>
              <w:adjustRightInd w:val="0"/>
              <w:snapToGrid w:val="0"/>
              <w:spacing w:line="360" w:lineRule="auto"/>
              <w:ind w:firstLine="482"/>
              <w:rPr>
                <w:rFonts w:hint="default" w:ascii="Times New Roman" w:hAnsi="Times New Roman" w:cs="Times New Roman"/>
                <w:b/>
                <w:bCs/>
                <w:color w:val="auto"/>
                <w:sz w:val="24"/>
                <w:szCs w:val="20"/>
              </w:rPr>
            </w:pPr>
            <w:r>
              <w:rPr>
                <w:rFonts w:hint="default" w:ascii="Times New Roman" w:hAnsi="Times New Roman" w:cs="Times New Roman"/>
                <w:b/>
                <w:bCs/>
                <w:color w:val="auto"/>
                <w:sz w:val="24"/>
                <w:szCs w:val="20"/>
              </w:rPr>
              <w:t>1、产业政策符合性分析</w:t>
            </w:r>
          </w:p>
          <w:p>
            <w:pPr>
              <w:adjustRightInd w:val="0"/>
              <w:snapToGrid w:val="0"/>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lang w:eastAsia="zh-CN"/>
              </w:rPr>
              <w:t>揭东岭东医院建设项目</w:t>
            </w:r>
            <w:r>
              <w:rPr>
                <w:rFonts w:hint="default" w:ascii="Times New Roman" w:hAnsi="Times New Roman" w:cs="Times New Roman"/>
                <w:color w:val="auto"/>
                <w:sz w:val="24"/>
                <w:szCs w:val="22"/>
              </w:rPr>
              <w:t>属于</w:t>
            </w:r>
            <w:r>
              <w:rPr>
                <w:rFonts w:hint="eastAsia" w:cs="Times New Roman"/>
                <w:color w:val="auto"/>
                <w:sz w:val="24"/>
                <w:lang w:val="en-US" w:eastAsia="zh-CN"/>
              </w:rPr>
              <w:t>综合医院</w:t>
            </w:r>
            <w:r>
              <w:rPr>
                <w:rFonts w:hint="default" w:ascii="Times New Roman" w:hAnsi="Times New Roman" w:cs="Times New Roman"/>
                <w:color w:val="auto"/>
                <w:sz w:val="24"/>
                <w:szCs w:val="22"/>
              </w:rPr>
              <w:t>。根据国家发展和改革委员会令第9号《产业结构调整指导目录》（2011年本，2013年修正）、广东省发展和改革委员会于2008年3月17日颁布实施的《产业结构调整指导目录（2007年本）》及《广东省重点开发区产业发展指导目录》（2014年本）等产业政策文件，见表</w:t>
            </w:r>
            <w:r>
              <w:rPr>
                <w:rFonts w:hint="default" w:ascii="Times New Roman" w:hAnsi="Times New Roman" w:cs="Times New Roman"/>
                <w:color w:val="auto"/>
                <w:sz w:val="24"/>
                <w:szCs w:val="22"/>
                <w:lang w:val="en-US" w:eastAsia="zh-CN"/>
              </w:rPr>
              <w:t>9-1</w:t>
            </w:r>
            <w:r>
              <w:rPr>
                <w:rFonts w:hint="default" w:ascii="Times New Roman" w:hAnsi="Times New Roman" w:cs="Times New Roman"/>
                <w:color w:val="auto"/>
                <w:sz w:val="24"/>
                <w:szCs w:val="22"/>
              </w:rPr>
              <w:t>。</w:t>
            </w:r>
          </w:p>
          <w:p>
            <w:pPr>
              <w:pStyle w:val="117"/>
              <w:rPr>
                <w:rFonts w:hint="default" w:ascii="Times New Roman" w:hAnsi="Times New Roman" w:cs="Times New Roman"/>
                <w:color w:val="auto"/>
                <w:highlight w:val="none"/>
              </w:rPr>
            </w:pPr>
            <w:bookmarkStart w:id="21" w:name="_Ref419729217"/>
            <w:r>
              <w:rPr>
                <w:rFonts w:hint="default" w:ascii="Times New Roman" w:hAnsi="Times New Roman" w:cs="Times New Roman"/>
                <w:color w:val="auto"/>
                <w:highlight w:val="none"/>
              </w:rPr>
              <w:t>表</w:t>
            </w:r>
            <w:bookmarkEnd w:id="21"/>
            <w:r>
              <w:rPr>
                <w:rFonts w:hint="default" w:ascii="Times New Roman" w:hAnsi="Times New Roman" w:cs="Times New Roman"/>
                <w:color w:val="auto"/>
                <w:highlight w:val="none"/>
                <w:lang w:val="en-US" w:eastAsia="zh-CN"/>
              </w:rPr>
              <w:t>9-1</w:t>
            </w:r>
            <w:r>
              <w:rPr>
                <w:rFonts w:hint="default" w:ascii="Times New Roman" w:hAnsi="Times New Roman" w:cs="Times New Roman"/>
                <w:color w:val="auto"/>
                <w:highlight w:val="none"/>
              </w:rPr>
              <w:t xml:space="preserve">  本项目与国家及地方相关产业政策的相符性分析一览表</w:t>
            </w:r>
          </w:p>
          <w:tbl>
            <w:tblPr>
              <w:tblStyle w:val="31"/>
              <w:tblW w:w="83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29"/>
              <w:gridCol w:w="1889"/>
              <w:gridCol w:w="703"/>
              <w:gridCol w:w="4413"/>
              <w:gridCol w:w="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0" w:hRule="atLeast"/>
                <w:jc w:val="center"/>
              </w:trPr>
              <w:tc>
                <w:tcPr>
                  <w:tcW w:w="529" w:type="dxa"/>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序号</w:t>
                  </w:r>
                </w:p>
              </w:tc>
              <w:tc>
                <w:tcPr>
                  <w:tcW w:w="2592" w:type="dxa"/>
                  <w:gridSpan w:val="2"/>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依据</w:t>
                  </w:r>
                </w:p>
              </w:tc>
              <w:tc>
                <w:tcPr>
                  <w:tcW w:w="4413" w:type="dxa"/>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条款</w:t>
                  </w:r>
                </w:p>
              </w:tc>
              <w:tc>
                <w:tcPr>
                  <w:tcW w:w="768" w:type="dxa"/>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0" w:hRule="atLeast"/>
                <w:jc w:val="center"/>
              </w:trPr>
              <w:tc>
                <w:tcPr>
                  <w:tcW w:w="529" w:type="dxa"/>
                  <w:vMerge w:val="restart"/>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1</w:t>
                  </w:r>
                </w:p>
              </w:tc>
              <w:tc>
                <w:tcPr>
                  <w:tcW w:w="1889" w:type="dxa"/>
                  <w:vMerge w:val="restart"/>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《产业结构调整指导目录（2014年本）》</w:t>
                  </w:r>
                </w:p>
              </w:tc>
              <w:tc>
                <w:tcPr>
                  <w:tcW w:w="703" w:type="dxa"/>
                  <w:vMerge w:val="restart"/>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鼓励类</w:t>
                  </w:r>
                </w:p>
              </w:tc>
              <w:tc>
                <w:tcPr>
                  <w:tcW w:w="4413" w:type="dxa"/>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三十六、教育、文化、卫生、体育服务业</w:t>
                  </w:r>
                </w:p>
              </w:tc>
              <w:tc>
                <w:tcPr>
                  <w:tcW w:w="768" w:type="dxa"/>
                  <w:vMerge w:val="restart"/>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0" w:hRule="atLeast"/>
                <w:jc w:val="center"/>
              </w:trPr>
              <w:tc>
                <w:tcPr>
                  <w:tcW w:w="529" w:type="dxa"/>
                  <w:vMerge w:val="continue"/>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p>
              </w:tc>
              <w:tc>
                <w:tcPr>
                  <w:tcW w:w="1889" w:type="dxa"/>
                  <w:vMerge w:val="continue"/>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p>
              </w:tc>
              <w:tc>
                <w:tcPr>
                  <w:tcW w:w="703" w:type="dxa"/>
                  <w:vMerge w:val="continue"/>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p>
              </w:tc>
              <w:tc>
                <w:tcPr>
                  <w:tcW w:w="4413" w:type="dxa"/>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 xml:space="preserve">29、医疗卫生服务设施建设 </w:t>
                  </w:r>
                </w:p>
              </w:tc>
              <w:tc>
                <w:tcPr>
                  <w:tcW w:w="768" w:type="dxa"/>
                  <w:vMerge w:val="continue"/>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0" w:hRule="atLeast"/>
                <w:jc w:val="center"/>
              </w:trPr>
              <w:tc>
                <w:tcPr>
                  <w:tcW w:w="529" w:type="dxa"/>
                  <w:vMerge w:val="restart"/>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2</w:t>
                  </w:r>
                </w:p>
              </w:tc>
              <w:tc>
                <w:tcPr>
                  <w:tcW w:w="1889" w:type="dxa"/>
                  <w:vMerge w:val="restart"/>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《广东省产业结构调整指导目录</w:t>
                  </w:r>
                </w:p>
                <w:p>
                  <w:pPr>
                    <w:pStyle w:val="118"/>
                    <w:rPr>
                      <w:rFonts w:hint="default" w:ascii="Times New Roman" w:hAnsi="Times New Roman" w:cs="Times New Roman"/>
                      <w:color w:val="auto"/>
                    </w:rPr>
                  </w:pPr>
                  <w:r>
                    <w:rPr>
                      <w:rFonts w:hint="default" w:ascii="Times New Roman" w:hAnsi="Times New Roman" w:cs="Times New Roman"/>
                      <w:color w:val="auto"/>
                    </w:rPr>
                    <w:t>（2007年本）》</w:t>
                  </w:r>
                </w:p>
              </w:tc>
              <w:tc>
                <w:tcPr>
                  <w:tcW w:w="703" w:type="dxa"/>
                  <w:vMerge w:val="restart"/>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鼓励类</w:t>
                  </w:r>
                </w:p>
              </w:tc>
              <w:tc>
                <w:tcPr>
                  <w:tcW w:w="4413" w:type="dxa"/>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二十五、其他服务业</w:t>
                  </w:r>
                </w:p>
              </w:tc>
              <w:tc>
                <w:tcPr>
                  <w:tcW w:w="768" w:type="dxa"/>
                  <w:vMerge w:val="restart"/>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0" w:hRule="atLeast"/>
                <w:jc w:val="center"/>
              </w:trPr>
              <w:tc>
                <w:tcPr>
                  <w:tcW w:w="529" w:type="dxa"/>
                  <w:vMerge w:val="continue"/>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p>
              </w:tc>
              <w:tc>
                <w:tcPr>
                  <w:tcW w:w="1889" w:type="dxa"/>
                  <w:vMerge w:val="continue"/>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p>
              </w:tc>
              <w:tc>
                <w:tcPr>
                  <w:tcW w:w="703" w:type="dxa"/>
                  <w:vMerge w:val="continue"/>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p>
              </w:tc>
              <w:tc>
                <w:tcPr>
                  <w:tcW w:w="4413" w:type="dxa"/>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13.基本医疗、计划生育、预防保健服务设施建设</w:t>
                  </w:r>
                </w:p>
              </w:tc>
              <w:tc>
                <w:tcPr>
                  <w:tcW w:w="768" w:type="dxa"/>
                  <w:vMerge w:val="continue"/>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0" w:hRule="atLeast"/>
                <w:jc w:val="center"/>
              </w:trPr>
              <w:tc>
                <w:tcPr>
                  <w:tcW w:w="529" w:type="dxa"/>
                  <w:vMerge w:val="restart"/>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3</w:t>
                  </w:r>
                </w:p>
              </w:tc>
              <w:tc>
                <w:tcPr>
                  <w:tcW w:w="1889" w:type="dxa"/>
                  <w:vMerge w:val="restart"/>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《广东省重点开发区产业发展指导目录》（2014年本）</w:t>
                  </w:r>
                </w:p>
              </w:tc>
              <w:tc>
                <w:tcPr>
                  <w:tcW w:w="703" w:type="dxa"/>
                  <w:vMerge w:val="restart"/>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鼓励类</w:t>
                  </w:r>
                </w:p>
              </w:tc>
              <w:tc>
                <w:tcPr>
                  <w:tcW w:w="4413" w:type="dxa"/>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重点开发区域：国家级重点开发区域：海峡西岸经济区粤东部分：揭阳市：普宁市。</w:t>
                  </w:r>
                </w:p>
              </w:tc>
              <w:tc>
                <w:tcPr>
                  <w:tcW w:w="768" w:type="dxa"/>
                  <w:vMerge w:val="restart"/>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0" w:hRule="atLeast"/>
                <w:jc w:val="center"/>
              </w:trPr>
              <w:tc>
                <w:tcPr>
                  <w:tcW w:w="529" w:type="dxa"/>
                  <w:vMerge w:val="continue"/>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p>
              </w:tc>
              <w:tc>
                <w:tcPr>
                  <w:tcW w:w="1889" w:type="dxa"/>
                  <w:vMerge w:val="continue"/>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p>
              </w:tc>
              <w:tc>
                <w:tcPr>
                  <w:tcW w:w="703" w:type="dxa"/>
                  <w:vMerge w:val="continue"/>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p>
              </w:tc>
              <w:tc>
                <w:tcPr>
                  <w:tcW w:w="4413" w:type="dxa"/>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（三十六）教育、文化、卫生、体育服务业</w:t>
                  </w:r>
                </w:p>
              </w:tc>
              <w:tc>
                <w:tcPr>
                  <w:tcW w:w="768" w:type="dxa"/>
                  <w:vMerge w:val="continue"/>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0" w:hRule="atLeast"/>
                <w:jc w:val="center"/>
              </w:trPr>
              <w:tc>
                <w:tcPr>
                  <w:tcW w:w="529" w:type="dxa"/>
                  <w:vMerge w:val="continue"/>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p>
              </w:tc>
              <w:tc>
                <w:tcPr>
                  <w:tcW w:w="1889" w:type="dxa"/>
                  <w:vMerge w:val="continue"/>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p>
              </w:tc>
              <w:tc>
                <w:tcPr>
                  <w:tcW w:w="703" w:type="dxa"/>
                  <w:vMerge w:val="continue"/>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p>
              </w:tc>
              <w:tc>
                <w:tcPr>
                  <w:tcW w:w="4413" w:type="dxa"/>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r>
                    <w:rPr>
                      <w:rFonts w:hint="default" w:ascii="Times New Roman" w:hAnsi="Times New Roman" w:cs="Times New Roman"/>
                      <w:color w:val="auto"/>
                    </w:rPr>
                    <w:t xml:space="preserve">29、医疗卫生服务设施建设 </w:t>
                  </w:r>
                </w:p>
              </w:tc>
              <w:tc>
                <w:tcPr>
                  <w:tcW w:w="768" w:type="dxa"/>
                  <w:vMerge w:val="continue"/>
                  <w:tcBorders>
                    <w:top w:val="single" w:color="auto" w:sz="4" w:space="0"/>
                    <w:left w:val="single" w:color="auto" w:sz="4" w:space="0"/>
                    <w:bottom w:val="single" w:color="auto" w:sz="4" w:space="0"/>
                    <w:right w:val="single" w:color="auto" w:sz="4" w:space="0"/>
                  </w:tcBorders>
                  <w:vAlign w:val="center"/>
                </w:tcPr>
                <w:p>
                  <w:pPr>
                    <w:pStyle w:val="118"/>
                    <w:rPr>
                      <w:rFonts w:hint="default" w:ascii="Times New Roman" w:hAnsi="Times New Roman" w:cs="Times New Roman"/>
                      <w:color w:val="auto"/>
                    </w:rPr>
                  </w:pPr>
                </w:p>
              </w:tc>
            </w:tr>
          </w:tbl>
          <w:p>
            <w:pPr>
              <w:pStyle w:val="116"/>
              <w:ind w:firstLine="480"/>
              <w:rPr>
                <w:rFonts w:hint="default" w:ascii="Times New Roman" w:hAnsi="Times New Roman" w:cs="Times New Roman"/>
                <w:color w:val="auto"/>
              </w:rPr>
            </w:pPr>
            <w:r>
              <w:rPr>
                <w:rFonts w:hint="default" w:ascii="Times New Roman" w:hAnsi="Times New Roman" w:cs="Times New Roman"/>
                <w:color w:val="auto"/>
              </w:rPr>
              <w:t>综上可见，本项目的建设符合国家、广东省的相关产业政策。</w:t>
            </w:r>
          </w:p>
          <w:p>
            <w:pPr>
              <w:adjustRightInd w:val="0"/>
              <w:snapToGrid w:val="0"/>
              <w:spacing w:line="360" w:lineRule="auto"/>
              <w:ind w:firstLine="482" w:firstLineChars="200"/>
              <w:rPr>
                <w:rFonts w:hint="default" w:ascii="Times New Roman" w:hAnsi="Times New Roman" w:cs="Times New Roman"/>
                <w:b/>
                <w:bCs/>
                <w:color w:val="auto"/>
                <w:sz w:val="24"/>
                <w:highlight w:val="none"/>
              </w:rPr>
            </w:pPr>
            <w:r>
              <w:rPr>
                <w:rFonts w:hint="default" w:ascii="Times New Roman" w:hAnsi="Times New Roman" w:cs="Times New Roman"/>
                <w:b/>
                <w:color w:val="auto"/>
                <w:sz w:val="24"/>
                <w:highlight w:val="none"/>
              </w:rPr>
              <w:t>2、与</w:t>
            </w:r>
            <w:bookmarkStart w:id="22" w:name="_Toc515265003"/>
            <w:r>
              <w:rPr>
                <w:rFonts w:hint="default" w:ascii="Times New Roman" w:hAnsi="Times New Roman" w:cs="Times New Roman"/>
                <w:b/>
                <w:bCs/>
                <w:color w:val="auto"/>
                <w:sz w:val="24"/>
                <w:highlight w:val="none"/>
              </w:rPr>
              <w:t>城市总体规划的相符性</w:t>
            </w:r>
            <w:bookmarkEnd w:id="22"/>
            <w:r>
              <w:rPr>
                <w:rFonts w:hint="default" w:ascii="Times New Roman" w:hAnsi="Times New Roman" w:cs="Times New Roman"/>
                <w:b/>
                <w:bCs/>
                <w:color w:val="auto"/>
                <w:sz w:val="24"/>
                <w:highlight w:val="none"/>
              </w:rPr>
              <w:t>分析</w:t>
            </w:r>
          </w:p>
          <w:p>
            <w:pPr>
              <w:adjustRightInd w:val="0"/>
              <w:snapToGrid w:val="0"/>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rPr>
              <w:t>项目位于</w:t>
            </w:r>
            <w:r>
              <w:rPr>
                <w:rFonts w:hint="default" w:ascii="Times New Roman" w:hAnsi="Times New Roman" w:cs="Times New Roman"/>
                <w:color w:val="auto"/>
                <w:sz w:val="24"/>
                <w:lang w:eastAsia="zh-CN"/>
              </w:rPr>
              <w:t>揭东区锡场镇华清村山沟西片</w:t>
            </w:r>
            <w:r>
              <w:rPr>
                <w:rFonts w:hint="default" w:ascii="Times New Roman" w:hAnsi="Times New Roman" w:cs="Times New Roman"/>
                <w:color w:val="auto"/>
                <w:sz w:val="24"/>
              </w:rPr>
              <w:t>，</w:t>
            </w:r>
            <w:r>
              <w:rPr>
                <w:rFonts w:hint="default" w:ascii="Times New Roman" w:hAnsi="Times New Roman" w:cs="Times New Roman"/>
                <w:color w:val="auto"/>
                <w:sz w:val="24"/>
                <w:szCs w:val="22"/>
              </w:rPr>
              <w:t>根据《</w:t>
            </w:r>
            <w:r>
              <w:rPr>
                <w:rFonts w:hint="eastAsia" w:cs="Times New Roman"/>
                <w:color w:val="auto"/>
                <w:sz w:val="24"/>
                <w:szCs w:val="22"/>
                <w:lang w:eastAsia="zh-CN"/>
              </w:rPr>
              <w:t>揭阳</w:t>
            </w:r>
            <w:r>
              <w:rPr>
                <w:rFonts w:hint="default" w:ascii="Times New Roman" w:hAnsi="Times New Roman" w:cs="Times New Roman"/>
                <w:color w:val="auto"/>
                <w:sz w:val="24"/>
                <w:szCs w:val="22"/>
              </w:rPr>
              <w:t>市城市总体规划(201</w:t>
            </w:r>
            <w:r>
              <w:rPr>
                <w:rFonts w:hint="eastAsia" w:cs="Times New Roman"/>
                <w:color w:val="auto"/>
                <w:sz w:val="24"/>
                <w:szCs w:val="22"/>
                <w:lang w:val="en-US" w:eastAsia="zh-CN"/>
              </w:rPr>
              <w:t>1</w:t>
            </w:r>
            <w:r>
              <w:rPr>
                <w:rFonts w:hint="default" w:ascii="Times New Roman" w:hAnsi="Times New Roman" w:cs="Times New Roman"/>
                <w:color w:val="auto"/>
                <w:sz w:val="24"/>
                <w:szCs w:val="22"/>
              </w:rPr>
              <w:t>-2035年)》，</w:t>
            </w:r>
            <w:r>
              <w:rPr>
                <w:rFonts w:hint="default" w:ascii="Times New Roman" w:hAnsi="Times New Roman" w:cs="Times New Roman"/>
                <w:color w:val="auto"/>
                <w:sz w:val="24"/>
                <w:szCs w:val="22"/>
                <w:lang w:eastAsia="zh-CN"/>
              </w:rPr>
              <w:t>项目</w:t>
            </w:r>
            <w:r>
              <w:rPr>
                <w:rFonts w:hint="default" w:ascii="Times New Roman" w:hAnsi="Times New Roman" w:cs="Times New Roman"/>
                <w:color w:val="auto"/>
                <w:sz w:val="24"/>
                <w:lang w:eastAsia="zh-CN"/>
              </w:rPr>
              <w:t>属于该规划</w:t>
            </w:r>
            <w:r>
              <w:rPr>
                <w:rFonts w:hint="default" w:ascii="Times New Roman" w:hAnsi="Times New Roman" w:cs="Times New Roman"/>
                <w:color w:val="auto"/>
                <w:sz w:val="24"/>
                <w:szCs w:val="22"/>
                <w:lang w:eastAsia="zh-CN"/>
              </w:rPr>
              <w:t>中的“中心城区”，根据总体</w:t>
            </w:r>
            <w:r>
              <w:rPr>
                <w:rFonts w:hint="default" w:ascii="Times New Roman" w:hAnsi="Times New Roman" w:cs="Times New Roman"/>
                <w:color w:val="auto"/>
                <w:sz w:val="24"/>
                <w:szCs w:val="22"/>
              </w:rPr>
              <w:t>规划</w:t>
            </w:r>
            <w:r>
              <w:rPr>
                <w:rFonts w:hint="default" w:ascii="Times New Roman" w:hAnsi="Times New Roman" w:cs="Times New Roman"/>
                <w:color w:val="auto"/>
                <w:sz w:val="24"/>
                <w:szCs w:val="22"/>
                <w:lang w:eastAsia="zh-CN"/>
              </w:rPr>
              <w:t>，“中心城区”</w:t>
            </w:r>
            <w:r>
              <w:rPr>
                <w:rFonts w:hint="default" w:ascii="Times New Roman" w:hAnsi="Times New Roman" w:cs="Times New Roman"/>
                <w:color w:val="auto"/>
                <w:sz w:val="24"/>
                <w:szCs w:val="22"/>
              </w:rPr>
              <w:t>形成“一主三副、两轴五组团”的空间结构。</w:t>
            </w:r>
            <w:r>
              <w:rPr>
                <w:rFonts w:hint="default" w:ascii="Times New Roman" w:hAnsi="Times New Roman" w:cs="Times New Roman"/>
                <w:color w:val="auto"/>
                <w:sz w:val="24"/>
                <w:szCs w:val="22"/>
                <w:lang w:eastAsia="zh-CN"/>
              </w:rPr>
              <w:t>中心城区</w:t>
            </w:r>
            <w:r>
              <w:rPr>
                <w:rFonts w:hint="default" w:ascii="Times New Roman" w:hAnsi="Times New Roman" w:cs="Times New Roman"/>
                <w:color w:val="auto"/>
                <w:sz w:val="24"/>
                <w:szCs w:val="22"/>
              </w:rPr>
              <w:t>空间结构规划见表9-</w:t>
            </w:r>
            <w:r>
              <w:rPr>
                <w:rFonts w:hint="default" w:ascii="Times New Roman" w:hAnsi="Times New Roman" w:cs="Times New Roman"/>
                <w:color w:val="auto"/>
                <w:sz w:val="24"/>
                <w:szCs w:val="22"/>
                <w:lang w:val="en-US" w:eastAsia="zh-CN"/>
              </w:rPr>
              <w:t>2</w:t>
            </w:r>
            <w:r>
              <w:rPr>
                <w:rFonts w:hint="default" w:ascii="Times New Roman" w:hAnsi="Times New Roman" w:cs="Times New Roman"/>
                <w:color w:val="auto"/>
                <w:sz w:val="24"/>
                <w:szCs w:val="22"/>
              </w:rPr>
              <w:t>。</w:t>
            </w:r>
          </w:p>
          <w:p>
            <w:pPr>
              <w:adjustRightInd w:val="0"/>
              <w:spacing w:line="360" w:lineRule="auto"/>
              <w:ind w:firstLine="482" w:firstLineChars="200"/>
              <w:jc w:val="center"/>
              <w:rPr>
                <w:rFonts w:hint="default" w:ascii="Times New Roman" w:hAnsi="Times New Roman" w:cs="Times New Roman"/>
                <w:color w:val="auto"/>
                <w:sz w:val="24"/>
              </w:rPr>
            </w:pPr>
            <w:r>
              <w:rPr>
                <w:rFonts w:hint="default" w:ascii="Times New Roman" w:hAnsi="Times New Roman" w:cs="Times New Roman"/>
                <w:b/>
                <w:color w:val="auto"/>
                <w:sz w:val="24"/>
              </w:rPr>
              <w:t xml:space="preserve"> 表9-</w:t>
            </w:r>
            <w:r>
              <w:rPr>
                <w:rFonts w:hint="default" w:ascii="Times New Roman" w:hAnsi="Times New Roman" w:cs="Times New Roman"/>
                <w:b/>
                <w:color w:val="auto"/>
                <w:sz w:val="24"/>
                <w:lang w:val="en-US" w:eastAsia="zh-CN"/>
              </w:rPr>
              <w:t>2</w:t>
            </w:r>
            <w:r>
              <w:rPr>
                <w:rFonts w:hint="default" w:ascii="Times New Roman" w:hAnsi="Times New Roman" w:cs="Times New Roman"/>
                <w:b/>
                <w:color w:val="auto"/>
                <w:sz w:val="24"/>
              </w:rPr>
              <w:t xml:space="preserve">  </w:t>
            </w:r>
            <w:r>
              <w:rPr>
                <w:rFonts w:hint="default" w:ascii="Times New Roman" w:hAnsi="Times New Roman" w:cs="Times New Roman"/>
                <w:b/>
                <w:bCs/>
                <w:color w:val="auto"/>
                <w:sz w:val="24"/>
                <w:lang w:eastAsia="zh-CN"/>
              </w:rPr>
              <w:t>中心城区</w:t>
            </w:r>
            <w:r>
              <w:rPr>
                <w:rFonts w:hint="default" w:ascii="Times New Roman" w:hAnsi="Times New Roman" w:cs="Times New Roman"/>
                <w:b/>
                <w:bCs/>
                <w:color w:val="auto"/>
                <w:sz w:val="24"/>
              </w:rPr>
              <w:t>空间结构规划</w:t>
            </w:r>
          </w:p>
          <w:tbl>
            <w:tblPr>
              <w:tblStyle w:val="31"/>
              <w:tblW w:w="767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1"/>
              <w:gridCol w:w="5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1" w:type="dxa"/>
                  <w:vAlign w:val="center"/>
                </w:tcPr>
                <w:p>
                  <w:pPr>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空间结构规划</w:t>
                  </w:r>
                </w:p>
              </w:tc>
              <w:tc>
                <w:tcPr>
                  <w:tcW w:w="5752" w:type="dxa"/>
                  <w:vAlign w:val="center"/>
                </w:tcPr>
                <w:p>
                  <w:pPr>
                    <w:jc w:val="center"/>
                    <w:rPr>
                      <w:rFonts w:hint="default" w:ascii="Times New Roman" w:hAnsi="Times New Roman" w:eastAsia="宋体" w:cs="Times New Roman"/>
                      <w:b/>
                      <w:bCs/>
                      <w:color w:val="auto"/>
                      <w:kern w:val="0"/>
                      <w:szCs w:val="21"/>
                      <w:lang w:eastAsia="zh-CN"/>
                    </w:rPr>
                  </w:pPr>
                  <w:r>
                    <w:rPr>
                      <w:rFonts w:hint="default" w:ascii="Times New Roman" w:hAnsi="Times New Roman" w:cs="Times New Roman"/>
                      <w:b/>
                      <w:bCs/>
                      <w:color w:val="auto"/>
                      <w:kern w:val="0"/>
                      <w:szCs w:val="21"/>
                      <w:lang w:eastAsia="zh-CN"/>
                    </w:rPr>
                    <w:t>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1"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一主</w:t>
                  </w:r>
                </w:p>
              </w:tc>
              <w:tc>
                <w:tcPr>
                  <w:tcW w:w="5752"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即流沙大道城市主中心。规划依托现有基础，进一步完善商业、购物、公服等生活性服务设施，打造市区综合性城市中心。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1"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三副</w:t>
                  </w:r>
                </w:p>
              </w:tc>
              <w:tc>
                <w:tcPr>
                  <w:tcW w:w="5752"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即北二环城市副中心、东部服装产业集聚区城市副中心、高铁起步区城市副中心。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1"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两轴</w:t>
                  </w:r>
                </w:p>
              </w:tc>
              <w:tc>
                <w:tcPr>
                  <w:tcW w:w="5752"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城市综合发展轴和大健康产业发展轴。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1"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sz w:val="24"/>
                      <w:szCs w:val="22"/>
                    </w:rPr>
                    <w:t>五组团</w:t>
                  </w:r>
                </w:p>
              </w:tc>
              <w:tc>
                <w:tcPr>
                  <w:tcW w:w="5752"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城市宜居生活组团、服装产业集聚组团、医药产业集聚组团、综合产业集聚组团、白坑湖生态休闲组团。</w:t>
                  </w:r>
                </w:p>
              </w:tc>
            </w:tr>
          </w:tbl>
          <w:p>
            <w:pPr>
              <w:rPr>
                <w:rFonts w:hint="default" w:ascii="Times New Roman" w:hAnsi="Times New Roman" w:cs="Times New Roman"/>
                <w:color w:val="auto"/>
                <w:sz w:val="24"/>
                <w:szCs w:val="22"/>
              </w:rPr>
            </w:pP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w:t>
            </w:r>
            <w:r>
              <w:rPr>
                <w:rFonts w:hint="default" w:ascii="Times New Roman" w:hAnsi="Times New Roman" w:cs="Times New Roman"/>
                <w:color w:val="auto"/>
                <w:sz w:val="24"/>
                <w:lang w:eastAsia="zh-CN"/>
              </w:rPr>
              <w:t>属于该规划</w:t>
            </w:r>
            <w:r>
              <w:rPr>
                <w:rFonts w:hint="default" w:ascii="Times New Roman" w:hAnsi="Times New Roman" w:cs="Times New Roman"/>
                <w:color w:val="auto"/>
                <w:sz w:val="24"/>
                <w:szCs w:val="22"/>
                <w:lang w:eastAsia="zh-CN"/>
              </w:rPr>
              <w:t>中的“中心城区”的“一主”，本项目为</w:t>
            </w:r>
            <w:r>
              <w:rPr>
                <w:rFonts w:hint="eastAsia" w:cs="Times New Roman"/>
                <w:color w:val="auto"/>
                <w:sz w:val="24"/>
                <w:szCs w:val="22"/>
                <w:highlight w:val="none"/>
                <w:lang w:eastAsia="zh-CN"/>
              </w:rPr>
              <w:t>医疗卫生服务设施建设</w:t>
            </w:r>
            <w:r>
              <w:rPr>
                <w:rFonts w:hint="default" w:ascii="Times New Roman" w:hAnsi="Times New Roman" w:cs="Times New Roman"/>
                <w:color w:val="auto"/>
                <w:sz w:val="24"/>
              </w:rPr>
              <w:t>，</w:t>
            </w:r>
            <w:r>
              <w:rPr>
                <w:rFonts w:hint="default" w:ascii="Times New Roman" w:hAnsi="Times New Roman" w:cs="Times New Roman"/>
                <w:color w:val="auto"/>
                <w:sz w:val="24"/>
                <w:lang w:eastAsia="zh-CN"/>
              </w:rPr>
              <w:t>符合规划要求的完善公服等生活性服务设施。</w:t>
            </w:r>
            <w:r>
              <w:rPr>
                <w:rFonts w:hint="default" w:ascii="Times New Roman" w:hAnsi="Times New Roman" w:cs="Times New Roman"/>
                <w:color w:val="auto"/>
                <w:sz w:val="24"/>
              </w:rPr>
              <w:t>因此，项目的建设</w:t>
            </w:r>
            <w:r>
              <w:rPr>
                <w:rFonts w:hint="default" w:ascii="Times New Roman" w:hAnsi="Times New Roman" w:cs="Times New Roman"/>
                <w:color w:val="auto"/>
                <w:sz w:val="24"/>
                <w:lang w:eastAsia="zh-CN"/>
              </w:rPr>
              <w:t>符合</w:t>
            </w:r>
            <w:r>
              <w:rPr>
                <w:rFonts w:hint="default" w:ascii="Times New Roman" w:hAnsi="Times New Roman" w:cs="Times New Roman"/>
                <w:color w:val="auto"/>
                <w:sz w:val="24"/>
                <w:szCs w:val="22"/>
              </w:rPr>
              <w:t>《</w:t>
            </w:r>
            <w:r>
              <w:rPr>
                <w:rFonts w:hint="eastAsia" w:cs="Times New Roman"/>
                <w:color w:val="auto"/>
                <w:sz w:val="24"/>
                <w:szCs w:val="22"/>
                <w:lang w:eastAsia="zh-CN"/>
              </w:rPr>
              <w:t>揭阳市</w:t>
            </w:r>
            <w:r>
              <w:rPr>
                <w:rFonts w:hint="default" w:ascii="Times New Roman" w:hAnsi="Times New Roman" w:cs="Times New Roman"/>
                <w:color w:val="auto"/>
                <w:sz w:val="24"/>
                <w:szCs w:val="22"/>
              </w:rPr>
              <w:t>城市总体规划(201</w:t>
            </w:r>
            <w:r>
              <w:rPr>
                <w:rFonts w:hint="eastAsia" w:cs="Times New Roman"/>
                <w:color w:val="auto"/>
                <w:sz w:val="24"/>
                <w:szCs w:val="22"/>
                <w:lang w:val="en-US" w:eastAsia="zh-CN"/>
              </w:rPr>
              <w:t>1</w:t>
            </w:r>
            <w:r>
              <w:rPr>
                <w:rFonts w:hint="default" w:ascii="Times New Roman" w:hAnsi="Times New Roman" w:cs="Times New Roman"/>
                <w:color w:val="auto"/>
                <w:sz w:val="24"/>
                <w:szCs w:val="22"/>
              </w:rPr>
              <w:t>-2035年)》</w:t>
            </w:r>
            <w:r>
              <w:rPr>
                <w:rFonts w:hint="default" w:ascii="Times New Roman" w:hAnsi="Times New Roman" w:cs="Times New Roman"/>
                <w:color w:val="auto"/>
                <w:sz w:val="24"/>
              </w:rPr>
              <w:t>。</w:t>
            </w:r>
          </w:p>
          <w:p>
            <w:pPr>
              <w:keepLines/>
              <w:numPr>
                <w:ilvl w:val="0"/>
                <w:numId w:val="4"/>
              </w:numPr>
              <w:adjustRightInd w:val="0"/>
              <w:snapToGrid w:val="0"/>
              <w:spacing w:line="360" w:lineRule="auto"/>
              <w:outlineLvl w:val="2"/>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选址合理性分析</w:t>
            </w:r>
          </w:p>
          <w:p>
            <w:pPr>
              <w:keepLines/>
              <w:adjustRightInd w:val="0"/>
              <w:snapToGrid w:val="0"/>
              <w:spacing w:line="360" w:lineRule="auto"/>
              <w:ind w:firstLine="480" w:firstLineChars="200"/>
              <w:outlineLvl w:val="2"/>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项目位于</w:t>
            </w:r>
            <w:r>
              <w:rPr>
                <w:rFonts w:hint="default" w:ascii="Times New Roman" w:hAnsi="Times New Roman" w:cs="Times New Roman"/>
                <w:color w:val="auto"/>
                <w:sz w:val="24"/>
                <w:highlight w:val="none"/>
                <w:lang w:eastAsia="zh-CN"/>
              </w:rPr>
              <w:t>揭东区锡场镇华清村山沟西片</w:t>
            </w:r>
            <w:r>
              <w:rPr>
                <w:rFonts w:hint="default" w:ascii="Times New Roman" w:hAnsi="Times New Roman" w:cs="Times New Roman"/>
                <w:bCs/>
                <w:color w:val="auto"/>
                <w:sz w:val="24"/>
                <w:highlight w:val="none"/>
              </w:rPr>
              <w:t>，根据</w:t>
            </w:r>
            <w:r>
              <w:rPr>
                <w:rFonts w:hint="eastAsia" w:cs="Times New Roman"/>
                <w:bCs/>
                <w:color w:val="auto"/>
                <w:sz w:val="24"/>
                <w:highlight w:val="none"/>
                <w:lang w:eastAsia="zh-CN"/>
              </w:rPr>
              <w:t>项目提供的用地证明，属于企业用地</w:t>
            </w:r>
            <w:r>
              <w:rPr>
                <w:rFonts w:hint="default" w:ascii="Times New Roman" w:hAnsi="Times New Roman" w:cs="Times New Roman"/>
                <w:bCs/>
                <w:color w:val="auto"/>
                <w:sz w:val="24"/>
                <w:highlight w:val="none"/>
              </w:rPr>
              <w:t>。</w:t>
            </w:r>
            <w:r>
              <w:rPr>
                <w:rFonts w:hint="default" w:ascii="Times New Roman" w:hAnsi="Times New Roman" w:cs="Times New Roman"/>
                <w:bCs/>
                <w:color w:val="auto"/>
                <w:sz w:val="24"/>
                <w:highlight w:val="none"/>
                <w:lang w:eastAsia="zh-CN"/>
              </w:rPr>
              <w:t>因此，</w:t>
            </w:r>
            <w:r>
              <w:rPr>
                <w:rFonts w:hint="default" w:ascii="Times New Roman" w:hAnsi="Times New Roman" w:cs="Times New Roman"/>
                <w:bCs/>
                <w:color w:val="auto"/>
                <w:sz w:val="24"/>
                <w:highlight w:val="none"/>
              </w:rPr>
              <w:t>项目选址</w:t>
            </w:r>
            <w:r>
              <w:rPr>
                <w:rFonts w:hint="default" w:ascii="Times New Roman" w:hAnsi="Times New Roman" w:cs="Times New Roman"/>
                <w:bCs/>
                <w:color w:val="auto"/>
                <w:sz w:val="24"/>
                <w:highlight w:val="none"/>
                <w:lang w:eastAsia="zh-CN"/>
              </w:rPr>
              <w:t>合理</w:t>
            </w:r>
            <w:r>
              <w:rPr>
                <w:rFonts w:hint="default" w:ascii="Times New Roman" w:hAnsi="Times New Roman" w:cs="Times New Roman"/>
                <w:bCs/>
                <w:color w:val="auto"/>
                <w:sz w:val="24"/>
                <w:highlight w:val="none"/>
              </w:rPr>
              <w:t>。</w:t>
            </w:r>
          </w:p>
          <w:p>
            <w:pPr>
              <w:keepLines/>
              <w:adjustRightInd w:val="0"/>
              <w:snapToGrid w:val="0"/>
              <w:spacing w:line="360" w:lineRule="auto"/>
              <w:ind w:firstLine="480"/>
              <w:outlineLvl w:val="2"/>
              <w:rPr>
                <w:rFonts w:hint="default" w:ascii="Times New Roman" w:hAnsi="Times New Roman" w:cs="Times New Roman"/>
                <w:b/>
                <w:bCs/>
                <w:color w:val="auto"/>
                <w:sz w:val="24"/>
                <w:szCs w:val="32"/>
                <w:highlight w:val="none"/>
              </w:rPr>
            </w:pPr>
            <w:r>
              <w:rPr>
                <w:rFonts w:hint="default" w:ascii="Times New Roman" w:hAnsi="Times New Roman" w:cs="Times New Roman"/>
                <w:b/>
                <w:bCs/>
                <w:color w:val="auto"/>
                <w:sz w:val="24"/>
                <w:szCs w:val="32"/>
                <w:highlight w:val="none"/>
              </w:rPr>
              <w:t>4</w:t>
            </w:r>
            <w:bookmarkStart w:id="23" w:name="_Toc493854119"/>
            <w:bookmarkStart w:id="24" w:name="_Toc515265005"/>
            <w:r>
              <w:rPr>
                <w:rFonts w:hint="default" w:ascii="Times New Roman" w:hAnsi="Times New Roman" w:cs="Times New Roman"/>
                <w:b/>
                <w:bCs/>
                <w:color w:val="auto"/>
                <w:sz w:val="24"/>
                <w:szCs w:val="32"/>
                <w:highlight w:val="none"/>
              </w:rPr>
              <w:t>、与环境保护规划相符性分析</w:t>
            </w:r>
            <w:bookmarkEnd w:id="23"/>
            <w:bookmarkEnd w:id="24"/>
          </w:p>
          <w:p>
            <w:pPr>
              <w:keepLines/>
              <w:adjustRightInd w:val="0"/>
              <w:snapToGrid w:val="0"/>
              <w:spacing w:line="360" w:lineRule="auto"/>
              <w:ind w:firstLine="480" w:firstLineChars="200"/>
              <w:outlineLvl w:val="2"/>
              <w:rPr>
                <w:rFonts w:hint="default" w:ascii="Times New Roman" w:hAnsi="Times New Roman" w:cs="Times New Roman"/>
                <w:bCs/>
                <w:color w:val="auto"/>
                <w:sz w:val="24"/>
                <w:szCs w:val="32"/>
                <w:highlight w:val="none"/>
              </w:rPr>
            </w:pPr>
            <w:r>
              <w:rPr>
                <w:rFonts w:hint="default" w:ascii="Times New Roman" w:hAnsi="Times New Roman" w:cs="Times New Roman"/>
                <w:bCs/>
                <w:color w:val="auto"/>
                <w:sz w:val="24"/>
                <w:szCs w:val="32"/>
                <w:highlight w:val="none"/>
              </w:rPr>
              <w:t xml:space="preserve">《关于印发广东省主体功能区规划的配套环保政策的通知》（粤环〔2014〕7号）提出：“重点开发区坚持发展中保护，优化区域资源环境配置，引导产业集约发展，全力推进综合防控，保持环境质量稳定：“禁止在自然保护区核心区和缓冲区进行包括旅游、种植和野生动植物繁育在内的开发活动；严格控制风景名胜区、森林公园、湿地公园内人工景观建设。” </w:t>
            </w:r>
          </w:p>
          <w:p>
            <w:pPr>
              <w:keepLines/>
              <w:adjustRightInd w:val="0"/>
              <w:snapToGrid w:val="0"/>
              <w:spacing w:line="360" w:lineRule="auto"/>
              <w:ind w:firstLine="480" w:firstLineChars="200"/>
              <w:outlineLvl w:val="2"/>
              <w:rPr>
                <w:rFonts w:hint="default" w:ascii="Times New Roman" w:hAnsi="Times New Roman" w:cs="Times New Roman"/>
                <w:bCs/>
                <w:color w:val="auto"/>
                <w:sz w:val="24"/>
                <w:szCs w:val="32"/>
                <w:highlight w:val="none"/>
              </w:rPr>
            </w:pPr>
            <w:r>
              <w:rPr>
                <w:rFonts w:hint="default" w:ascii="Times New Roman" w:hAnsi="Times New Roman" w:cs="Times New Roman"/>
                <w:bCs/>
                <w:color w:val="auto"/>
                <w:sz w:val="24"/>
                <w:szCs w:val="32"/>
                <w:highlight w:val="none"/>
              </w:rPr>
              <w:t>本项目不属于自然保护区核心区和缓冲区、风景名胜区、森林公园、湿地公园，属于重点开发区域中的国家级重点开发域的海峡西岸经济区粤东部分；项目</w:t>
            </w:r>
            <w:r>
              <w:rPr>
                <w:rFonts w:hint="default" w:ascii="Times New Roman" w:hAnsi="Times New Roman" w:cs="Times New Roman"/>
                <w:bCs/>
                <w:color w:val="auto"/>
                <w:sz w:val="24"/>
                <w:szCs w:val="32"/>
                <w:highlight w:val="none"/>
                <w:lang w:eastAsia="zh-CN"/>
              </w:rPr>
              <w:t>医疗废水、</w:t>
            </w:r>
            <w:r>
              <w:rPr>
                <w:rFonts w:hint="default" w:ascii="Times New Roman" w:hAnsi="Times New Roman" w:cs="Times New Roman"/>
                <w:bCs/>
                <w:color w:val="auto"/>
                <w:sz w:val="24"/>
                <w:szCs w:val="32"/>
                <w:highlight w:val="none"/>
              </w:rPr>
              <w:t>生活污水</w:t>
            </w:r>
            <w:r>
              <w:rPr>
                <w:rFonts w:hint="eastAsia" w:cs="Times New Roman"/>
                <w:bCs/>
                <w:color w:val="auto"/>
                <w:sz w:val="24"/>
                <w:szCs w:val="32"/>
                <w:highlight w:val="none"/>
                <w:lang w:eastAsia="zh-CN"/>
              </w:rPr>
              <w:t>、洗衣房废水</w:t>
            </w:r>
            <w:r>
              <w:rPr>
                <w:rFonts w:hint="default" w:ascii="Times New Roman" w:hAnsi="Times New Roman" w:cs="Times New Roman"/>
                <w:bCs/>
                <w:color w:val="auto"/>
                <w:sz w:val="24"/>
                <w:szCs w:val="32"/>
                <w:highlight w:val="none"/>
              </w:rPr>
              <w:t>经污水处理设施处理</w:t>
            </w:r>
            <w:r>
              <w:rPr>
                <w:rFonts w:hint="default" w:ascii="Times New Roman" w:hAnsi="Times New Roman" w:cs="Times New Roman"/>
                <w:bCs/>
                <w:color w:val="auto"/>
                <w:sz w:val="24"/>
                <w:szCs w:val="32"/>
                <w:highlight w:val="none"/>
                <w:lang w:val="en-US" w:eastAsia="zh-CN"/>
              </w:rPr>
              <w:t>达到《城市污水再生利用 城市杂用水水质》（GB/T18920-2002）中“城市绿化”标准后回用项目周边绿化用水</w:t>
            </w:r>
            <w:r>
              <w:rPr>
                <w:rFonts w:hint="default" w:ascii="Times New Roman" w:hAnsi="Times New Roman" w:cs="Times New Roman"/>
                <w:bCs/>
                <w:color w:val="auto"/>
                <w:sz w:val="24"/>
                <w:szCs w:val="32"/>
                <w:highlight w:val="none"/>
              </w:rPr>
              <w:t>。因此，本项目符合广东省主体功能区规划的配套环保政策。</w:t>
            </w:r>
          </w:p>
          <w:p>
            <w:pPr>
              <w:keepNext w:val="0"/>
              <w:keepLines w:val="0"/>
              <w:widowControl/>
              <w:suppressLineNumbers w:val="0"/>
              <w:spacing w:line="360" w:lineRule="auto"/>
              <w:ind w:left="239" w:leftChars="114" w:firstLine="318" w:firstLineChars="132"/>
              <w:jc w:val="left"/>
              <w:rPr>
                <w:rFonts w:hint="default" w:ascii="Times New Roman" w:hAnsi="Times New Roman" w:cs="Times New Roman"/>
                <w:b/>
                <w:color w:val="auto"/>
                <w:sz w:val="24"/>
                <w:highlight w:val="none"/>
                <w:lang w:val="en-US" w:eastAsia="zh-CN"/>
              </w:rPr>
            </w:pPr>
            <w:bookmarkStart w:id="25" w:name="_Toc493854120"/>
            <w:bookmarkStart w:id="26" w:name="_Toc515265006"/>
            <w:bookmarkStart w:id="27" w:name="_Toc427251473"/>
            <w:r>
              <w:rPr>
                <w:rFonts w:hint="default" w:ascii="Times New Roman" w:hAnsi="Times New Roman" w:cs="Times New Roman"/>
                <w:b/>
                <w:color w:val="auto"/>
                <w:sz w:val="24"/>
                <w:highlight w:val="none"/>
                <w:lang w:val="en-US" w:eastAsia="zh-CN"/>
              </w:rPr>
              <w:t>5、与“三线一单”相符性分析</w:t>
            </w:r>
          </w:p>
          <w:p>
            <w:pPr>
              <w:keepNext w:val="0"/>
              <w:keepLines w:val="0"/>
              <w:widowControl/>
              <w:suppressLineNumbers w:val="0"/>
              <w:spacing w:line="360" w:lineRule="auto"/>
              <w:ind w:left="0" w:leftChars="0" w:firstLine="552" w:firstLineChars="230"/>
              <w:jc w:val="left"/>
              <w:rPr>
                <w:rFonts w:hint="default" w:ascii="Times New Roman" w:hAnsi="Times New Roman" w:cs="Times New Roman"/>
                <w:color w:val="auto"/>
              </w:rPr>
            </w:pPr>
            <w:r>
              <w:rPr>
                <w:rFonts w:hint="default" w:ascii="Times New Roman" w:hAnsi="Times New Roman" w:cs="Times New Roman"/>
                <w:color w:val="auto"/>
                <w:sz w:val="24"/>
                <w:highlight w:val="none"/>
                <w:lang w:val="en-US" w:eastAsia="zh-CN"/>
              </w:rPr>
              <w:t>根据环境保护部印发的《“十三五”环境影响评价改革实施方案》，“三线一单”是以改善环境质量为核心，将生态保护红线、环境质量底线、资源利用上线落实到不同的环境管控单元，并建立环境准入负面清单的环境分区管控体系。“三线一单”是推动生态环境保护管理系统化、科学化、法治化、精细化、信息化的重要抓手，是推进战略和规划环评落地、环境保护参与空间规划和优化国土空间格局的基础支撑，是实施环境空间管控、强化源头预防和过程监管的重要手段。以下是本项目与“三线一单”的相符性分析：</w:t>
            </w:r>
            <w:r>
              <w:rPr>
                <w:rFonts w:hint="default" w:ascii="Times New Roman" w:hAnsi="Times New Roman" w:cs="Times New Roman"/>
                <w:bCs/>
                <w:color w:val="auto"/>
                <w:sz w:val="24"/>
                <w:szCs w:val="32"/>
                <w:highlight w:val="none"/>
                <w:lang w:val="en-US" w:eastAsia="zh-CN"/>
              </w:rPr>
              <w:br w:type="textWrapping"/>
            </w:r>
            <w:r>
              <w:rPr>
                <w:rFonts w:hint="default" w:ascii="Times New Roman" w:hAnsi="Times New Roman" w:cs="Times New Roman"/>
                <w:bCs/>
                <w:color w:val="auto"/>
                <w:sz w:val="24"/>
                <w:szCs w:val="32"/>
                <w:highlight w:val="none"/>
                <w:lang w:val="en-US" w:eastAsia="zh-CN"/>
              </w:rPr>
              <w:t xml:space="preserve">   （1）生态保护红线：本项目位于</w:t>
            </w:r>
            <w:r>
              <w:rPr>
                <w:rFonts w:hint="default" w:ascii="Times New Roman" w:hAnsi="Times New Roman" w:cs="Times New Roman"/>
                <w:color w:val="auto"/>
                <w:sz w:val="24"/>
                <w:highlight w:val="none"/>
                <w:lang w:eastAsia="zh-CN"/>
              </w:rPr>
              <w:t>揭东区锡场镇华清村山沟西片</w:t>
            </w:r>
            <w:r>
              <w:rPr>
                <w:rFonts w:hint="default" w:ascii="Times New Roman" w:hAnsi="Times New Roman" w:cs="Times New Roman"/>
                <w:bCs/>
                <w:color w:val="auto"/>
                <w:sz w:val="24"/>
                <w:szCs w:val="32"/>
                <w:highlight w:val="none"/>
                <w:lang w:val="en-US" w:eastAsia="zh-CN"/>
              </w:rPr>
              <w:t>，属于</w:t>
            </w:r>
            <w:r>
              <w:rPr>
                <w:rFonts w:hint="default" w:ascii="Times New Roman" w:hAnsi="Times New Roman" w:cs="Times New Roman"/>
                <w:color w:val="auto"/>
                <w:sz w:val="24"/>
                <w:highlight w:val="none"/>
                <w:lang w:val="en-US" w:eastAsia="zh-CN"/>
              </w:rPr>
              <w:t>社区卫生服务中心</w:t>
            </w:r>
            <w:r>
              <w:rPr>
                <w:rFonts w:hint="default" w:ascii="Times New Roman" w:hAnsi="Times New Roman" w:cs="Times New Roman"/>
                <w:bCs/>
                <w:color w:val="auto"/>
                <w:sz w:val="24"/>
                <w:szCs w:val="32"/>
                <w:highlight w:val="none"/>
                <w:lang w:val="en-US" w:eastAsia="zh-CN"/>
              </w:rPr>
              <w:t>。根据项目所在地建设用地规划许可证[普城规（2019）005号]，本项目用地属于医疗卫生用地，查阅《揭阳市环境保护规划（2007-2020年》），本项目所在地不属于生态严格控制区（见附图4），因此，项目的建设符合生态保护红线要求。</w:t>
            </w:r>
            <w:r>
              <w:rPr>
                <w:rFonts w:hint="default" w:ascii="Times New Roman" w:hAnsi="Times New Roman" w:cs="Times New Roman"/>
                <w:bCs/>
                <w:color w:val="auto"/>
                <w:sz w:val="24"/>
                <w:szCs w:val="32"/>
                <w:highlight w:val="none"/>
                <w:lang w:val="en-US" w:eastAsia="zh-CN"/>
              </w:rPr>
              <w:br w:type="textWrapping"/>
            </w:r>
            <w:r>
              <w:rPr>
                <w:rFonts w:hint="default" w:ascii="Times New Roman" w:hAnsi="Times New Roman" w:cs="Times New Roman"/>
                <w:bCs/>
                <w:color w:val="auto"/>
                <w:sz w:val="24"/>
                <w:szCs w:val="32"/>
                <w:highlight w:val="none"/>
                <w:lang w:val="en-US" w:eastAsia="zh-CN"/>
              </w:rPr>
              <w:t xml:space="preserve">   （2）资源利用上线：项目营运过程中消耗一定量的电源、水资源等资源消耗，项目资源消耗量相对区域资源利用总量较少，符合资源利用上线要求。</w:t>
            </w:r>
            <w:r>
              <w:rPr>
                <w:rFonts w:hint="default" w:ascii="Times New Roman" w:hAnsi="Times New Roman" w:cs="Times New Roman"/>
                <w:bCs/>
                <w:color w:val="auto"/>
                <w:sz w:val="24"/>
                <w:szCs w:val="32"/>
                <w:highlight w:val="none"/>
                <w:lang w:val="en-US" w:eastAsia="zh-CN"/>
              </w:rPr>
              <w:br w:type="textWrapping"/>
            </w:r>
            <w:r>
              <w:rPr>
                <w:rFonts w:hint="default" w:ascii="Times New Roman" w:hAnsi="Times New Roman" w:cs="Times New Roman"/>
                <w:bCs/>
                <w:color w:val="auto"/>
                <w:sz w:val="24"/>
                <w:szCs w:val="32"/>
                <w:highlight w:val="none"/>
                <w:lang w:val="en-US" w:eastAsia="zh-CN"/>
              </w:rPr>
              <w:t xml:space="preserve">   （3）环境质量底线：本项目大气环境现状能满足《环境空气质量标准》（GB3095-2012）</w:t>
            </w:r>
            <w:r>
              <w:rPr>
                <w:rFonts w:hint="default" w:ascii="Times New Roman" w:hAnsi="Times New Roman" w:cs="Times New Roman"/>
                <w:bCs/>
                <w:color w:val="auto"/>
                <w:sz w:val="24"/>
                <w:szCs w:val="24"/>
                <w:highlight w:val="none"/>
                <w:lang w:eastAsia="zh-CN"/>
              </w:rPr>
              <w:t>及</w:t>
            </w:r>
            <w:r>
              <w:rPr>
                <w:rFonts w:hint="default" w:ascii="Times New Roman" w:hAnsi="Times New Roman" w:cs="Times New Roman"/>
                <w:bCs/>
                <w:color w:val="auto"/>
                <w:sz w:val="24"/>
                <w:szCs w:val="24"/>
                <w:highlight w:val="none"/>
                <w:lang w:val="en-US" w:eastAsia="zh-CN"/>
              </w:rPr>
              <w:t>2018年</w:t>
            </w:r>
            <w:r>
              <w:rPr>
                <w:rFonts w:hint="default" w:ascii="Times New Roman" w:hAnsi="Times New Roman" w:cs="Times New Roman"/>
                <w:bCs/>
                <w:color w:val="auto"/>
                <w:sz w:val="24"/>
                <w:szCs w:val="24"/>
                <w:highlight w:val="none"/>
                <w:lang w:eastAsia="zh-CN"/>
              </w:rPr>
              <w:t>修改单</w:t>
            </w:r>
            <w:r>
              <w:rPr>
                <w:rFonts w:hint="default" w:ascii="Times New Roman" w:hAnsi="Times New Roman" w:cs="Times New Roman"/>
                <w:bCs/>
                <w:color w:val="auto"/>
                <w:sz w:val="24"/>
                <w:szCs w:val="32"/>
                <w:highlight w:val="none"/>
                <w:lang w:val="en-US" w:eastAsia="zh-CN"/>
              </w:rPr>
              <w:t>二级标准和声环境现状能满足《声环境质量标准》（GB3096-2008）中的2类标准。项目纳污水体练江现水质量属于劣Ⅴ类水，属于重度污染。由于本项目属于污水处理厂服务范围内相关设施配套工程，对改善区域环境质量具有十分积极的意义，符合环境质量底线要求。</w:t>
            </w:r>
            <w:r>
              <w:rPr>
                <w:rFonts w:hint="default" w:ascii="Times New Roman" w:hAnsi="Times New Roman" w:cs="Times New Roman"/>
                <w:bCs/>
                <w:color w:val="auto"/>
                <w:sz w:val="24"/>
                <w:szCs w:val="32"/>
                <w:highlight w:val="none"/>
                <w:lang w:val="en-US" w:eastAsia="zh-CN"/>
              </w:rPr>
              <w:br w:type="textWrapping"/>
            </w:r>
            <w:r>
              <w:rPr>
                <w:rFonts w:hint="default" w:ascii="Times New Roman" w:hAnsi="Times New Roman" w:cs="Times New Roman"/>
                <w:bCs/>
                <w:color w:val="auto"/>
                <w:sz w:val="24"/>
                <w:szCs w:val="32"/>
                <w:lang w:val="en-US" w:eastAsia="zh-CN"/>
              </w:rPr>
              <w:t xml:space="preserve">  （4）负面清单：本项目位于</w:t>
            </w:r>
            <w:r>
              <w:rPr>
                <w:rFonts w:hint="default" w:ascii="Times New Roman" w:hAnsi="Times New Roman" w:cs="Times New Roman"/>
                <w:color w:val="auto"/>
                <w:sz w:val="24"/>
                <w:lang w:eastAsia="zh-CN"/>
              </w:rPr>
              <w:t>揭东区锡场镇华清村山沟西片</w:t>
            </w:r>
            <w:r>
              <w:rPr>
                <w:rFonts w:hint="default" w:ascii="Times New Roman" w:hAnsi="Times New Roman" w:cs="Times New Roman"/>
                <w:bCs/>
                <w:color w:val="auto"/>
                <w:sz w:val="24"/>
                <w:szCs w:val="32"/>
                <w:lang w:val="en-US" w:eastAsia="zh-CN"/>
              </w:rPr>
              <w:t>，根据《广东省人民政府关于印发广东省主体功能区规划的通知》（粤府〔2012〕120号），</w:t>
            </w:r>
            <w:r>
              <w:rPr>
                <w:rFonts w:hint="eastAsia" w:cs="Times New Roman"/>
                <w:bCs/>
                <w:color w:val="auto"/>
                <w:sz w:val="24"/>
                <w:szCs w:val="32"/>
                <w:highlight w:val="none"/>
                <w:lang w:val="en-US" w:eastAsia="zh-CN"/>
              </w:rPr>
              <w:t>经</w:t>
            </w:r>
            <w:r>
              <w:rPr>
                <w:rFonts w:hint="default" w:ascii="Times New Roman" w:hAnsi="Times New Roman" w:cs="Times New Roman"/>
                <w:bCs/>
                <w:color w:val="auto"/>
                <w:sz w:val="24"/>
                <w:szCs w:val="32"/>
                <w:highlight w:val="none"/>
                <w:lang w:val="en-US" w:eastAsia="zh-CN"/>
              </w:rPr>
              <w:t>阅《广东省重点开发区产业准入负面清单》（2018年本），本项目不在环境功能区负面清单内。</w:t>
            </w:r>
            <w:r>
              <w:rPr>
                <w:rFonts w:hint="default" w:ascii="Times New Roman" w:hAnsi="Times New Roman" w:cs="Times New Roman"/>
                <w:bCs/>
                <w:color w:val="auto"/>
                <w:sz w:val="24"/>
                <w:szCs w:val="32"/>
                <w:highlight w:val="none"/>
                <w:lang w:val="en-US" w:eastAsia="zh-CN"/>
              </w:rPr>
              <w:br w:type="textWrapping"/>
            </w:r>
            <w:r>
              <w:rPr>
                <w:rFonts w:hint="default" w:ascii="Times New Roman" w:hAnsi="Times New Roman" w:cs="Times New Roman"/>
                <w:bCs/>
                <w:color w:val="auto"/>
                <w:sz w:val="24"/>
                <w:szCs w:val="32"/>
                <w:lang w:val="en-US" w:eastAsia="zh-CN"/>
              </w:rPr>
              <w:t xml:space="preserve">    所以，本项目符合“三线一单”的要求。 </w:t>
            </w:r>
          </w:p>
          <w:p>
            <w:pPr>
              <w:keepNext/>
              <w:keepLines/>
              <w:numPr>
                <w:ilvl w:val="1"/>
                <w:numId w:val="0"/>
              </w:numPr>
              <w:tabs>
                <w:tab w:val="left" w:pos="0"/>
                <w:tab w:val="left" w:pos="2411"/>
              </w:tabs>
              <w:spacing w:line="360" w:lineRule="auto"/>
              <w:ind w:firstLine="482" w:firstLineChars="200"/>
              <w:outlineLvl w:val="1"/>
              <w:rPr>
                <w:rFonts w:hint="default" w:ascii="Times New Roman" w:hAnsi="Times New Roman" w:cs="Times New Roman"/>
                <w:b/>
                <w:color w:val="auto"/>
                <w:sz w:val="24"/>
              </w:rPr>
            </w:pPr>
            <w:r>
              <w:rPr>
                <w:rFonts w:hint="default" w:ascii="Times New Roman" w:hAnsi="Times New Roman" w:cs="Times New Roman"/>
                <w:b/>
                <w:color w:val="auto"/>
                <w:sz w:val="24"/>
                <w:lang w:val="en-US" w:eastAsia="zh-CN"/>
              </w:rPr>
              <w:t>6</w:t>
            </w:r>
            <w:r>
              <w:rPr>
                <w:rFonts w:hint="default" w:ascii="Times New Roman" w:hAnsi="Times New Roman" w:cs="Times New Roman"/>
                <w:b/>
                <w:color w:val="auto"/>
                <w:sz w:val="24"/>
              </w:rPr>
              <w:t>、与其他相关文件的相符性分析</w:t>
            </w:r>
            <w:bookmarkEnd w:id="25"/>
            <w:bookmarkEnd w:id="26"/>
            <w:bookmarkEnd w:id="27"/>
          </w:p>
          <w:p>
            <w:pPr>
              <w:keepNext/>
              <w:keepLines/>
              <w:spacing w:line="360" w:lineRule="auto"/>
              <w:ind w:firstLine="482" w:firstLineChars="200"/>
              <w:outlineLvl w:val="2"/>
              <w:rPr>
                <w:rFonts w:hint="default" w:ascii="Times New Roman" w:hAnsi="Times New Roman" w:cs="Times New Roman"/>
                <w:b/>
                <w:color w:val="auto"/>
                <w:sz w:val="24"/>
              </w:rPr>
            </w:pPr>
            <w:bookmarkStart w:id="28" w:name="_Toc493854122"/>
            <w:bookmarkStart w:id="29" w:name="_Toc515265008"/>
            <w:bookmarkStart w:id="30" w:name="_Toc493782234"/>
            <w:r>
              <w:rPr>
                <w:rFonts w:hint="eastAsia" w:cs="Times New Roman"/>
                <w:b/>
                <w:color w:val="auto"/>
                <w:sz w:val="24"/>
                <w:lang w:eastAsia="zh-CN"/>
              </w:rPr>
              <w:t>①</w:t>
            </w:r>
            <w:r>
              <w:rPr>
                <w:rFonts w:hint="default" w:ascii="Times New Roman" w:hAnsi="Times New Roman" w:cs="Times New Roman"/>
                <w:b/>
                <w:color w:val="auto"/>
                <w:sz w:val="24"/>
              </w:rPr>
              <w:t>与广东省饮用水源水质保护条例的相符性</w:t>
            </w:r>
            <w:bookmarkEnd w:id="28"/>
            <w:bookmarkEnd w:id="29"/>
            <w:bookmarkEnd w:id="30"/>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根据《广东省饮用水源水质保护条例》（2010年7月23日广东省第十一届人大常委会第二十次会议修正）的规定，</w:t>
            </w:r>
            <w:r>
              <w:rPr>
                <w:rFonts w:hint="default" w:ascii="Times New Roman" w:hAnsi="Times New Roman" w:cs="Times New Roman"/>
                <w:b w:val="0"/>
                <w:bCs/>
                <w:color w:val="auto"/>
                <w:sz w:val="24"/>
                <w:szCs w:val="22"/>
              </w:rPr>
              <w:t>饮用水地表水源保护区内禁</w:t>
            </w:r>
            <w:r>
              <w:rPr>
                <w:rFonts w:hint="default" w:ascii="Times New Roman" w:hAnsi="Times New Roman" w:cs="Times New Roman"/>
                <w:color w:val="auto"/>
                <w:sz w:val="24"/>
                <w:szCs w:val="22"/>
              </w:rPr>
              <w:t>止新建、扩建排放含持久性有机污染物和含汞、镉、铅、砷、铬等污染物的项目。</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本项目位于</w:t>
            </w:r>
            <w:r>
              <w:rPr>
                <w:rFonts w:hint="default" w:ascii="Times New Roman" w:hAnsi="Times New Roman" w:cs="Times New Roman"/>
                <w:color w:val="auto"/>
                <w:sz w:val="24"/>
                <w:lang w:eastAsia="zh-CN"/>
              </w:rPr>
              <w:t>揭东区锡场镇华清村山沟西片</w:t>
            </w:r>
            <w:r>
              <w:rPr>
                <w:rFonts w:hint="default" w:ascii="Times New Roman" w:hAnsi="Times New Roman" w:cs="Times New Roman"/>
                <w:color w:val="auto"/>
                <w:sz w:val="24"/>
                <w:szCs w:val="22"/>
              </w:rPr>
              <w:t>，不位于饮用水源保护区范围，</w:t>
            </w:r>
            <w:r>
              <w:rPr>
                <w:rFonts w:hint="default" w:ascii="Times New Roman" w:hAnsi="Times New Roman" w:cs="Times New Roman"/>
                <w:bCs/>
                <w:color w:val="auto"/>
                <w:sz w:val="24"/>
                <w:szCs w:val="32"/>
                <w:lang w:eastAsia="zh-CN"/>
              </w:rPr>
              <w:t>医疗废水、</w:t>
            </w:r>
            <w:r>
              <w:rPr>
                <w:rFonts w:hint="default" w:ascii="Times New Roman" w:hAnsi="Times New Roman" w:cs="Times New Roman"/>
                <w:bCs/>
                <w:color w:val="auto"/>
                <w:sz w:val="24"/>
                <w:szCs w:val="32"/>
              </w:rPr>
              <w:t>生活污水经污水处理设施处理</w:t>
            </w:r>
            <w:r>
              <w:rPr>
                <w:rFonts w:hint="default" w:ascii="Times New Roman" w:hAnsi="Times New Roman" w:cs="Times New Roman"/>
                <w:bCs/>
                <w:color w:val="auto"/>
                <w:sz w:val="24"/>
                <w:szCs w:val="32"/>
                <w:lang w:val="en-US" w:eastAsia="zh-CN"/>
              </w:rPr>
              <w:t>达到《城市污水再生利用 城市杂用水水质》（GB/T18920-2002）中“城市绿化”标准后回用项目周边绿化用水</w:t>
            </w:r>
            <w:r>
              <w:rPr>
                <w:rFonts w:hint="default" w:ascii="Times New Roman" w:hAnsi="Times New Roman" w:cs="Times New Roman"/>
                <w:color w:val="auto"/>
                <w:sz w:val="24"/>
                <w:szCs w:val="22"/>
              </w:rPr>
              <w:t>。因此，项目的建设和选址符合《广东省饮用水源水质保护条例》的相关要求。</w:t>
            </w:r>
          </w:p>
          <w:p>
            <w:pPr>
              <w:keepNext/>
              <w:keepLines/>
              <w:spacing w:line="360" w:lineRule="auto"/>
              <w:ind w:firstLine="482" w:firstLineChars="200"/>
              <w:outlineLvl w:val="2"/>
              <w:rPr>
                <w:rFonts w:hint="default" w:ascii="Times New Roman" w:hAnsi="Times New Roman" w:cs="Times New Roman"/>
                <w:b/>
                <w:color w:val="auto"/>
                <w:sz w:val="24"/>
              </w:rPr>
            </w:pPr>
            <w:r>
              <w:rPr>
                <w:rFonts w:hint="eastAsia" w:cs="Times New Roman"/>
                <w:b/>
                <w:color w:val="auto"/>
                <w:sz w:val="24"/>
                <w:lang w:eastAsia="zh-CN"/>
              </w:rPr>
              <w:t>②</w:t>
            </w:r>
            <w:r>
              <w:rPr>
                <w:rFonts w:hint="default" w:ascii="Times New Roman" w:hAnsi="Times New Roman" w:cs="Times New Roman"/>
                <w:b/>
                <w:color w:val="auto"/>
                <w:sz w:val="24"/>
              </w:rPr>
              <w:t>项目与《揭阳市榕江流域水质达标方案（2017-2020年）》相符性</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揭阳市榕江流域水质达标方案（2017-2020年）》要求；“严格环境准入，促进产业结构调整：加快推进落后产能淘汰，制定并实施分年度的落后产能淘汰方案，大力推进造纸、纺织印染、酿造、电镀、化工、小钢铁等重污染行业落后产能的淘汰退出”、“严格实施流域限批，榕江南河三洲拦河坝上游、榕江北河桥闸上游、集中式饮用水源地及上游集水区域禁止新建和扩建制浆、造纸、印染、电镀、鞋革、线路板、化工、冶炼、发酵酿造、生物制药、危险废物综合利用或处置等重污染项目，禁止新建和扩建排放含汞、砷、镉、铬、铅等重金属和持久性有机污染物项目，以及存在重大环境风险和环境安全隐患的项目”。</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本项目属于</w:t>
            </w:r>
            <w:r>
              <w:rPr>
                <w:rFonts w:hint="default" w:ascii="Times New Roman" w:hAnsi="Times New Roman" w:cs="Times New Roman"/>
                <w:color w:val="auto"/>
                <w:sz w:val="24"/>
                <w:lang w:eastAsia="zh-CN"/>
              </w:rPr>
              <w:t>社区卫生服务中心</w:t>
            </w:r>
            <w:r>
              <w:rPr>
                <w:rFonts w:hint="default" w:ascii="Times New Roman" w:hAnsi="Times New Roman" w:cs="Times New Roman"/>
                <w:color w:val="auto"/>
                <w:sz w:val="24"/>
              </w:rPr>
              <w:t>，不属于《揭阳市榕江流域水质达标方案（2017-2020年）》中需淘汰的落后产能，因此符合方案中的环境准入；项目也不属于《揭阳市榕江流域水质达标方案（2017-2020年）》所列的重污染项目，也不属于《揭阳市榕江流域水质达标方案（2017-2020年）》所列的重金属和持久性有机污染物项目，因此不属于方案中的流域限批项目。</w:t>
            </w:r>
          </w:p>
          <w:p>
            <w:pPr>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sz w:val="24"/>
              </w:rPr>
              <w:t>综上，本项目与《揭阳市榕江流域水质达标方案（2017-2020年）》的要求相符。</w:t>
            </w:r>
          </w:p>
        </w:tc>
      </w:tr>
    </w:tbl>
    <w:p>
      <w:pPr>
        <w:widowControl/>
        <w:jc w:val="left"/>
        <w:rPr>
          <w:rFonts w:hint="default" w:ascii="Times New Roman" w:hAnsi="Times New Roman" w:cs="Times New Roman"/>
          <w:b/>
          <w:bCs/>
          <w:color w:val="auto"/>
          <w:sz w:val="28"/>
          <w:szCs w:val="28"/>
        </w:rPr>
      </w:pPr>
      <w:r>
        <w:rPr>
          <w:rFonts w:hint="default" w:ascii="Times New Roman" w:hAnsi="Times New Roman" w:cs="Times New Roman"/>
          <w:b/>
          <w:bCs/>
          <w:color w:val="auto"/>
          <w:szCs w:val="28"/>
        </w:rPr>
        <w:br w:type="page"/>
      </w:r>
    </w:p>
    <w:p>
      <w:pPr>
        <w:keepNext/>
        <w:outlineLvl w:val="0"/>
        <w:rPr>
          <w:rFonts w:hint="default" w:ascii="Times New Roman" w:hAnsi="Times New Roman" w:cs="Times New Roman"/>
          <w:b/>
          <w:color w:val="auto"/>
          <w:sz w:val="30"/>
          <w:szCs w:val="30"/>
          <w:highlight w:val="yellow"/>
        </w:rPr>
      </w:pPr>
      <w:r>
        <w:rPr>
          <w:rFonts w:hint="default" w:ascii="Times New Roman" w:hAnsi="Times New Roman" w:cs="Times New Roman"/>
          <w:b/>
          <w:color w:val="auto"/>
          <w:sz w:val="30"/>
          <w:szCs w:val="30"/>
          <w:highlight w:val="yellow"/>
        </w:rPr>
        <w:t>全本公示</w:t>
      </w:r>
    </w:p>
    <w:tbl>
      <w:tblPr>
        <w:tblStyle w:val="31"/>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88" w:type="dxa"/>
            <w:shd w:val="clear" w:color="auto" w:fill="auto"/>
          </w:tcPr>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本次评价按照《建设项目环境影响评价政府信息公开指南》（试行）要求，对该项目环境影响报告表进行全本公示。</w:t>
            </w:r>
          </w:p>
          <w:p>
            <w:pPr>
              <w:spacing w:line="360" w:lineRule="auto"/>
              <w:ind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lang w:val="zh-CN"/>
              </w:rPr>
              <w:t>项目于</w:t>
            </w:r>
            <w:r>
              <w:rPr>
                <w:rFonts w:hint="default" w:ascii="Times New Roman" w:hAnsi="Times New Roman" w:cs="Times New Roman"/>
                <w:bCs/>
                <w:color w:val="auto"/>
                <w:sz w:val="24"/>
                <w:highlight w:val="none"/>
              </w:rPr>
              <w:t>2019</w:t>
            </w:r>
            <w:r>
              <w:rPr>
                <w:rFonts w:hint="default" w:ascii="Times New Roman" w:hAnsi="Times New Roman" w:cs="Times New Roman"/>
                <w:bCs/>
                <w:color w:val="auto"/>
                <w:sz w:val="24"/>
                <w:highlight w:val="none"/>
                <w:lang w:val="zh-CN"/>
              </w:rPr>
              <w:t>年</w:t>
            </w:r>
            <w:r>
              <w:rPr>
                <w:rFonts w:hint="eastAsia" w:cs="Times New Roman"/>
                <w:bCs/>
                <w:color w:val="auto"/>
                <w:sz w:val="24"/>
                <w:highlight w:val="none"/>
                <w:lang w:val="en-US" w:eastAsia="zh-CN"/>
              </w:rPr>
              <w:t>7</w:t>
            </w:r>
            <w:r>
              <w:rPr>
                <w:rFonts w:hint="default" w:ascii="Times New Roman" w:hAnsi="Times New Roman" w:cs="Times New Roman"/>
                <w:bCs/>
                <w:color w:val="auto"/>
                <w:sz w:val="24"/>
                <w:highlight w:val="none"/>
                <w:lang w:val="zh-CN"/>
              </w:rPr>
              <w:t>月</w:t>
            </w:r>
            <w:r>
              <w:rPr>
                <w:rFonts w:hint="eastAsia" w:cs="Times New Roman"/>
                <w:bCs/>
                <w:color w:val="auto"/>
                <w:sz w:val="24"/>
                <w:highlight w:val="none"/>
                <w:lang w:val="en-US" w:eastAsia="zh-CN"/>
              </w:rPr>
              <w:t>26</w:t>
            </w:r>
            <w:r>
              <w:rPr>
                <w:rFonts w:hint="default" w:ascii="Times New Roman" w:hAnsi="Times New Roman" w:cs="Times New Roman"/>
                <w:bCs/>
                <w:color w:val="auto"/>
                <w:sz w:val="24"/>
                <w:highlight w:val="none"/>
                <w:lang w:val="zh-CN"/>
              </w:rPr>
              <w:t>日</w:t>
            </w:r>
            <w:r>
              <w:rPr>
                <w:rFonts w:hint="default" w:ascii="Times New Roman" w:hAnsi="Times New Roman" w:cs="Times New Roman"/>
                <w:bCs/>
                <w:color w:val="auto"/>
                <w:sz w:val="24"/>
                <w:highlight w:val="none"/>
              </w:rPr>
              <w:t>—2019</w:t>
            </w:r>
            <w:r>
              <w:rPr>
                <w:rFonts w:hint="default" w:ascii="Times New Roman" w:hAnsi="Times New Roman" w:cs="Times New Roman"/>
                <w:bCs/>
                <w:color w:val="auto"/>
                <w:sz w:val="24"/>
                <w:highlight w:val="none"/>
                <w:lang w:val="zh-CN"/>
              </w:rPr>
              <w:t>年</w:t>
            </w:r>
            <w:r>
              <w:rPr>
                <w:rFonts w:hint="eastAsia" w:cs="Times New Roman"/>
                <w:bCs/>
                <w:color w:val="auto"/>
                <w:sz w:val="24"/>
                <w:highlight w:val="none"/>
                <w:lang w:val="en-US" w:eastAsia="zh-CN"/>
              </w:rPr>
              <w:t>8</w:t>
            </w:r>
            <w:r>
              <w:rPr>
                <w:rFonts w:hint="default" w:ascii="Times New Roman" w:hAnsi="Times New Roman" w:cs="Times New Roman"/>
                <w:bCs/>
                <w:color w:val="auto"/>
                <w:sz w:val="24"/>
                <w:highlight w:val="none"/>
                <w:lang w:val="zh-CN"/>
              </w:rPr>
              <w:t>月</w:t>
            </w:r>
            <w:r>
              <w:rPr>
                <w:rFonts w:hint="default" w:ascii="Times New Roman" w:hAnsi="Times New Roman" w:cs="Times New Roman"/>
                <w:bCs/>
                <w:color w:val="auto"/>
                <w:sz w:val="24"/>
                <w:highlight w:val="none"/>
                <w:lang w:val="en-US" w:eastAsia="zh-CN"/>
              </w:rPr>
              <w:t>8</w:t>
            </w:r>
            <w:r>
              <w:rPr>
                <w:rFonts w:hint="default" w:ascii="Times New Roman" w:hAnsi="Times New Roman" w:cs="Times New Roman"/>
                <w:bCs/>
                <w:color w:val="auto"/>
                <w:sz w:val="24"/>
                <w:highlight w:val="none"/>
                <w:lang w:val="zh-CN"/>
              </w:rPr>
              <w:t>日在网站对本项目进行全本公示</w:t>
            </w:r>
            <w:r>
              <w:rPr>
                <w:rFonts w:hint="default" w:ascii="Times New Roman" w:hAnsi="Times New Roman" w:cs="Times New Roman"/>
                <w:bCs/>
                <w:color w:val="auto"/>
                <w:sz w:val="24"/>
                <w:highlight w:val="none"/>
              </w:rPr>
              <w:t>，</w:t>
            </w:r>
            <w:r>
              <w:rPr>
                <w:rFonts w:hint="default" w:ascii="Times New Roman" w:hAnsi="Times New Roman" w:cs="Times New Roman"/>
                <w:bCs/>
                <w:color w:val="auto"/>
                <w:sz w:val="24"/>
                <w:highlight w:val="none"/>
                <w:lang w:val="zh-CN"/>
              </w:rPr>
              <w:t>公示网址为http://www.jyysthb.com/Web/ArticleBody/78</w:t>
            </w:r>
            <w:r>
              <w:rPr>
                <w:rFonts w:hint="default" w:ascii="Times New Roman" w:hAnsi="Times New Roman" w:cs="Times New Roman"/>
                <w:bCs/>
                <w:color w:val="auto"/>
                <w:sz w:val="24"/>
                <w:highlight w:val="none"/>
              </w:rPr>
              <w:t>。</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在公示的期间内，建设单位、评价单位均未收到公众来电、来信或来访，没有公众表示反对意见，公示照片可如下图所示。</w:t>
            </w:r>
          </w:p>
          <w:p>
            <w:pPr>
              <w:widowControl/>
              <w:jc w:val="center"/>
              <w:rPr>
                <w:rFonts w:hint="default" w:ascii="Times New Roman" w:hAnsi="Times New Roman" w:cs="Times New Roman"/>
                <w:color w:val="auto"/>
              </w:rPr>
            </w:pPr>
          </w:p>
          <w:p>
            <w:pPr>
              <w:widowControl/>
              <w:jc w:val="center"/>
              <w:rPr>
                <w:rFonts w:hint="default" w:ascii="Times New Roman" w:hAnsi="Times New Roman" w:cs="Times New Roman"/>
                <w:color w:val="auto"/>
              </w:rPr>
            </w:pPr>
          </w:p>
          <w:p>
            <w:pPr>
              <w:spacing w:line="360" w:lineRule="auto"/>
              <w:ind w:firstLine="480" w:firstLineChars="200"/>
              <w:rPr>
                <w:rFonts w:hint="eastAsia" w:ascii="Times New Roman" w:hAnsi="Times New Roman" w:eastAsia="宋体" w:cs="Times New Roman"/>
                <w:color w:val="7030A0"/>
                <w:sz w:val="24"/>
                <w:lang w:eastAsia="zh-CN"/>
              </w:rPr>
            </w:pPr>
            <w:r>
              <w:rPr>
                <w:rFonts w:hint="default" w:ascii="Times New Roman" w:hAnsi="Times New Roman" w:cs="Times New Roman"/>
                <w:color w:val="7030A0"/>
                <w:sz w:val="24"/>
              </w:rPr>
              <w:t>建设单位承诺，将严格按照环评文件和环评批复文件中的要求，落实各项环保设施及措施，严格执行“三同时”制度，在施工期和营运期尽量做好污染物的防治工作，同时积极配合环保部门监督检查</w:t>
            </w:r>
            <w:r>
              <w:rPr>
                <w:rFonts w:hint="eastAsia" w:cs="Times New Roman"/>
                <w:color w:val="7030A0"/>
                <w:sz w:val="24"/>
                <w:lang w:eastAsia="zh-CN"/>
              </w:rPr>
              <w:t>。</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综上，在建设方按要求实行各方面环保措施，切实执行本报告中所提出的各项环保治理措施，减少项目在营运期间对居民生活及环境的影响，公众是支持该项目的建设的。</w:t>
            </w:r>
          </w:p>
          <w:p>
            <w:pPr>
              <w:rPr>
                <w:rFonts w:hint="default" w:ascii="Times New Roman" w:hAnsi="Times New Roman" w:cs="Times New Roman"/>
                <w:color w:val="auto"/>
              </w:rPr>
            </w:pPr>
          </w:p>
        </w:tc>
      </w:tr>
    </w:tbl>
    <w:p>
      <w:pPr>
        <w:widowControl/>
        <w:jc w:val="left"/>
        <w:rPr>
          <w:rFonts w:hint="default" w:ascii="Times New Roman" w:hAnsi="Times New Roman" w:cs="Times New Roman"/>
          <w:b/>
          <w:bCs/>
          <w:color w:val="auto"/>
          <w:sz w:val="28"/>
          <w:szCs w:val="28"/>
        </w:rPr>
      </w:pPr>
      <w:r>
        <w:rPr>
          <w:rFonts w:hint="default" w:ascii="Times New Roman" w:hAnsi="Times New Roman" w:cs="Times New Roman"/>
          <w:b/>
          <w:bCs/>
          <w:color w:val="auto"/>
          <w:szCs w:val="28"/>
        </w:rPr>
        <w:br w:type="page"/>
      </w:r>
    </w:p>
    <w:p>
      <w:pPr>
        <w:pStyle w:val="3"/>
        <w:jc w:val="left"/>
        <w:rPr>
          <w:rFonts w:hint="default" w:ascii="Times New Roman" w:hAnsi="Times New Roman" w:cs="Times New Roman"/>
          <w:b/>
          <w:bCs/>
          <w:color w:val="auto"/>
          <w:szCs w:val="28"/>
        </w:rPr>
      </w:pPr>
      <w:r>
        <w:rPr>
          <w:rFonts w:hint="default" w:ascii="Times New Roman" w:hAnsi="Times New Roman" w:cs="Times New Roman"/>
          <w:b/>
          <w:bCs/>
          <w:color w:val="auto"/>
          <w:szCs w:val="28"/>
        </w:rPr>
        <w:t>结论与建议</w:t>
      </w:r>
    </w:p>
    <w:tbl>
      <w:tblPr>
        <w:tblStyle w:val="31"/>
        <w:tblW w:w="9468"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4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3015" w:hRule="atLeast"/>
        </w:trPr>
        <w:tc>
          <w:tcPr>
            <w:tcW w:w="9468" w:type="dxa"/>
            <w:tcBorders>
              <w:bottom w:val="single" w:color="000000" w:sz="6" w:space="0"/>
            </w:tcBorders>
          </w:tcPr>
          <w:p>
            <w:pPr>
              <w:adjustRightInd w:val="0"/>
              <w:spacing w:line="360" w:lineRule="auto"/>
              <w:ind w:firstLine="482" w:firstLineChars="200"/>
              <w:rPr>
                <w:rFonts w:hint="default" w:ascii="Times New Roman" w:hAnsi="Times New Roman" w:cs="Times New Roman"/>
                <w:b/>
                <w:color w:val="auto"/>
                <w:sz w:val="24"/>
              </w:rPr>
            </w:pPr>
            <w:r>
              <w:rPr>
                <w:rFonts w:hint="default" w:ascii="Times New Roman" w:hAnsi="Times New Roman" w:cs="Times New Roman"/>
                <w:b/>
                <w:bCs/>
                <w:color w:val="auto"/>
                <w:sz w:val="24"/>
              </w:rPr>
              <w:t>一、项目概况</w:t>
            </w:r>
          </w:p>
          <w:p>
            <w:pPr>
              <w:pStyle w:val="47"/>
              <w:adjustRightInd w:val="0"/>
              <w:snapToGrid/>
              <w:ind w:firstLine="480" w:firstLineChars="200"/>
              <w:rPr>
                <w:rFonts w:hint="default" w:ascii="Times New Roman" w:hAnsi="Times New Roman" w:cs="Times New Roman"/>
                <w:color w:val="auto"/>
              </w:rPr>
            </w:pPr>
            <w:r>
              <w:rPr>
                <w:rFonts w:hint="eastAsia" w:ascii="Times New Roman" w:cs="Times New Roman"/>
                <w:color w:val="auto"/>
                <w:lang w:eastAsia="zh-CN"/>
              </w:rPr>
              <w:t>揭东岭东医院建设项目</w:t>
            </w:r>
            <w:r>
              <w:rPr>
                <w:rFonts w:hint="default" w:ascii="Times New Roman" w:hAnsi="Times New Roman" w:cs="Times New Roman"/>
                <w:color w:val="auto"/>
              </w:rPr>
              <w:t>位于</w:t>
            </w:r>
            <w:r>
              <w:rPr>
                <w:rFonts w:hint="eastAsia" w:ascii="Times New Roman" w:cs="Times New Roman"/>
                <w:color w:val="auto"/>
                <w:lang w:eastAsia="zh-CN"/>
              </w:rPr>
              <w:t>揭东区锡场镇华清村山沟西片</w:t>
            </w:r>
            <w:r>
              <w:rPr>
                <w:rFonts w:hint="default" w:ascii="Times New Roman" w:hAnsi="Times New Roman" w:cs="Times New Roman"/>
                <w:color w:val="auto"/>
                <w:highlight w:val="none"/>
              </w:rPr>
              <w:t>（北纬23°</w:t>
            </w:r>
            <w:r>
              <w:rPr>
                <w:rFonts w:hint="default" w:ascii="Times New Roman" w:hAnsi="Times New Roman" w:cs="Times New Roman"/>
                <w:color w:val="auto"/>
                <w:highlight w:val="none"/>
                <w:lang w:val="en-US" w:eastAsia="zh-CN"/>
              </w:rPr>
              <w:t>36</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37.08</w:t>
            </w:r>
            <w:r>
              <w:rPr>
                <w:rFonts w:hint="default" w:ascii="Times New Roman" w:hAnsi="Times New Roman" w:cs="Times New Roman"/>
                <w:color w:val="auto"/>
                <w:highlight w:val="none"/>
              </w:rPr>
              <w:t>"，东经11</w:t>
            </w:r>
            <w:r>
              <w:rPr>
                <w:rFonts w:hint="default" w:ascii="Times New Roman" w:hAnsi="Times New Roman" w:cs="Times New Roman"/>
                <w:color w:val="auto"/>
                <w:highlight w:val="none"/>
                <w:lang w:val="en-US" w:eastAsia="zh-CN"/>
              </w:rPr>
              <w:t>6</w:t>
            </w:r>
            <w:r>
              <w:rPr>
                <w:rFonts w:hint="default" w:ascii="Times New Roman" w:hAnsi="Times New Roman" w:cs="Times New Roman"/>
                <w:color w:val="auto"/>
                <w:highlight w:val="none"/>
              </w:rPr>
              <w:t xml:space="preserve">° </w:t>
            </w:r>
            <w:r>
              <w:rPr>
                <w:rFonts w:hint="default" w:ascii="Times New Roman" w:hAnsi="Times New Roman" w:cs="Times New Roman"/>
                <w:color w:val="auto"/>
                <w:highlight w:val="none"/>
                <w:lang w:val="en-US" w:eastAsia="zh-CN"/>
              </w:rPr>
              <w:t>18</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28.94</w:t>
            </w:r>
            <w:r>
              <w:rPr>
                <w:rFonts w:hint="default" w:ascii="Times New Roman" w:hAnsi="Times New Roman" w:cs="Times New Roman"/>
                <w:color w:val="auto"/>
                <w:highlight w:val="none"/>
              </w:rPr>
              <w:t>"）。项目总投资</w:t>
            </w:r>
            <w:r>
              <w:rPr>
                <w:rFonts w:hint="eastAsia" w:ascii="Times New Roman" w:cs="Times New Roman"/>
                <w:color w:val="auto"/>
                <w:highlight w:val="none"/>
                <w:lang w:val="en-US" w:eastAsia="zh-CN"/>
              </w:rPr>
              <w:t>500</w:t>
            </w:r>
            <w:r>
              <w:rPr>
                <w:rFonts w:hint="default" w:ascii="Times New Roman" w:hAnsi="Times New Roman" w:cs="Times New Roman"/>
                <w:color w:val="auto"/>
                <w:highlight w:val="none"/>
              </w:rPr>
              <w:t>万元，其中环保投资</w:t>
            </w:r>
            <w:r>
              <w:rPr>
                <w:rFonts w:hint="eastAsia" w:ascii="Times New Roman" w:cs="Times New Roman"/>
                <w:color w:val="auto"/>
                <w:highlight w:val="none"/>
                <w:lang w:val="en-US" w:eastAsia="zh-CN"/>
              </w:rPr>
              <w:t>150</w:t>
            </w:r>
            <w:r>
              <w:rPr>
                <w:rFonts w:hint="default" w:ascii="Times New Roman" w:hAnsi="Times New Roman" w:cs="Times New Roman"/>
                <w:color w:val="auto"/>
                <w:highlight w:val="none"/>
              </w:rPr>
              <w:t>万元</w:t>
            </w:r>
            <w:r>
              <w:rPr>
                <w:rFonts w:hint="default" w:ascii="Times New Roman" w:hAnsi="Times New Roman" w:cs="Times New Roman"/>
                <w:color w:val="auto"/>
              </w:rPr>
              <w:t>，</w:t>
            </w:r>
            <w:r>
              <w:rPr>
                <w:rFonts w:hint="default" w:ascii="Times New Roman" w:hAnsi="Times New Roman" w:cs="Times New Roman"/>
                <w:color w:val="auto"/>
                <w:lang w:val="en-US" w:eastAsia="zh-CN"/>
              </w:rPr>
              <w:t>本医院占地面积4300㎡，建筑面积为5000㎡；建筑内容包括外科住院部、内科住院部、门诊部、体检中心、药剂部、饭堂宿舍、配电房等；主要科室设置为内科、外科、五官科、康复科、医学影像科、医学检验科、妇产科等。设置床位90个</w:t>
            </w:r>
            <w:r>
              <w:rPr>
                <w:rFonts w:hint="default" w:ascii="Times New Roman" w:hAnsi="Times New Roman" w:cs="Times New Roman"/>
                <w:color w:val="auto"/>
              </w:rPr>
              <w:t>。</w:t>
            </w:r>
          </w:p>
          <w:p>
            <w:pPr>
              <w:adjustRightInd w:val="0"/>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二、环境质量现状</w:t>
            </w:r>
          </w:p>
          <w:p>
            <w:pPr>
              <w:pStyle w:val="47"/>
              <w:adjustRightInd w:val="0"/>
              <w:snapToGrid/>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1、项目</w:t>
            </w:r>
            <w:r>
              <w:rPr>
                <w:rFonts w:hint="eastAsia" w:cs="Times New Roman"/>
                <w:color w:val="auto"/>
                <w:sz w:val="24"/>
                <w:lang w:eastAsia="zh-CN"/>
              </w:rPr>
              <w:t>附近</w:t>
            </w:r>
            <w:r>
              <w:rPr>
                <w:rFonts w:hint="default" w:ascii="Times New Roman" w:hAnsi="Times New Roman" w:cs="Times New Roman"/>
                <w:color w:val="auto"/>
                <w:sz w:val="24"/>
              </w:rPr>
              <w:t>水体为</w:t>
            </w:r>
            <w:r>
              <w:rPr>
                <w:rFonts w:hint="eastAsia" w:cs="Times New Roman"/>
                <w:color w:val="auto"/>
                <w:sz w:val="24"/>
                <w:lang w:eastAsia="zh-CN"/>
              </w:rPr>
              <w:t>榕江北河</w:t>
            </w:r>
            <w:r>
              <w:rPr>
                <w:rFonts w:hint="default" w:ascii="Times New Roman" w:hAnsi="Times New Roman" w:cs="Times New Roman"/>
                <w:color w:val="auto"/>
                <w:szCs w:val="21"/>
                <w:lang w:eastAsia="zh-CN"/>
              </w:rPr>
              <w:t>（</w:t>
            </w:r>
            <w:r>
              <w:rPr>
                <w:rFonts w:hint="eastAsia" w:ascii="Times New Roman" w:cs="Times New Roman"/>
                <w:color w:val="auto"/>
                <w:szCs w:val="21"/>
                <w:lang w:eastAsia="zh-CN"/>
              </w:rPr>
              <w:t>锡中潭边渡至上游广安寺</w:t>
            </w:r>
            <w:r>
              <w:rPr>
                <w:rFonts w:hint="default" w:ascii="Times New Roman" w:hAnsi="Times New Roman" w:cs="Times New Roman"/>
                <w:color w:val="auto"/>
                <w:szCs w:val="21"/>
                <w:lang w:eastAsia="zh-CN"/>
              </w:rPr>
              <w:t>）</w:t>
            </w:r>
            <w:r>
              <w:rPr>
                <w:rFonts w:hint="eastAsia" w:ascii="Times New Roman" w:cs="Times New Roman"/>
                <w:color w:val="auto"/>
                <w:szCs w:val="21"/>
                <w:lang w:eastAsia="zh-CN"/>
              </w:rPr>
              <w:t>锡中潭边渡</w:t>
            </w:r>
            <w:r>
              <w:rPr>
                <w:rFonts w:hint="default" w:ascii="Times New Roman" w:hAnsi="Times New Roman" w:cs="Times New Roman"/>
                <w:color w:val="auto"/>
                <w:szCs w:val="21"/>
              </w:rPr>
              <w:t>监测断面除</w:t>
            </w:r>
            <w:r>
              <w:rPr>
                <w:rFonts w:hint="eastAsia" w:ascii="Times New Roman" w:cs="Times New Roman"/>
                <w:color w:val="auto"/>
                <w:szCs w:val="21"/>
                <w:lang w:eastAsia="zh-CN"/>
              </w:rPr>
              <w:t>石油类、阴离子表面活性剂</w:t>
            </w:r>
            <w:r>
              <w:rPr>
                <w:rFonts w:hint="default" w:ascii="Times New Roman" w:hAnsi="Times New Roman" w:cs="Times New Roman"/>
                <w:color w:val="auto"/>
                <w:szCs w:val="21"/>
              </w:rPr>
              <w:t>外，其余指标均</w:t>
            </w:r>
            <w:r>
              <w:rPr>
                <w:rFonts w:hint="eastAsia" w:ascii="Times New Roman" w:cs="Times New Roman"/>
                <w:color w:val="auto"/>
                <w:szCs w:val="21"/>
                <w:lang w:eastAsia="zh-CN"/>
              </w:rPr>
              <w:t>不能</w:t>
            </w:r>
            <w:r>
              <w:rPr>
                <w:rFonts w:hint="default" w:ascii="Times New Roman" w:hAnsi="Times New Roman" w:cs="Times New Roman"/>
                <w:color w:val="auto"/>
                <w:szCs w:val="21"/>
              </w:rPr>
              <w:t>达到《地表水环境质量标准》(GB3838-2002)</w:t>
            </w:r>
            <w:r>
              <w:rPr>
                <w:rFonts w:hint="eastAsia" w:ascii="Times New Roman" w:cs="Times New Roman"/>
                <w:color w:val="auto"/>
                <w:szCs w:val="21"/>
                <w:lang w:val="en-US" w:eastAsia="zh-CN"/>
              </w:rPr>
              <w:t>II</w:t>
            </w:r>
            <w:r>
              <w:rPr>
                <w:rFonts w:hint="default" w:ascii="Times New Roman" w:hAnsi="Times New Roman" w:cs="Times New Roman"/>
                <w:color w:val="auto"/>
                <w:szCs w:val="21"/>
              </w:rPr>
              <w:t xml:space="preserve"> 类水质标准</w:t>
            </w:r>
            <w:r>
              <w:rPr>
                <w:rFonts w:hint="eastAsia" w:ascii="Times New Roman" w:cs="Times New Roman"/>
                <w:color w:val="auto"/>
                <w:szCs w:val="21"/>
                <w:lang w:eastAsia="zh-CN"/>
              </w:rPr>
              <w:t>。水质类别劣</w:t>
            </w:r>
            <w:r>
              <w:rPr>
                <w:rFonts w:hint="eastAsia" w:ascii="Times New Roman" w:cs="Times New Roman"/>
                <w:color w:val="auto"/>
                <w:szCs w:val="21"/>
                <w:lang w:val="en-US" w:eastAsia="zh-CN"/>
              </w:rPr>
              <w:t>V类，属于重度污染。</w:t>
            </w:r>
          </w:p>
          <w:p>
            <w:pPr>
              <w:pStyle w:val="47"/>
              <w:adjustRightInd w:val="0"/>
              <w:snapToGrid/>
              <w:ind w:firstLine="480" w:firstLineChars="200"/>
              <w:rPr>
                <w:rFonts w:hint="default" w:ascii="Times New Roman" w:hAnsi="Times New Roman" w:cs="Times New Roman"/>
                <w:color w:val="auto"/>
                <w:szCs w:val="21"/>
              </w:rPr>
            </w:pPr>
            <w:r>
              <w:rPr>
                <w:rFonts w:hint="default" w:ascii="Times New Roman" w:hAnsi="Times New Roman" w:cs="Times New Roman"/>
                <w:color w:val="auto"/>
                <w:sz w:val="24"/>
              </w:rPr>
              <w:t>2、</w:t>
            </w:r>
            <w:r>
              <w:rPr>
                <w:rFonts w:hint="default" w:ascii="Times New Roman" w:hAnsi="Times New Roman" w:cs="Times New Roman"/>
                <w:color w:val="auto"/>
                <w:szCs w:val="21"/>
              </w:rPr>
              <w:t>监测结果表明，项目所在区域的环境空气中评价因子NO、SO</w:t>
            </w:r>
            <w:r>
              <w:rPr>
                <w:rFonts w:hint="default" w:ascii="Times New Roman" w:hAnsi="Times New Roman" w:cs="Times New Roman"/>
                <w:color w:val="auto"/>
                <w:szCs w:val="21"/>
                <w:vertAlign w:val="subscript"/>
              </w:rPr>
              <w:t>2</w:t>
            </w:r>
            <w:r>
              <w:rPr>
                <w:rFonts w:hint="default" w:ascii="Times New Roman" w:hAnsi="Times New Roman" w:cs="Times New Roman"/>
                <w:color w:val="auto"/>
                <w:szCs w:val="21"/>
              </w:rPr>
              <w:t>、PM</w:t>
            </w:r>
            <w:r>
              <w:rPr>
                <w:rFonts w:hint="default" w:ascii="Times New Roman" w:hAnsi="Times New Roman" w:cs="Times New Roman"/>
                <w:color w:val="auto"/>
                <w:szCs w:val="21"/>
                <w:vertAlign w:val="subscript"/>
              </w:rPr>
              <w:t>10</w:t>
            </w:r>
            <w:r>
              <w:rPr>
                <w:rFonts w:hint="default" w:ascii="Times New Roman" w:hAnsi="Times New Roman" w:cs="Times New Roman"/>
                <w:color w:val="auto"/>
                <w:szCs w:val="21"/>
              </w:rPr>
              <w:t>、TSP达到《环境空气质量标准》(GB3095—2012)</w:t>
            </w:r>
            <w:r>
              <w:rPr>
                <w:rFonts w:hint="default" w:ascii="Times New Roman" w:hAnsi="Times New Roman" w:cs="Times New Roman"/>
                <w:color w:val="auto"/>
                <w:szCs w:val="21"/>
                <w:lang w:eastAsia="zh-CN"/>
              </w:rPr>
              <w:t>及</w:t>
            </w:r>
            <w:r>
              <w:rPr>
                <w:rFonts w:hint="default" w:ascii="Times New Roman" w:hAnsi="Times New Roman" w:cs="Times New Roman"/>
                <w:color w:val="auto"/>
                <w:szCs w:val="21"/>
                <w:lang w:val="en-US" w:eastAsia="zh-CN"/>
              </w:rPr>
              <w:t>2018年</w:t>
            </w:r>
            <w:r>
              <w:rPr>
                <w:rFonts w:hint="default" w:ascii="Times New Roman" w:hAnsi="Times New Roman" w:cs="Times New Roman"/>
                <w:color w:val="auto"/>
                <w:szCs w:val="21"/>
                <w:lang w:eastAsia="zh-CN"/>
              </w:rPr>
              <w:t>修改单</w:t>
            </w:r>
            <w:r>
              <w:rPr>
                <w:rFonts w:hint="default" w:ascii="Times New Roman" w:hAnsi="Times New Roman" w:cs="Times New Roman"/>
                <w:color w:val="auto"/>
                <w:szCs w:val="21"/>
              </w:rPr>
              <w:t>二级标准，说明所在区域环境质量较好。项目所在区域的环境空气中评价因子</w:t>
            </w:r>
            <w:r>
              <w:rPr>
                <w:rFonts w:hint="default" w:ascii="Times New Roman" w:hAnsi="Times New Roman" w:cs="Times New Roman"/>
                <w:color w:val="auto"/>
                <w:szCs w:val="21"/>
                <w:lang w:val="en-US" w:eastAsia="zh-CN"/>
              </w:rPr>
              <w:t>H</w:t>
            </w:r>
            <w:r>
              <w:rPr>
                <w:rFonts w:hint="default" w:ascii="Times New Roman" w:hAnsi="Times New Roman" w:cs="Times New Roman"/>
                <w:color w:val="auto"/>
                <w:szCs w:val="21"/>
                <w:vertAlign w:val="subscript"/>
                <w:lang w:val="en-US" w:eastAsia="zh-CN"/>
              </w:rPr>
              <w:t>2</w:t>
            </w:r>
            <w:r>
              <w:rPr>
                <w:rFonts w:hint="default" w:ascii="Times New Roman" w:hAnsi="Times New Roman" w:cs="Times New Roman"/>
                <w:color w:val="auto"/>
                <w:szCs w:val="21"/>
                <w:lang w:val="en-US" w:eastAsia="zh-CN"/>
              </w:rPr>
              <w:t>S、NH</w:t>
            </w:r>
            <w:r>
              <w:rPr>
                <w:rFonts w:hint="default" w:ascii="Times New Roman" w:hAnsi="Times New Roman" w:cs="Times New Roman"/>
                <w:color w:val="auto"/>
                <w:szCs w:val="21"/>
                <w:vertAlign w:val="subscript"/>
                <w:lang w:val="en-US" w:eastAsia="zh-CN"/>
              </w:rPr>
              <w:t>3</w:t>
            </w:r>
            <w:r>
              <w:rPr>
                <w:rFonts w:hint="default" w:ascii="Times New Roman" w:hAnsi="Times New Roman" w:cs="Times New Roman"/>
                <w:color w:val="auto"/>
                <w:szCs w:val="21"/>
                <w:lang w:val="en-US" w:eastAsia="zh-CN"/>
              </w:rPr>
              <w:t>、臭气浓度</w:t>
            </w:r>
            <w:r>
              <w:rPr>
                <w:rFonts w:hint="default" w:ascii="Times New Roman" w:hAnsi="Times New Roman" w:cs="Times New Roman"/>
                <w:color w:val="auto"/>
                <w:szCs w:val="21"/>
              </w:rPr>
              <w:t>的一次质量浓度值均达到《恶臭污染物排放标准》（GB14554-93）恶臭污染物厂界标准值（二级新改扩建）的要求。</w:t>
            </w:r>
          </w:p>
          <w:p>
            <w:pPr>
              <w:adjustRightIn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3、根据监测结果，项目厂界均达到《声环境质量标准》（GB3096-2008）2类标准的要求【即昼间≤60dB(A)，夜间≤50dB(A)】。从总体来看，本区域噪声现状的环境质量较好。</w:t>
            </w:r>
          </w:p>
          <w:p>
            <w:pPr>
              <w:adjustRightInd w:val="0"/>
              <w:spacing w:line="360" w:lineRule="auto"/>
              <w:ind w:firstLine="482" w:firstLineChars="200"/>
              <w:rPr>
                <w:rFonts w:hint="default" w:ascii="Times New Roman" w:hAnsi="Times New Roman" w:cs="Times New Roman"/>
                <w:b/>
                <w:bCs/>
                <w:color w:val="auto"/>
                <w:sz w:val="24"/>
              </w:rPr>
            </w:pPr>
            <w:bookmarkStart w:id="31" w:name="_Toc407028273"/>
            <w:r>
              <w:rPr>
                <w:rFonts w:hint="default" w:ascii="Times New Roman" w:hAnsi="Times New Roman" w:cs="Times New Roman"/>
                <w:b/>
                <w:bCs/>
                <w:color w:val="auto"/>
                <w:sz w:val="24"/>
              </w:rPr>
              <w:t>三、环境影响评价结论</w:t>
            </w:r>
          </w:p>
          <w:p>
            <w:pPr>
              <w:adjustRightInd w:val="0"/>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1、环境空气影响评价结论</w:t>
            </w:r>
          </w:p>
          <w:p>
            <w:pPr>
              <w:pStyle w:val="116"/>
              <w:ind w:firstLine="480"/>
              <w:rPr>
                <w:rFonts w:hint="default" w:ascii="Times New Roman" w:hAnsi="Times New Roman" w:cs="Times New Roman"/>
                <w:color w:val="auto"/>
              </w:rPr>
            </w:pPr>
            <w:r>
              <w:rPr>
                <w:rFonts w:hint="default" w:ascii="Times New Roman" w:hAnsi="Times New Roman" w:cs="Times New Roman"/>
                <w:color w:val="auto"/>
              </w:rPr>
              <w:t>本项目运营期间大气污染主要为食堂油烟、备用发电机尾气、污水处理站臭气、</w:t>
            </w:r>
            <w:r>
              <w:rPr>
                <w:rFonts w:hint="default" w:ascii="Times New Roman" w:hAnsi="Times New Roman" w:cs="Times New Roman"/>
                <w:bCs/>
                <w:color w:val="auto"/>
                <w:sz w:val="24"/>
              </w:rPr>
              <w:t>垃圾收集房臭气</w:t>
            </w:r>
            <w:r>
              <w:rPr>
                <w:rFonts w:hint="default" w:ascii="Times New Roman" w:hAnsi="Times New Roman" w:cs="Times New Roman"/>
                <w:color w:val="auto"/>
              </w:rPr>
              <w:t>。</w:t>
            </w:r>
          </w:p>
          <w:p>
            <w:pPr>
              <w:pStyle w:val="116"/>
              <w:ind w:firstLine="480"/>
              <w:rPr>
                <w:rFonts w:hint="default" w:ascii="Times New Roman" w:hAnsi="Times New Roman" w:cs="Times New Roman"/>
                <w:color w:val="auto"/>
              </w:rPr>
            </w:pPr>
            <w:r>
              <w:rPr>
                <w:rFonts w:hint="default" w:ascii="Times New Roman" w:hAnsi="Times New Roman" w:cs="Times New Roman"/>
                <w:color w:val="auto"/>
                <w:sz w:val="24"/>
              </w:rPr>
              <w:t>项目产生的油烟经过</w:t>
            </w:r>
            <w:r>
              <w:rPr>
                <w:rFonts w:hint="default" w:ascii="Times New Roman" w:hAnsi="Times New Roman" w:cs="Times New Roman"/>
                <w:color w:val="auto"/>
                <w:sz w:val="24"/>
                <w:lang w:eastAsia="zh-CN"/>
              </w:rPr>
              <w:t>高效</w:t>
            </w:r>
            <w:r>
              <w:rPr>
                <w:rFonts w:hint="default" w:ascii="Times New Roman" w:hAnsi="Times New Roman" w:cs="Times New Roman"/>
                <w:color w:val="auto"/>
                <w:sz w:val="24"/>
              </w:rPr>
              <w:t>油烟净化装置处理后排放。油烟的排放浓度能够达到《饮食业油烟排放标准》（GB18483-2001）中标准要求，实现达标排放。</w:t>
            </w:r>
          </w:p>
          <w:p>
            <w:pPr>
              <w:pStyle w:val="116"/>
              <w:ind w:firstLine="480"/>
              <w:rPr>
                <w:rFonts w:hint="default" w:ascii="Times New Roman" w:hAnsi="Times New Roman" w:cs="Times New Roman"/>
                <w:color w:val="auto"/>
              </w:rPr>
            </w:pPr>
            <w:r>
              <w:rPr>
                <w:rFonts w:hint="default" w:ascii="Times New Roman" w:hAnsi="Times New Roman" w:cs="Times New Roman"/>
                <w:color w:val="auto"/>
              </w:rPr>
              <w:t>本项目设1台备用发电机，</w:t>
            </w:r>
            <w:r>
              <w:rPr>
                <w:rFonts w:hint="default" w:ascii="Times New Roman" w:hAnsi="Times New Roman" w:cs="Times New Roman"/>
                <w:color w:val="auto"/>
                <w:lang w:eastAsia="zh-CN"/>
              </w:rPr>
              <w:t>经预测</w:t>
            </w:r>
            <w:r>
              <w:rPr>
                <w:rFonts w:hint="default" w:ascii="Times New Roman" w:hAnsi="Times New Roman" w:cs="Times New Roman"/>
                <w:color w:val="auto"/>
              </w:rPr>
              <w:t>，项目备用发电机废气通过排气筒直排，达到</w:t>
            </w:r>
            <w:r>
              <w:rPr>
                <w:rFonts w:hint="default" w:ascii="Times New Roman" w:hAnsi="Times New Roman" w:cs="Times New Roman"/>
                <w:color w:val="auto"/>
                <w:sz w:val="24"/>
                <w:szCs w:val="24"/>
                <w:highlight w:val="none"/>
                <w:lang w:eastAsia="zh-CN"/>
              </w:rPr>
              <w:t>广东省《大气污染物排放限值》（DB44/27-2001）中二级标准限值排放</w:t>
            </w:r>
            <w:r>
              <w:rPr>
                <w:rFonts w:hint="default" w:ascii="Times New Roman" w:hAnsi="Times New Roman" w:cs="Times New Roman"/>
                <w:color w:val="auto"/>
              </w:rPr>
              <w:t>，产生的废气收集后</w:t>
            </w:r>
            <w:r>
              <w:rPr>
                <w:rFonts w:hint="default" w:ascii="Times New Roman" w:hAnsi="Times New Roman" w:cs="Times New Roman"/>
                <w:color w:val="auto"/>
                <w:lang w:eastAsia="zh-CN"/>
              </w:rPr>
              <w:t>通过排气筒</w:t>
            </w:r>
            <w:r>
              <w:rPr>
                <w:rFonts w:hint="default" w:ascii="Times New Roman" w:hAnsi="Times New Roman" w:cs="Times New Roman"/>
                <w:color w:val="auto"/>
              </w:rPr>
              <w:t>引至天面排放。</w:t>
            </w:r>
          </w:p>
          <w:p>
            <w:pPr>
              <w:keepNext w:val="0"/>
              <w:keepLines w:val="0"/>
              <w:pageBreakBefore w:val="0"/>
              <w:widowControl w:val="0"/>
              <w:kinsoku/>
              <w:wordWrap/>
              <w:overflowPunct/>
              <w:topLinePunct w:val="0"/>
              <w:autoSpaceDE/>
              <w:autoSpaceDN/>
              <w:bidi w:val="0"/>
              <w:snapToGrid/>
              <w:spacing w:line="348" w:lineRule="auto"/>
              <w:ind w:firstLine="480" w:firstLineChars="200"/>
              <w:textAlignment w:val="auto"/>
              <w:rPr>
                <w:rFonts w:hint="eastAsia" w:ascii="Times New Roman" w:hAnsi="Times New Roman" w:eastAsia="宋体" w:cs="Times New Roman"/>
                <w:color w:val="auto"/>
                <w:kern w:val="2"/>
                <w:sz w:val="24"/>
                <w:szCs w:val="22"/>
                <w:highlight w:val="none"/>
                <w:lang w:val="en-US" w:eastAsia="zh-CN" w:bidi="ar-SA"/>
              </w:rPr>
            </w:pPr>
            <w:r>
              <w:rPr>
                <w:rFonts w:hint="eastAsia" w:ascii="Times New Roman" w:hAnsi="Times New Roman" w:eastAsia="宋体" w:cs="Times New Roman"/>
                <w:color w:val="auto"/>
                <w:kern w:val="2"/>
                <w:sz w:val="24"/>
                <w:szCs w:val="22"/>
                <w:highlight w:val="none"/>
                <w:lang w:val="en-US" w:eastAsia="zh-CN" w:bidi="ar-SA"/>
              </w:rPr>
              <w:t>本项目采用地埋式污水处理设施，污水处理站臭气无组织排放量极少</w:t>
            </w:r>
            <w:r>
              <w:rPr>
                <w:rFonts w:hint="eastAsia" w:ascii="Times New Roman" w:hAnsi="Times New Roman" w:cs="Times New Roman"/>
                <w:color w:val="auto"/>
                <w:kern w:val="2"/>
                <w:sz w:val="24"/>
                <w:szCs w:val="22"/>
                <w:highlight w:val="none"/>
                <w:lang w:val="en-US" w:eastAsia="zh-CN" w:bidi="ar-SA"/>
              </w:rPr>
              <w:t>。</w:t>
            </w:r>
          </w:p>
          <w:p>
            <w:pPr>
              <w:keepNext w:val="0"/>
              <w:keepLines w:val="0"/>
              <w:pageBreakBefore w:val="0"/>
              <w:widowControl w:val="0"/>
              <w:kinsoku/>
              <w:wordWrap/>
              <w:overflowPunct/>
              <w:topLinePunct w:val="0"/>
              <w:autoSpaceDE/>
              <w:autoSpaceDN/>
              <w:bidi w:val="0"/>
              <w:snapToGrid/>
              <w:spacing w:line="348" w:lineRule="auto"/>
              <w:ind w:firstLine="482" w:firstLineChars="200"/>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2、水环境影响评价结论</w:t>
            </w:r>
            <w:bookmarkEnd w:id="31"/>
          </w:p>
          <w:p>
            <w:pPr>
              <w:keepNext w:val="0"/>
              <w:keepLines w:val="0"/>
              <w:pageBreakBefore w:val="0"/>
              <w:widowControl w:val="0"/>
              <w:kinsoku/>
              <w:wordWrap/>
              <w:overflowPunct/>
              <w:topLinePunct w:val="0"/>
              <w:autoSpaceDE/>
              <w:autoSpaceDN/>
              <w:bidi w:val="0"/>
              <w:snapToGrid/>
              <w:spacing w:line="348" w:lineRule="auto"/>
              <w:ind w:firstLine="480" w:firstLineChars="200"/>
              <w:textAlignment w:val="auto"/>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eastAsia="zh-CN"/>
              </w:rPr>
              <w:t>本项目废水主要为各类医疗活动产生的医疗废水、生活污水、洗衣房废水。主要污染因子包括：COD</w:t>
            </w:r>
            <w:r>
              <w:rPr>
                <w:rFonts w:hint="default" w:ascii="Times New Roman" w:hAnsi="Times New Roman" w:cs="Times New Roman"/>
                <w:color w:val="auto"/>
                <w:sz w:val="24"/>
                <w:vertAlign w:val="subscript"/>
                <w:lang w:eastAsia="zh-CN"/>
              </w:rPr>
              <w:t>Cr</w:t>
            </w:r>
            <w:r>
              <w:rPr>
                <w:rFonts w:hint="default" w:ascii="Times New Roman" w:hAnsi="Times New Roman" w:cs="Times New Roman"/>
                <w:color w:val="auto"/>
                <w:sz w:val="24"/>
                <w:lang w:eastAsia="zh-CN"/>
              </w:rPr>
              <w:t>、BOD</w:t>
            </w:r>
            <w:r>
              <w:rPr>
                <w:rFonts w:hint="default" w:ascii="Times New Roman" w:hAnsi="Times New Roman" w:cs="Times New Roman"/>
                <w:color w:val="auto"/>
                <w:sz w:val="24"/>
                <w:vertAlign w:val="subscript"/>
                <w:lang w:eastAsia="zh-CN"/>
              </w:rPr>
              <w:t>5</w:t>
            </w:r>
            <w:r>
              <w:rPr>
                <w:rFonts w:hint="default" w:ascii="Times New Roman" w:hAnsi="Times New Roman" w:cs="Times New Roman"/>
                <w:color w:val="auto"/>
                <w:sz w:val="24"/>
                <w:lang w:eastAsia="zh-CN"/>
              </w:rPr>
              <w:t>、SS、氨氮、粪大肠菌群等。污废水自建污水处理站处理</w:t>
            </w:r>
            <w:r>
              <w:rPr>
                <w:rFonts w:hint="default" w:ascii="Times New Roman" w:hAnsi="Times New Roman" w:cs="Times New Roman"/>
                <w:color w:val="auto"/>
                <w:sz w:val="24"/>
                <w:lang w:val="en-US" w:eastAsia="zh-CN"/>
              </w:rPr>
              <w:t>达到《城市污水再生利用 城市杂用水水质》（GB/T18920-2002）中“城市绿化”标准后回用项目周边绿化用水。</w:t>
            </w:r>
          </w:p>
          <w:p>
            <w:pPr>
              <w:keepNext w:val="0"/>
              <w:keepLines w:val="0"/>
              <w:pageBreakBefore w:val="0"/>
              <w:widowControl w:val="0"/>
              <w:kinsoku/>
              <w:wordWrap/>
              <w:overflowPunct/>
              <w:topLinePunct w:val="0"/>
              <w:autoSpaceDE/>
              <w:autoSpaceDN/>
              <w:bidi w:val="0"/>
              <w:snapToGrid/>
              <w:spacing w:line="348" w:lineRule="auto"/>
              <w:ind w:firstLine="482" w:firstLineChars="200"/>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3、固体废弃物影响评价结论</w:t>
            </w:r>
          </w:p>
          <w:p>
            <w:pPr>
              <w:keepNext w:val="0"/>
              <w:keepLines w:val="0"/>
              <w:pageBreakBefore w:val="0"/>
              <w:widowControl w:val="0"/>
              <w:kinsoku/>
              <w:wordWrap/>
              <w:overflowPunct/>
              <w:topLinePunct w:val="0"/>
              <w:autoSpaceDE/>
              <w:autoSpaceDN/>
              <w:bidi w:val="0"/>
              <w:adjustRightInd w:val="0"/>
              <w:snapToGrid/>
              <w:spacing w:line="348" w:lineRule="auto"/>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本项目运营期固废主要</w:t>
            </w:r>
            <w:r>
              <w:rPr>
                <w:rFonts w:hint="default" w:ascii="Times New Roman" w:hAnsi="Times New Roman" w:cs="Times New Roman"/>
                <w:color w:val="auto"/>
                <w:sz w:val="24"/>
                <w:lang w:eastAsia="zh-CN"/>
              </w:rPr>
              <w:t>是一般办公</w:t>
            </w:r>
            <w:r>
              <w:rPr>
                <w:rFonts w:hint="default" w:ascii="Times New Roman" w:hAnsi="Times New Roman" w:cs="Times New Roman"/>
                <w:color w:val="auto"/>
                <w:sz w:val="24"/>
              </w:rPr>
              <w:t>生活垃圾、医疗废物、</w:t>
            </w:r>
            <w:r>
              <w:rPr>
                <w:rFonts w:hint="default" w:ascii="Times New Roman" w:hAnsi="Times New Roman" w:cs="Times New Roman"/>
                <w:color w:val="auto"/>
                <w:sz w:val="24"/>
                <w:lang w:eastAsia="zh-CN"/>
              </w:rPr>
              <w:t>污水处理站产生的</w:t>
            </w:r>
            <w:r>
              <w:rPr>
                <w:rFonts w:hint="default" w:ascii="Times New Roman" w:hAnsi="Times New Roman" w:cs="Times New Roman"/>
                <w:color w:val="auto"/>
                <w:sz w:val="24"/>
              </w:rPr>
              <w:t>污泥。</w:t>
            </w:r>
          </w:p>
          <w:p>
            <w:pPr>
              <w:keepNext w:val="0"/>
              <w:keepLines w:val="0"/>
              <w:pageBreakBefore w:val="0"/>
              <w:widowControl w:val="0"/>
              <w:kinsoku/>
              <w:wordWrap/>
              <w:overflowPunct/>
              <w:topLinePunct w:val="0"/>
              <w:autoSpaceDE/>
              <w:autoSpaceDN/>
              <w:bidi w:val="0"/>
              <w:adjustRightInd w:val="0"/>
              <w:snapToGrid/>
              <w:spacing w:line="348" w:lineRule="auto"/>
              <w:ind w:firstLine="480" w:firstLineChars="200"/>
              <w:textAlignment w:val="auto"/>
              <w:rPr>
                <w:rFonts w:hint="default" w:ascii="Times New Roman" w:hAnsi="Times New Roman" w:cs="Times New Roman"/>
                <w:color w:val="auto"/>
                <w:sz w:val="24"/>
                <w:lang w:val="en-US" w:eastAsia="zh-CN"/>
              </w:rPr>
            </w:pPr>
            <w:r>
              <w:rPr>
                <w:rFonts w:hint="default" w:ascii="Times New Roman" w:hAnsi="Times New Roman" w:cs="Times New Roman"/>
                <w:bCs/>
                <w:color w:val="auto"/>
                <w:sz w:val="24"/>
                <w:lang w:val="en-US" w:eastAsia="zh-CN"/>
              </w:rPr>
              <w:t>一般办公生活垃圾主要为办公生活区和诊疗区产生的普通生活垃圾、纸张、医院药品、器材等包装材料等，统一收集后交由环卫部门清运。,</w:t>
            </w:r>
            <w:r>
              <w:rPr>
                <w:rFonts w:hint="default" w:ascii="Times New Roman" w:hAnsi="Times New Roman" w:cs="Times New Roman"/>
                <w:color w:val="auto"/>
                <w:sz w:val="24"/>
                <w:lang w:val="en-US" w:eastAsia="zh-CN"/>
              </w:rPr>
              <w:t>医疗废物属于危险废物，应统一收集后交由有资质单位回收处理。污泥属于危险废物，应统一收集后交由有资质单位回收处理。</w:t>
            </w:r>
          </w:p>
          <w:p>
            <w:pPr>
              <w:keepNext w:val="0"/>
              <w:keepLines w:val="0"/>
              <w:pageBreakBefore w:val="0"/>
              <w:widowControl w:val="0"/>
              <w:kinsoku/>
              <w:wordWrap/>
              <w:overflowPunct/>
              <w:topLinePunct w:val="0"/>
              <w:autoSpaceDE/>
              <w:autoSpaceDN/>
              <w:bidi w:val="0"/>
              <w:snapToGrid/>
              <w:spacing w:line="348" w:lineRule="auto"/>
              <w:ind w:firstLine="482" w:firstLineChars="200"/>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4、声环境影响评价结论</w:t>
            </w:r>
          </w:p>
          <w:p>
            <w:pPr>
              <w:keepNext w:val="0"/>
              <w:keepLines w:val="0"/>
              <w:pageBreakBefore w:val="0"/>
              <w:widowControl w:val="0"/>
              <w:kinsoku/>
              <w:wordWrap/>
              <w:overflowPunct/>
              <w:topLinePunct w:val="0"/>
              <w:autoSpaceDE/>
              <w:autoSpaceDN/>
              <w:bidi w:val="0"/>
              <w:adjustRightInd w:val="0"/>
              <w:snapToGrid/>
              <w:spacing w:line="348" w:lineRule="auto"/>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本项目运营期间噪声源主要来自各种配套设备（水泵、发电机、抽排风机、</w:t>
            </w:r>
            <w:r>
              <w:rPr>
                <w:rFonts w:hint="default" w:ascii="Times New Roman" w:hAnsi="Times New Roman" w:cs="Times New Roman"/>
                <w:color w:val="auto"/>
                <w:sz w:val="24"/>
                <w:lang w:eastAsia="zh-CN"/>
              </w:rPr>
              <w:t>空调系统</w:t>
            </w:r>
            <w:r>
              <w:rPr>
                <w:rFonts w:hint="default" w:ascii="Times New Roman" w:hAnsi="Times New Roman" w:cs="Times New Roman"/>
                <w:color w:val="auto"/>
                <w:sz w:val="24"/>
              </w:rPr>
              <w:t>等）运行时产生的噪声、进出车辆噪声及社会活动噪声，其噪声值一般为</w:t>
            </w:r>
            <w:r>
              <w:rPr>
                <w:rFonts w:hint="default" w:ascii="Times New Roman" w:hAnsi="Times New Roman" w:cs="Times New Roman"/>
                <w:color w:val="auto"/>
                <w:sz w:val="24"/>
                <w:lang w:val="en-US" w:eastAsia="zh-CN"/>
              </w:rPr>
              <w:t>75</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10</w:t>
            </w:r>
            <w:r>
              <w:rPr>
                <w:rFonts w:hint="default" w:ascii="Times New Roman" w:hAnsi="Times New Roman" w:cs="Times New Roman"/>
                <w:color w:val="auto"/>
                <w:sz w:val="24"/>
              </w:rPr>
              <w:t>5dB(A) 之间。</w:t>
            </w:r>
          </w:p>
          <w:p>
            <w:pPr>
              <w:keepNext w:val="0"/>
              <w:keepLines w:val="0"/>
              <w:pageBreakBefore w:val="0"/>
              <w:widowControl w:val="0"/>
              <w:kinsoku/>
              <w:wordWrap/>
              <w:overflowPunct/>
              <w:topLinePunct w:val="0"/>
              <w:autoSpaceDE/>
              <w:autoSpaceDN/>
              <w:bidi w:val="0"/>
              <w:snapToGrid/>
              <w:spacing w:line="348" w:lineRule="auto"/>
              <w:ind w:firstLine="52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pacing w:val="10"/>
                <w:sz w:val="24"/>
              </w:rPr>
              <w:t>通过对噪声源采取适当隔音</w:t>
            </w:r>
            <w:r>
              <w:rPr>
                <w:rFonts w:hint="default" w:ascii="Times New Roman" w:hAnsi="Times New Roman" w:cs="Times New Roman"/>
                <w:color w:val="auto"/>
                <w:sz w:val="24"/>
              </w:rPr>
              <w:t>、降噪措施，使得项目</w:t>
            </w:r>
            <w:r>
              <w:rPr>
                <w:rFonts w:hint="default" w:ascii="Times New Roman" w:hAnsi="Times New Roman" w:cs="Times New Roman"/>
                <w:color w:val="auto"/>
                <w:sz w:val="24"/>
                <w:lang w:eastAsia="zh-CN"/>
              </w:rPr>
              <w:t>边界</w:t>
            </w:r>
            <w:r>
              <w:rPr>
                <w:rFonts w:hint="default" w:ascii="Times New Roman" w:hAnsi="Times New Roman" w:cs="Times New Roman"/>
                <w:color w:val="auto"/>
                <w:sz w:val="24"/>
              </w:rPr>
              <w:t>噪声达到《工业企业厂界环境噪声排放标准》(GB12348—2008) 2类标准要求。对周围</w:t>
            </w:r>
            <w:r>
              <w:rPr>
                <w:rFonts w:hint="default" w:ascii="Times New Roman" w:hAnsi="Times New Roman" w:cs="Times New Roman"/>
                <w:color w:val="auto"/>
                <w:sz w:val="24"/>
                <w:lang w:eastAsia="zh-CN"/>
              </w:rPr>
              <w:t>声</w:t>
            </w:r>
            <w:r>
              <w:rPr>
                <w:rFonts w:hint="default" w:ascii="Times New Roman" w:hAnsi="Times New Roman" w:cs="Times New Roman"/>
                <w:color w:val="auto"/>
                <w:sz w:val="24"/>
              </w:rPr>
              <w:t>环境影响不大。</w:t>
            </w:r>
          </w:p>
          <w:p>
            <w:pPr>
              <w:keepNext w:val="0"/>
              <w:keepLines w:val="0"/>
              <w:pageBreakBefore w:val="0"/>
              <w:widowControl w:val="0"/>
              <w:kinsoku/>
              <w:wordWrap/>
              <w:overflowPunct/>
              <w:topLinePunct w:val="0"/>
              <w:autoSpaceDE/>
              <w:autoSpaceDN/>
              <w:bidi w:val="0"/>
              <w:adjustRightInd w:val="0"/>
              <w:snapToGrid/>
              <w:spacing w:line="348" w:lineRule="auto"/>
              <w:ind w:firstLine="482" w:firstLineChars="200"/>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四、项目产业政策与规划的符合性</w:t>
            </w:r>
          </w:p>
          <w:p>
            <w:pPr>
              <w:keepNext w:val="0"/>
              <w:keepLines w:val="0"/>
              <w:pageBreakBefore w:val="0"/>
              <w:widowControl w:val="0"/>
              <w:kinsoku/>
              <w:wordWrap/>
              <w:overflowPunct/>
              <w:topLinePunct w:val="0"/>
              <w:autoSpaceDE/>
              <w:autoSpaceDN/>
              <w:bidi w:val="0"/>
              <w:snapToGrid/>
              <w:spacing w:line="348" w:lineRule="auto"/>
              <w:ind w:firstLine="480" w:firstLineChars="200"/>
              <w:textAlignment w:val="auto"/>
              <w:rPr>
                <w:rFonts w:hint="default" w:ascii="Times New Roman" w:hAnsi="Times New Roman" w:cs="Times New Roman"/>
                <w:bCs/>
                <w:color w:val="auto"/>
                <w:sz w:val="24"/>
              </w:rPr>
            </w:pPr>
            <w:r>
              <w:rPr>
                <w:rFonts w:hint="default" w:ascii="Times New Roman" w:hAnsi="Times New Roman" w:cs="Times New Roman"/>
                <w:bCs/>
                <w:color w:val="auto"/>
                <w:sz w:val="24"/>
              </w:rPr>
              <w:t>项目属于</w:t>
            </w:r>
            <w:r>
              <w:rPr>
                <w:rFonts w:hint="default" w:ascii="Times New Roman" w:hAnsi="Times New Roman" w:cs="Times New Roman"/>
                <w:color w:val="auto"/>
                <w:sz w:val="24"/>
              </w:rPr>
              <w:t>《产业结构调整指导目录》（2011年本，及其2013年修正）</w:t>
            </w:r>
            <w:r>
              <w:rPr>
                <w:rFonts w:hint="default" w:ascii="Times New Roman" w:hAnsi="Times New Roman" w:cs="Times New Roman"/>
                <w:color w:val="auto"/>
                <w:sz w:val="24"/>
                <w:lang w:eastAsia="zh-CN"/>
              </w:rPr>
              <w:t>、</w:t>
            </w:r>
            <w:r>
              <w:rPr>
                <w:rFonts w:hint="default" w:ascii="Times New Roman" w:hAnsi="Times New Roman" w:cs="Times New Roman"/>
                <w:bCs/>
                <w:color w:val="auto"/>
                <w:sz w:val="24"/>
              </w:rPr>
              <w:t>《广东省产业结构调整指导目录（2007年本）》及《广东省重点开发区产业发展指导目录》（2014年本）中的鼓励类，符合国家和地方相关产业政策。</w:t>
            </w:r>
          </w:p>
          <w:p>
            <w:pPr>
              <w:keepNext w:val="0"/>
              <w:keepLines w:val="0"/>
              <w:pageBreakBefore w:val="0"/>
              <w:widowControl w:val="0"/>
              <w:kinsoku/>
              <w:wordWrap/>
              <w:overflowPunct/>
              <w:topLinePunct w:val="0"/>
              <w:autoSpaceDE/>
              <w:autoSpaceDN/>
              <w:bidi w:val="0"/>
              <w:adjustRightInd w:val="0"/>
              <w:snapToGrid/>
              <w:spacing w:line="348" w:lineRule="auto"/>
              <w:ind w:firstLine="482" w:firstLineChars="200"/>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五、全本公示结论</w:t>
            </w:r>
          </w:p>
          <w:p>
            <w:pPr>
              <w:keepNext w:val="0"/>
              <w:keepLines w:val="0"/>
              <w:pageBreakBefore w:val="0"/>
              <w:widowControl w:val="0"/>
              <w:kinsoku/>
              <w:wordWrap/>
              <w:overflowPunct/>
              <w:topLinePunct w:val="0"/>
              <w:autoSpaceDE/>
              <w:autoSpaceDN/>
              <w:bidi w:val="0"/>
              <w:snapToGrid/>
              <w:spacing w:line="348" w:lineRule="auto"/>
              <w:ind w:firstLine="480" w:firstLineChars="200"/>
              <w:textAlignment w:val="auto"/>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lang w:val="zh-CN"/>
              </w:rPr>
              <w:t>项目于</w:t>
            </w:r>
            <w:r>
              <w:rPr>
                <w:rFonts w:hint="default" w:ascii="Times New Roman" w:hAnsi="Times New Roman" w:cs="Times New Roman"/>
                <w:bCs/>
                <w:color w:val="auto"/>
                <w:sz w:val="24"/>
                <w:highlight w:val="none"/>
              </w:rPr>
              <w:t>2019</w:t>
            </w:r>
            <w:r>
              <w:rPr>
                <w:rFonts w:hint="default" w:ascii="Times New Roman" w:hAnsi="Times New Roman" w:cs="Times New Roman"/>
                <w:bCs/>
                <w:color w:val="auto"/>
                <w:sz w:val="24"/>
                <w:highlight w:val="none"/>
                <w:lang w:val="zh-CN"/>
              </w:rPr>
              <w:t>年</w:t>
            </w:r>
            <w:r>
              <w:rPr>
                <w:rFonts w:hint="eastAsia" w:cs="Times New Roman"/>
                <w:bCs/>
                <w:color w:val="auto"/>
                <w:sz w:val="24"/>
                <w:highlight w:val="none"/>
                <w:lang w:val="en-US" w:eastAsia="zh-CN"/>
              </w:rPr>
              <w:t>7</w:t>
            </w:r>
            <w:r>
              <w:rPr>
                <w:rFonts w:hint="default" w:ascii="Times New Roman" w:hAnsi="Times New Roman" w:cs="Times New Roman"/>
                <w:bCs/>
                <w:color w:val="auto"/>
                <w:sz w:val="24"/>
                <w:highlight w:val="none"/>
                <w:lang w:val="zh-CN"/>
              </w:rPr>
              <w:t>月</w:t>
            </w:r>
            <w:r>
              <w:rPr>
                <w:rFonts w:hint="eastAsia" w:cs="Times New Roman"/>
                <w:bCs/>
                <w:color w:val="auto"/>
                <w:sz w:val="24"/>
                <w:highlight w:val="none"/>
                <w:lang w:val="en-US" w:eastAsia="zh-CN"/>
              </w:rPr>
              <w:t>26</w:t>
            </w:r>
            <w:r>
              <w:rPr>
                <w:rFonts w:hint="default" w:ascii="Times New Roman" w:hAnsi="Times New Roman" w:cs="Times New Roman"/>
                <w:bCs/>
                <w:color w:val="auto"/>
                <w:sz w:val="24"/>
                <w:highlight w:val="none"/>
                <w:lang w:val="zh-CN"/>
              </w:rPr>
              <w:t>日</w:t>
            </w:r>
            <w:r>
              <w:rPr>
                <w:rFonts w:hint="default" w:ascii="Times New Roman" w:hAnsi="Times New Roman" w:cs="Times New Roman"/>
                <w:bCs/>
                <w:color w:val="auto"/>
                <w:sz w:val="24"/>
                <w:highlight w:val="none"/>
              </w:rPr>
              <w:t>—2019</w:t>
            </w:r>
            <w:r>
              <w:rPr>
                <w:rFonts w:hint="default" w:ascii="Times New Roman" w:hAnsi="Times New Roman" w:cs="Times New Roman"/>
                <w:bCs/>
                <w:color w:val="auto"/>
                <w:sz w:val="24"/>
                <w:highlight w:val="none"/>
                <w:lang w:val="zh-CN"/>
              </w:rPr>
              <w:t>年</w:t>
            </w:r>
            <w:r>
              <w:rPr>
                <w:rFonts w:hint="eastAsia" w:cs="Times New Roman"/>
                <w:bCs/>
                <w:color w:val="auto"/>
                <w:sz w:val="24"/>
                <w:highlight w:val="none"/>
                <w:lang w:val="en-US" w:eastAsia="zh-CN"/>
              </w:rPr>
              <w:t>8</w:t>
            </w:r>
            <w:r>
              <w:rPr>
                <w:rFonts w:hint="default" w:ascii="Times New Roman" w:hAnsi="Times New Roman" w:cs="Times New Roman"/>
                <w:bCs/>
                <w:color w:val="auto"/>
                <w:sz w:val="24"/>
                <w:highlight w:val="none"/>
                <w:lang w:val="zh-CN"/>
              </w:rPr>
              <w:t>月</w:t>
            </w:r>
            <w:r>
              <w:rPr>
                <w:rFonts w:hint="eastAsia" w:cs="Times New Roman"/>
                <w:bCs/>
                <w:color w:val="auto"/>
                <w:sz w:val="24"/>
                <w:highlight w:val="none"/>
                <w:lang w:val="en-US" w:eastAsia="zh-CN"/>
              </w:rPr>
              <w:t>8</w:t>
            </w:r>
            <w:r>
              <w:rPr>
                <w:rFonts w:hint="default" w:ascii="Times New Roman" w:hAnsi="Times New Roman" w:cs="Times New Roman"/>
                <w:bCs/>
                <w:color w:val="auto"/>
                <w:sz w:val="24"/>
                <w:highlight w:val="none"/>
                <w:lang w:val="zh-CN"/>
              </w:rPr>
              <w:t>日在网站对本项目进行全本公示</w:t>
            </w:r>
            <w:r>
              <w:rPr>
                <w:rFonts w:hint="default" w:ascii="Times New Roman" w:hAnsi="Times New Roman" w:cs="Times New Roman"/>
                <w:bCs/>
                <w:color w:val="auto"/>
                <w:sz w:val="24"/>
                <w:highlight w:val="none"/>
              </w:rPr>
              <w:t>，</w:t>
            </w:r>
            <w:r>
              <w:rPr>
                <w:rFonts w:hint="default" w:ascii="Times New Roman" w:hAnsi="Times New Roman" w:cs="Times New Roman"/>
                <w:bCs/>
                <w:color w:val="auto"/>
                <w:sz w:val="24"/>
                <w:highlight w:val="none"/>
                <w:lang w:val="zh-CN"/>
              </w:rPr>
              <w:t>公示网址为</w:t>
            </w:r>
            <w:r>
              <w:rPr>
                <w:rFonts w:hint="default" w:ascii="Times New Roman" w:hAnsi="Times New Roman" w:cs="Times New Roman"/>
                <w:bCs/>
                <w:color w:val="auto"/>
                <w:sz w:val="24"/>
                <w:highlight w:val="yellow"/>
                <w:lang w:val="zh-CN"/>
              </w:rPr>
              <w:t>http://www.jyysthb.com/Web/ArticleBody/78</w:t>
            </w:r>
            <w:r>
              <w:rPr>
                <w:rFonts w:hint="default" w:ascii="Times New Roman" w:hAnsi="Times New Roman" w:cs="Times New Roman"/>
                <w:bCs/>
                <w:color w:val="auto"/>
                <w:sz w:val="24"/>
                <w:highlight w:val="none"/>
              </w:rPr>
              <w:t>。</w:t>
            </w:r>
          </w:p>
          <w:p>
            <w:pPr>
              <w:spacing w:line="360" w:lineRule="auto"/>
              <w:ind w:firstLine="480" w:firstLineChars="200"/>
              <w:rPr>
                <w:rFonts w:hint="default" w:ascii="Times New Roman" w:hAnsi="Times New Roman" w:cs="Times New Roman"/>
                <w:color w:val="7030A0"/>
                <w:sz w:val="24"/>
              </w:rPr>
            </w:pPr>
            <w:r>
              <w:rPr>
                <w:rFonts w:hint="default" w:ascii="Times New Roman" w:hAnsi="Times New Roman" w:cs="Times New Roman"/>
                <w:bCs/>
                <w:color w:val="7030A0"/>
                <w:sz w:val="24"/>
                <w:lang w:val="zh-CN"/>
              </w:rPr>
              <w:t>在公示的期间内，建设单位、评价单位均未收到公众来电、来信或来访。建设单位承诺，将严格按照环评文件和环评批复文件中的要求，落实各项环保设施及措施，严格执行“三同时”制度，在施工期和营运期尽量做好污染物的防治工作，同时积极配合环保部门监督检查</w:t>
            </w:r>
            <w:r>
              <w:rPr>
                <w:rFonts w:hint="default" w:ascii="Times New Roman" w:hAnsi="Times New Roman" w:cs="Times New Roman"/>
                <w:color w:val="7030A0"/>
                <w:sz w:val="24"/>
              </w:rPr>
              <w:t>。</w:t>
            </w:r>
          </w:p>
          <w:p>
            <w:pPr>
              <w:spacing w:line="360" w:lineRule="auto"/>
              <w:ind w:firstLine="480" w:firstLineChars="200"/>
              <w:rPr>
                <w:rFonts w:hint="default" w:ascii="Times New Roman" w:hAnsi="Times New Roman" w:cs="Times New Roman"/>
                <w:bCs/>
                <w:color w:val="auto"/>
                <w:sz w:val="24"/>
                <w:lang w:val="zh-CN"/>
              </w:rPr>
            </w:pPr>
            <w:r>
              <w:rPr>
                <w:rFonts w:hint="default" w:ascii="Times New Roman" w:hAnsi="Times New Roman" w:cs="Times New Roman"/>
                <w:bCs/>
                <w:color w:val="auto"/>
                <w:sz w:val="24"/>
                <w:lang w:val="zh-CN"/>
              </w:rPr>
              <w:t>在建设方按要求实行各方面环保措施，切实执行本报告中所提出的各项环保治理措施，减少项目在建设及营运期间对居民生活及环境的影响，公众是支持该项目的建设的。</w:t>
            </w:r>
          </w:p>
          <w:p>
            <w:pPr>
              <w:adjustRightInd w:val="0"/>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六、建议</w:t>
            </w:r>
          </w:p>
          <w:p>
            <w:pPr>
              <w:spacing w:line="360" w:lineRule="auto"/>
              <w:ind w:firstLine="480" w:firstLineChars="200"/>
              <w:rPr>
                <w:rFonts w:hint="default" w:ascii="Times New Roman" w:hAnsi="Times New Roman" w:cs="Times New Roman"/>
                <w:bCs/>
                <w:color w:val="auto"/>
                <w:sz w:val="24"/>
                <w:lang w:val="zh-CN"/>
              </w:rPr>
            </w:pPr>
            <w:r>
              <w:rPr>
                <w:rFonts w:hint="default" w:ascii="Times New Roman" w:hAnsi="Times New Roman" w:cs="Times New Roman"/>
                <w:bCs/>
                <w:color w:val="auto"/>
                <w:sz w:val="24"/>
                <w:lang w:val="zh-CN"/>
              </w:rPr>
              <w:t xml:space="preserve">认真执行污染防治设施与主体工程“三同时”制度，各项污染治理设施均应按要求报当地环保行政管理部门验收后投入使用。 </w:t>
            </w:r>
          </w:p>
          <w:p>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1、切实做好各项环保措施和绿化措施，减少本项目污染物对周边环境的影响。</w:t>
            </w:r>
          </w:p>
          <w:p>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2、项目的环境保护设施必须与主体工程同时设计、同时施工、同时投入使用；项目建成后必须报经当地环境保护部门同意方可投入试运行；治理设施必须经当地环境保护部门验收合格后才能正式投入使用。</w:t>
            </w:r>
          </w:p>
          <w:p>
            <w:pPr>
              <w:spacing w:line="360" w:lineRule="auto"/>
              <w:ind w:firstLine="480" w:firstLineChars="200"/>
              <w:rPr>
                <w:rFonts w:hint="default" w:ascii="Times New Roman" w:hAnsi="Times New Roman" w:cs="Times New Roman"/>
                <w:b/>
                <w:bCs/>
                <w:color w:val="auto"/>
                <w:sz w:val="24"/>
              </w:rPr>
            </w:pPr>
            <w:r>
              <w:rPr>
                <w:rFonts w:hint="default" w:ascii="Times New Roman" w:hAnsi="Times New Roman" w:cs="Times New Roman"/>
                <w:bCs/>
                <w:color w:val="auto"/>
                <w:sz w:val="24"/>
              </w:rPr>
              <w:t>综上所述，项目在切实落实“三同时”和本评价所要求的污染防治措施的情况下，排放的污染物浓度基本符合排放标准的要求，污染物排放总量也能满足所在区域总量控制的要求，在正常情况下，对该区域的环境影响可以承受。</w:t>
            </w:r>
            <w:r>
              <w:rPr>
                <w:rFonts w:hint="default" w:ascii="Times New Roman" w:hAnsi="Times New Roman" w:cs="Times New Roman"/>
                <w:b/>
                <w:bCs/>
                <w:color w:val="auto"/>
                <w:sz w:val="24"/>
              </w:rPr>
              <w:t>因此，从环保的角度来评价，</w:t>
            </w:r>
            <w:r>
              <w:rPr>
                <w:rFonts w:hint="default" w:ascii="Times New Roman" w:hAnsi="Times New Roman" w:cs="Times New Roman"/>
                <w:b/>
                <w:bCs/>
                <w:color w:val="auto"/>
                <w:sz w:val="24"/>
                <w:lang w:eastAsia="zh-CN"/>
              </w:rPr>
              <w:t>揭东岭东医院建设项目</w:t>
            </w:r>
            <w:r>
              <w:rPr>
                <w:rFonts w:hint="default" w:ascii="Times New Roman" w:hAnsi="Times New Roman" w:cs="Times New Roman"/>
                <w:b/>
                <w:color w:val="auto"/>
                <w:sz w:val="24"/>
                <w:lang w:eastAsia="zh-CN"/>
              </w:rPr>
              <w:t>工程</w:t>
            </w:r>
            <w:r>
              <w:rPr>
                <w:rFonts w:hint="default" w:ascii="Times New Roman" w:hAnsi="Times New Roman" w:cs="Times New Roman"/>
                <w:b/>
                <w:bCs/>
                <w:color w:val="auto"/>
                <w:sz w:val="24"/>
              </w:rPr>
              <w:t>是可行的。</w:t>
            </w:r>
          </w:p>
          <w:p>
            <w:pPr>
              <w:spacing w:line="360" w:lineRule="auto"/>
              <w:ind w:firstLine="482" w:firstLineChars="200"/>
              <w:jc w:val="right"/>
              <w:rPr>
                <w:rFonts w:hint="default" w:ascii="Times New Roman" w:hAnsi="Times New Roman" w:cs="Times New Roman"/>
                <w:b/>
                <w:bCs/>
                <w:color w:val="auto"/>
                <w:sz w:val="24"/>
                <w:lang w:eastAsia="zh-CN"/>
              </w:rPr>
            </w:pPr>
          </w:p>
          <w:p>
            <w:pPr>
              <w:spacing w:line="360" w:lineRule="auto"/>
              <w:ind w:firstLine="480" w:firstLineChars="200"/>
              <w:jc w:val="right"/>
              <w:rPr>
                <w:rFonts w:hint="default" w:ascii="Times New Roman" w:hAnsi="Times New Roman" w:cs="Times New Roman"/>
                <w:b/>
                <w:bCs/>
                <w:color w:val="auto"/>
                <w:sz w:val="24"/>
                <w:highlight w:val="yellow"/>
              </w:rPr>
            </w:pPr>
            <w:r>
              <w:rPr>
                <w:rFonts w:hint="default" w:ascii="Times New Roman" w:hAnsi="Times New Roman" w:cs="Times New Roman"/>
                <w:sz w:val="24"/>
                <w:szCs w:val="24"/>
                <w:lang w:eastAsia="zh-CN"/>
              </w:rPr>
              <w:t>深圳环新生态技术有限公司</w:t>
            </w:r>
          </w:p>
          <w:p>
            <w:pPr>
              <w:spacing w:line="360" w:lineRule="auto"/>
              <w:jc w:val="left"/>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声明：</w:t>
            </w:r>
          </w:p>
          <w:p>
            <w:pPr>
              <w:spacing w:line="360" w:lineRule="auto"/>
              <w:ind w:firstLine="561" w:firstLineChars="233"/>
              <w:jc w:val="left"/>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本单位认可本报告的全部内容。</w:t>
            </w:r>
          </w:p>
          <w:p>
            <w:pPr>
              <w:spacing w:line="360" w:lineRule="auto"/>
              <w:ind w:firstLine="561" w:firstLineChars="233"/>
              <w:jc w:val="left"/>
              <w:rPr>
                <w:rFonts w:hint="default" w:ascii="Times New Roman" w:hAnsi="Times New Roman" w:cs="Times New Roman"/>
                <w:b/>
                <w:bCs/>
                <w:color w:val="auto"/>
                <w:sz w:val="24"/>
                <w:highlight w:val="none"/>
              </w:rPr>
            </w:pPr>
          </w:p>
          <w:p>
            <w:pPr>
              <w:wordWrap w:val="0"/>
              <w:spacing w:line="360" w:lineRule="auto"/>
              <w:ind w:firstLine="561" w:firstLineChars="233"/>
              <w:jc w:val="right"/>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单位法人或授权人签名：</w:t>
            </w:r>
            <w:r>
              <w:rPr>
                <w:rFonts w:hint="default" w:ascii="Times New Roman" w:hAnsi="Times New Roman" w:cs="Times New Roman"/>
                <w:b/>
                <w:bCs/>
                <w:color w:val="auto"/>
                <w:sz w:val="24"/>
                <w:highlight w:val="none"/>
                <w:u w:val="single"/>
              </w:rPr>
              <w:t xml:space="preserve">           </w:t>
            </w:r>
            <w:r>
              <w:rPr>
                <w:rFonts w:hint="default" w:ascii="Times New Roman" w:hAnsi="Times New Roman" w:cs="Times New Roman"/>
                <w:b/>
                <w:bCs/>
                <w:color w:val="auto"/>
                <w:sz w:val="24"/>
                <w:highlight w:val="none"/>
              </w:rPr>
              <w:t xml:space="preserve"> </w:t>
            </w:r>
          </w:p>
          <w:p>
            <w:pPr>
              <w:wordWrap w:val="0"/>
              <w:spacing w:line="360" w:lineRule="auto"/>
              <w:ind w:firstLine="561" w:firstLineChars="233"/>
              <w:jc w:val="right"/>
              <w:rPr>
                <w:rFonts w:hint="default" w:ascii="Times New Roman" w:hAnsi="Times New Roman" w:cs="Times New Roman"/>
                <w:b/>
                <w:bCs/>
                <w:color w:val="auto"/>
                <w:sz w:val="24"/>
              </w:rPr>
            </w:pPr>
            <w:r>
              <w:rPr>
                <w:rFonts w:hint="default" w:ascii="Times New Roman" w:hAnsi="Times New Roman" w:cs="Times New Roman"/>
                <w:b/>
                <w:bCs/>
                <w:color w:val="auto"/>
                <w:sz w:val="24"/>
                <w:highlight w:val="none"/>
              </w:rPr>
              <w:t xml:space="preserve">年    月    日  </w:t>
            </w:r>
          </w:p>
        </w:tc>
      </w:tr>
    </w:tbl>
    <w:p>
      <w:pPr>
        <w:rPr>
          <w:rFonts w:hint="default" w:ascii="Times New Roman" w:hAnsi="Times New Roman" w:cs="Times New Roman"/>
          <w:color w:val="auto"/>
        </w:rPr>
        <w:sectPr>
          <w:footerReference r:id="rId11" w:type="default"/>
          <w:pgSz w:w="11907" w:h="16840"/>
          <w:pgMar w:top="1531" w:right="1134" w:bottom="1134" w:left="1418" w:header="907" w:footer="907" w:gutter="0"/>
          <w:pgBorders>
            <w:top w:val="none" w:sz="0" w:space="0"/>
            <w:left w:val="none" w:sz="0" w:space="0"/>
            <w:bottom w:val="none" w:sz="0" w:space="0"/>
            <w:right w:val="none" w:sz="0" w:space="0"/>
          </w:pgBorders>
          <w:cols w:space="720" w:num="1"/>
          <w:docGrid w:linePitch="326" w:charSpace="-4916"/>
        </w:sectPr>
      </w:pPr>
    </w:p>
    <w:tbl>
      <w:tblPr>
        <w:tblStyle w:val="31"/>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6" w:hRule="atLeast"/>
        </w:trPr>
        <w:tc>
          <w:tcPr>
            <w:tcW w:w="9288" w:type="dxa"/>
          </w:tcPr>
          <w:p>
            <w:pPr>
              <w:pStyle w:val="44"/>
              <w:spacing w:before="200" w:line="240" w:lineRule="auto"/>
              <w:ind w:firstLine="0"/>
              <w:rPr>
                <w:rFonts w:hint="default" w:ascii="Times New Roman" w:hAnsi="Times New Roman" w:eastAsia="黑体" w:cs="Times New Roman"/>
                <w:color w:val="auto"/>
              </w:rPr>
            </w:pPr>
            <w:r>
              <w:rPr>
                <w:rFonts w:hint="default" w:ascii="Times New Roman" w:hAnsi="Times New Roman" w:eastAsia="黑体" w:cs="Times New Roman"/>
                <w:bCs/>
                <w:color w:val="auto"/>
              </w:rPr>
              <w:t>预审意见：</w:t>
            </w: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r>
              <w:rPr>
                <w:rFonts w:hint="default" w:ascii="Times New Roman" w:hAnsi="Times New Roman" w:eastAsia="宋体" w:cs="Times New Roman"/>
                <w:color w:val="auto"/>
              </w:rPr>
              <w:t>　　　　　　　　　　　　　　　　　　　　　　　　　　　　　　　公　章</w:t>
            </w:r>
          </w:p>
          <w:p>
            <w:pPr>
              <w:pStyle w:val="44"/>
              <w:spacing w:before="200" w:line="240" w:lineRule="auto"/>
              <w:ind w:firstLine="0"/>
              <w:rPr>
                <w:rFonts w:hint="default" w:ascii="Times New Roman" w:hAnsi="Times New Roman" w:eastAsia="宋体" w:cs="Times New Roman"/>
                <w:color w:val="auto"/>
              </w:rPr>
            </w:pPr>
            <w:r>
              <w:rPr>
                <w:rFonts w:hint="default" w:ascii="Times New Roman" w:hAnsi="Times New Roman" w:eastAsia="宋体" w:cs="Times New Roman"/>
                <w:color w:val="auto"/>
              </w:rPr>
              <w:t>经办人：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81" w:hRule="atLeast"/>
        </w:trPr>
        <w:tc>
          <w:tcPr>
            <w:tcW w:w="9288" w:type="dxa"/>
          </w:tcPr>
          <w:p>
            <w:pPr>
              <w:pStyle w:val="44"/>
              <w:spacing w:before="200" w:line="240" w:lineRule="auto"/>
              <w:ind w:firstLine="0"/>
              <w:rPr>
                <w:rFonts w:hint="default" w:ascii="Times New Roman" w:hAnsi="Times New Roman" w:eastAsia="黑体" w:cs="Times New Roman"/>
                <w:bCs/>
                <w:color w:val="auto"/>
              </w:rPr>
            </w:pPr>
            <w:r>
              <w:rPr>
                <w:rFonts w:hint="default" w:ascii="Times New Roman" w:hAnsi="Times New Roman" w:eastAsia="黑体" w:cs="Times New Roman"/>
                <w:bCs/>
                <w:color w:val="auto"/>
              </w:rPr>
              <w:t>下一级环境保护行政主管部门审查意见：</w:t>
            </w: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r>
              <w:rPr>
                <w:rFonts w:hint="default" w:ascii="Times New Roman" w:hAnsi="Times New Roman" w:eastAsia="宋体" w:cs="Times New Roman"/>
                <w:color w:val="auto"/>
              </w:rPr>
              <w:t>　　　　　　　　　　　　　　　　　　　　　　　　　　　　　　　公　章</w:t>
            </w:r>
          </w:p>
          <w:p>
            <w:pPr>
              <w:pStyle w:val="44"/>
              <w:spacing w:before="200" w:line="240" w:lineRule="auto"/>
              <w:ind w:firstLine="0"/>
              <w:rPr>
                <w:rFonts w:hint="default" w:ascii="Times New Roman" w:hAnsi="Times New Roman" w:eastAsia="宋体" w:cs="Times New Roman"/>
                <w:color w:val="auto"/>
              </w:rPr>
            </w:pPr>
            <w:r>
              <w:rPr>
                <w:rFonts w:hint="default" w:ascii="Times New Roman" w:hAnsi="Times New Roman" w:eastAsia="宋体" w:cs="Times New Roman"/>
                <w:color w:val="auto"/>
              </w:rPr>
              <w:t>经办人：　　　　　　　　　　　　　　　　　　　　　　　　　　年　　月　　日</w:t>
            </w:r>
          </w:p>
          <w:p>
            <w:pPr>
              <w:pStyle w:val="44"/>
              <w:spacing w:before="200" w:line="240" w:lineRule="auto"/>
              <w:ind w:firstLine="0"/>
              <w:rPr>
                <w:rFonts w:hint="default" w:ascii="Times New Roman" w:hAnsi="Times New Roman" w:eastAsia="宋体" w:cs="Times New Roman"/>
                <w:color w:val="auto"/>
              </w:rPr>
            </w:pPr>
          </w:p>
        </w:tc>
      </w:tr>
    </w:tbl>
    <w:p>
      <w:pPr>
        <w:pStyle w:val="44"/>
        <w:spacing w:before="200" w:line="240" w:lineRule="auto"/>
        <w:ind w:firstLine="0"/>
        <w:rPr>
          <w:rFonts w:hint="default" w:ascii="Times New Roman" w:hAnsi="Times New Roman" w:eastAsia="宋体" w:cs="Times New Roman"/>
          <w:b/>
          <w:bCs/>
          <w:color w:val="auto"/>
          <w:sz w:val="28"/>
        </w:rPr>
        <w:sectPr>
          <w:footerReference r:id="rId12" w:type="default"/>
          <w:pgSz w:w="11906" w:h="16838"/>
          <w:pgMar w:top="1134" w:right="1191" w:bottom="1463" w:left="1418" w:header="907" w:footer="907" w:gutter="0"/>
          <w:pgBorders>
            <w:top w:val="none" w:sz="0" w:space="0"/>
            <w:left w:val="none" w:sz="0" w:space="0"/>
            <w:bottom w:val="none" w:sz="0" w:space="0"/>
            <w:right w:val="none" w:sz="0" w:space="0"/>
          </w:pgBorders>
          <w:cols w:space="720" w:num="1"/>
          <w:docGrid w:linePitch="326" w:charSpace="0"/>
        </w:sectPr>
      </w:pPr>
    </w:p>
    <w:tbl>
      <w:tblPr>
        <w:tblStyle w:val="31"/>
        <w:tblpPr w:leftFromText="180" w:rightFromText="180" w:horzAnchor="margin" w:tblpY="326"/>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49" w:hRule="atLeast"/>
        </w:trPr>
        <w:tc>
          <w:tcPr>
            <w:tcW w:w="9288" w:type="dxa"/>
            <w:tcBorders>
              <w:bottom w:val="single" w:color="auto" w:sz="4" w:space="0"/>
            </w:tcBorders>
          </w:tcPr>
          <w:p>
            <w:pPr>
              <w:pStyle w:val="44"/>
              <w:spacing w:before="200" w:line="240" w:lineRule="auto"/>
              <w:ind w:firstLine="0"/>
              <w:rPr>
                <w:rFonts w:hint="default" w:ascii="Times New Roman" w:hAnsi="Times New Roman" w:eastAsia="黑体" w:cs="Times New Roman"/>
                <w:bCs/>
                <w:color w:val="auto"/>
              </w:rPr>
            </w:pPr>
            <w:r>
              <w:rPr>
                <w:rFonts w:hint="default" w:ascii="Times New Roman" w:hAnsi="Times New Roman" w:eastAsia="黑体" w:cs="Times New Roman"/>
                <w:bCs/>
                <w:color w:val="auto"/>
              </w:rPr>
              <w:t>审批意见：</w:t>
            </w: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p>
          <w:p>
            <w:pPr>
              <w:pStyle w:val="44"/>
              <w:spacing w:before="200" w:line="240" w:lineRule="auto"/>
              <w:ind w:firstLine="0"/>
              <w:rPr>
                <w:rFonts w:hint="default" w:ascii="Times New Roman" w:hAnsi="Times New Roman" w:eastAsia="宋体" w:cs="Times New Roman"/>
                <w:color w:val="auto"/>
              </w:rPr>
            </w:pPr>
            <w:r>
              <w:rPr>
                <w:rFonts w:hint="default" w:ascii="Times New Roman" w:hAnsi="Times New Roman" w:eastAsia="宋体" w:cs="Times New Roman"/>
                <w:color w:val="auto"/>
              </w:rPr>
              <w:t>　　　　　　　　　　　　　　　　　　　　　　　　　　　　　　　公　章</w:t>
            </w:r>
          </w:p>
          <w:p>
            <w:pPr>
              <w:pStyle w:val="44"/>
              <w:spacing w:before="200" w:line="240" w:lineRule="auto"/>
              <w:ind w:firstLine="0"/>
              <w:rPr>
                <w:rFonts w:hint="default" w:ascii="Times New Roman" w:hAnsi="Times New Roman" w:eastAsia="宋体" w:cs="Times New Roman"/>
                <w:color w:val="auto"/>
              </w:rPr>
            </w:pPr>
            <w:r>
              <w:rPr>
                <w:rFonts w:hint="default" w:ascii="Times New Roman" w:hAnsi="Times New Roman" w:eastAsia="宋体" w:cs="Times New Roman"/>
                <w:color w:val="auto"/>
              </w:rPr>
              <w:t>经办人：　　　　　　　　　　　　　　　　　　　　　　　　　　　年　　月　　日</w:t>
            </w:r>
          </w:p>
        </w:tc>
      </w:tr>
    </w:tbl>
    <w:p>
      <w:pPr>
        <w:rPr>
          <w:rFonts w:hint="default" w:ascii="Times New Roman" w:hAnsi="Times New Roman" w:cs="Times New Roman"/>
          <w:color w:val="auto"/>
        </w:rPr>
      </w:pPr>
    </w:p>
    <w:p>
      <w:pPr>
        <w:pStyle w:val="17"/>
        <w:jc w:val="center"/>
        <w:rPr>
          <w:rFonts w:hint="default" w:ascii="Times New Roman" w:hAnsi="Times New Roman" w:cs="Times New Roman"/>
        </w:rPr>
        <w:sectPr>
          <w:footerReference r:id="rId13" w:type="default"/>
          <w:type w:val="continuous"/>
          <w:pgSz w:w="11907" w:h="16840"/>
          <w:pgMar w:top="1531" w:right="1134" w:bottom="1134" w:left="1418" w:header="907" w:footer="907" w:gutter="0"/>
          <w:pgBorders>
            <w:top w:val="none" w:sz="0" w:space="0"/>
            <w:left w:val="none" w:sz="0" w:space="0"/>
            <w:bottom w:val="none" w:sz="0" w:space="0"/>
            <w:right w:val="none" w:sz="0" w:space="0"/>
          </w:pgBorders>
          <w:cols w:space="720" w:num="1"/>
          <w:docGrid w:linePitch="326" w:charSpace="-4916"/>
        </w:sectPr>
      </w:pPr>
      <w:r>
        <w:rPr>
          <w:rFonts w:hint="default" w:ascii="Times New Roman" w:hAnsi="Times New Roman" w:cs="Times New Roman"/>
          <w:color w:val="auto"/>
        </w:rPr>
        <w:br w:type="page"/>
      </w:r>
    </w:p>
    <w:p>
      <w:pPr>
        <w:keepNext w:val="0"/>
        <w:keepLines w:val="0"/>
        <w:widowControl/>
        <w:suppressLineNumbers w:val="0"/>
        <w:jc w:val="center"/>
        <w:rPr>
          <w:rFonts w:ascii="宋体" w:hAnsi="宋体" w:eastAsia="宋体" w:cs="宋体"/>
          <w:kern w:val="0"/>
          <w:sz w:val="24"/>
          <w:szCs w:val="24"/>
          <w:lang w:val="en-US" w:eastAsia="zh-CN" w:bidi="ar"/>
        </w:rPr>
      </w:pPr>
      <w:r>
        <w:rPr>
          <w:sz w:val="24"/>
        </w:rPr>
        <mc:AlternateContent>
          <mc:Choice Requires="wps">
            <w:drawing>
              <wp:anchor distT="0" distB="0" distL="114300" distR="114300" simplePos="0" relativeHeight="251598848" behindDoc="0" locked="0" layoutInCell="1" allowOverlap="1">
                <wp:simplePos x="0" y="0"/>
                <wp:positionH relativeFrom="column">
                  <wp:posOffset>7975600</wp:posOffset>
                </wp:positionH>
                <wp:positionV relativeFrom="paragraph">
                  <wp:posOffset>10795</wp:posOffset>
                </wp:positionV>
                <wp:extent cx="990600" cy="904875"/>
                <wp:effectExtent l="0" t="0" r="0" b="0"/>
                <wp:wrapNone/>
                <wp:docPr id="36" name="矩形 36"/>
                <wp:cNvGraphicFramePr/>
                <a:graphic xmlns:a="http://schemas.openxmlformats.org/drawingml/2006/main">
                  <a:graphicData uri="http://schemas.microsoft.com/office/word/2010/wordprocessingShape">
                    <wps:wsp>
                      <wps:cNvSpPr/>
                      <wps:spPr>
                        <a:xfrm>
                          <a:off x="0" y="0"/>
                          <a:ext cx="990600" cy="904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lang w:eastAsia="zh-CN"/>
                              </w:rPr>
                            </w:pPr>
                            <w:r>
                              <w:rPr>
                                <w:rFonts w:hint="eastAsia" w:eastAsia="宋体"/>
                                <w:lang w:eastAsia="zh-CN"/>
                              </w:rPr>
                              <w:drawing>
                                <wp:inline distT="0" distB="0" distL="114300" distR="114300">
                                  <wp:extent cx="794385" cy="767715"/>
                                  <wp:effectExtent l="0" t="0" r="5715" b="13335"/>
                                  <wp:docPr id="37" name="图片 37" descr="坐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坐标"/>
                                          <pic:cNvPicPr>
                                            <a:picLocks noChangeAspect="1"/>
                                          </pic:cNvPicPr>
                                        </pic:nvPicPr>
                                        <pic:blipFill>
                                          <a:blip r:embed="rId30"/>
                                          <a:stretch>
                                            <a:fillRect/>
                                          </a:stretch>
                                        </pic:blipFill>
                                        <pic:spPr>
                                          <a:xfrm>
                                            <a:off x="0" y="0"/>
                                            <a:ext cx="794385" cy="7677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28pt;margin-top:0.85pt;height:71.25pt;width:78pt;z-index:251598848;v-text-anchor:middle;mso-width-relative:page;mso-height-relative:page;" filled="f" stroked="f" coordsize="21600,21600" o:gfxdata="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qK4sI1gAAAAsBAAAPAAAAAAAAAAEAIAAAACIA&#10;AABkcnMvZG93bnJldi54bWxQSwECFAAUAAAACACHTuJApZ3RkUQCAABgBAAADgAAAAAAAAABACAA&#10;AAAlAQAAZHJzL2Uyb0RvYy54bWxQSwUGAAAAAAYABgBZAQAA2wUAAAAA&#10;">
                <v:fill on="f" focussize="0,0"/>
                <v:stroke on="f" weight="1pt" miterlimit="8" joinstyle="miter"/>
                <v:imagedata o:title=""/>
                <o:lock v:ext="edit" aspectratio="f"/>
                <v:textbox>
                  <w:txbxContent>
                    <w:p>
                      <w:pPr>
                        <w:jc w:val="center"/>
                        <w:rPr>
                          <w:rFonts w:hint="eastAsia" w:eastAsia="宋体"/>
                          <w:lang w:eastAsia="zh-CN"/>
                        </w:rPr>
                      </w:pPr>
                      <w:r>
                        <w:rPr>
                          <w:rFonts w:hint="eastAsia" w:eastAsia="宋体"/>
                          <w:lang w:eastAsia="zh-CN"/>
                        </w:rPr>
                        <w:drawing>
                          <wp:inline distT="0" distB="0" distL="114300" distR="114300">
                            <wp:extent cx="794385" cy="767715"/>
                            <wp:effectExtent l="0" t="0" r="5715" b="13335"/>
                            <wp:docPr id="37" name="图片 37" descr="坐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坐标"/>
                                    <pic:cNvPicPr>
                                      <a:picLocks noChangeAspect="1"/>
                                    </pic:cNvPicPr>
                                  </pic:nvPicPr>
                                  <pic:blipFill>
                                    <a:blip r:embed="rId30"/>
                                    <a:stretch>
                                      <a:fillRect/>
                                    </a:stretch>
                                  </pic:blipFill>
                                  <pic:spPr>
                                    <a:xfrm>
                                      <a:off x="0" y="0"/>
                                      <a:ext cx="794385" cy="767715"/>
                                    </a:xfrm>
                                    <a:prstGeom prst="rect">
                                      <a:avLst/>
                                    </a:prstGeom>
                                  </pic:spPr>
                                </pic:pic>
                              </a:graphicData>
                            </a:graphic>
                          </wp:inline>
                        </w:drawing>
                      </w:r>
                    </w:p>
                  </w:txbxContent>
                </v:textbox>
              </v:rect>
            </w:pict>
          </mc:Fallback>
        </mc:AlternateContent>
      </w:r>
      <w:r>
        <w:rPr>
          <w:sz w:val="24"/>
        </w:rPr>
        <mc:AlternateContent>
          <mc:Choice Requires="wps">
            <w:drawing>
              <wp:anchor distT="0" distB="0" distL="114300" distR="114300" simplePos="0" relativeHeight="251589632" behindDoc="0" locked="0" layoutInCell="1" allowOverlap="1">
                <wp:simplePos x="0" y="0"/>
                <wp:positionH relativeFrom="column">
                  <wp:posOffset>3736340</wp:posOffset>
                </wp:positionH>
                <wp:positionV relativeFrom="paragraph">
                  <wp:posOffset>944245</wp:posOffset>
                </wp:positionV>
                <wp:extent cx="981075" cy="323850"/>
                <wp:effectExtent l="580390" t="6350" r="19685" b="298450"/>
                <wp:wrapNone/>
                <wp:docPr id="14" name="圆角矩形标注 14"/>
                <wp:cNvGraphicFramePr/>
                <a:graphic xmlns:a="http://schemas.openxmlformats.org/drawingml/2006/main">
                  <a:graphicData uri="http://schemas.microsoft.com/office/word/2010/wordprocessingShape">
                    <wps:wsp>
                      <wps:cNvSpPr/>
                      <wps:spPr>
                        <a:xfrm>
                          <a:off x="4456430" y="1844675"/>
                          <a:ext cx="981075" cy="323850"/>
                        </a:xfrm>
                        <a:prstGeom prst="wedgeRoundRectCallout">
                          <a:avLst>
                            <a:gd name="adj1" fmla="val -104110"/>
                            <a:gd name="adj2" fmla="val 133137"/>
                            <a:gd name="adj3" fmla="val 16667"/>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lang w:eastAsia="zh-CN"/>
                              </w:rPr>
                            </w:pPr>
                            <w:r>
                              <w:rPr>
                                <w:rFonts w:hint="eastAsia"/>
                                <w:lang w:eastAsia="zh-CN"/>
                              </w:rPr>
                              <w:t>项目所在地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294.2pt;margin-top:74.35pt;height:25.5pt;width:77.25pt;z-index:251589632;v-text-anchor:middle;mso-width-relative:page;mso-height-relative:page;" fillcolor="#4472C4 [3204]" filled="t" stroked="t" coordsize="21600,21600" o:gfxdata="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Dx&#10;49H12gAAAAsBAAAPAAAAAAAAAAEAIAAAACIAAABkcnMvZG93bnJldi54bWxQSwECFAAUAAAACACH&#10;TuJA7qhVGc0CAAB0BQAADgAAAAAAAAABACAAAAApAQAAZHJzL2Uyb0RvYy54bWxQSwUGAAAAAAYA&#10;BgBZAQAAaAYAAAAA&#10;" adj="-11688,39558,14400">
                <v:fill on="t" focussize="0,0"/>
                <v:stroke weight="1pt" color="#2F528F [3204]" miterlimit="8" joinstyle="miter"/>
                <v:imagedata o:title=""/>
                <o:lock v:ext="edit" aspectratio="f"/>
                <v:textbox>
                  <w:txbxContent>
                    <w:p>
                      <w:pPr>
                        <w:jc w:val="center"/>
                        <w:rPr>
                          <w:rFonts w:hint="eastAsia" w:eastAsia="宋体"/>
                          <w:lang w:eastAsia="zh-CN"/>
                        </w:rPr>
                      </w:pPr>
                      <w:r>
                        <w:rPr>
                          <w:rFonts w:hint="eastAsia"/>
                          <w:lang w:eastAsia="zh-CN"/>
                        </w:rPr>
                        <w:t>项目所在地</w:t>
                      </w:r>
                    </w:p>
                  </w:txbxContent>
                </v:textbox>
              </v:shape>
            </w:pict>
          </mc:Fallback>
        </mc:AlternateContent>
      </w:r>
      <w:r>
        <w:rPr>
          <w:rFonts w:ascii="宋体" w:hAnsi="宋体" w:eastAsia="宋体" w:cs="宋体"/>
          <w:kern w:val="0"/>
          <w:sz w:val="24"/>
          <w:szCs w:val="24"/>
          <w:lang w:val="en-US" w:eastAsia="zh-CN" w:bidi="ar"/>
        </w:rPr>
        <w:drawing>
          <wp:inline distT="0" distB="0" distL="114300" distR="114300">
            <wp:extent cx="8945245" cy="5496560"/>
            <wp:effectExtent l="0" t="0" r="8255" b="8890"/>
            <wp:docPr id="13"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descr="IMG_256"/>
                    <pic:cNvPicPr>
                      <a:picLocks noChangeAspect="1"/>
                    </pic:cNvPicPr>
                  </pic:nvPicPr>
                  <pic:blipFill>
                    <a:blip r:embed="rId31"/>
                    <a:stretch>
                      <a:fillRect/>
                    </a:stretch>
                  </pic:blipFill>
                  <pic:spPr>
                    <a:xfrm>
                      <a:off x="0" y="0"/>
                      <a:ext cx="8945245" cy="5496560"/>
                    </a:xfrm>
                    <a:prstGeom prst="rect">
                      <a:avLst/>
                    </a:prstGeom>
                    <a:noFill/>
                    <a:ln w="9525">
                      <a:noFill/>
                    </a:ln>
                  </pic:spPr>
                </pic:pic>
              </a:graphicData>
            </a:graphic>
          </wp:inline>
        </w:drawing>
      </w:r>
    </w:p>
    <w:p>
      <w:pPr>
        <w:pStyle w:val="2"/>
        <w:jc w:val="center"/>
        <w:rPr>
          <w:rFonts w:hint="default"/>
          <w:b/>
          <w:bCs/>
          <w:lang w:val="en-US"/>
        </w:rPr>
      </w:pPr>
      <w:r>
        <w:rPr>
          <w:rFonts w:hint="eastAsia" w:ascii="宋体" w:hAnsi="宋体" w:eastAsia="宋体" w:cs="宋体"/>
          <w:b/>
          <w:bCs/>
          <w:kern w:val="0"/>
          <w:sz w:val="24"/>
          <w:szCs w:val="24"/>
          <w:lang w:val="en-US" w:eastAsia="zh-CN" w:bidi="ar"/>
        </w:rPr>
        <w:t>附图1 项目地理位置图</w:t>
      </w:r>
    </w:p>
    <w:p>
      <w:pPr>
        <w:pStyle w:val="2"/>
        <w:rPr>
          <w:rFonts w:hint="default" w:ascii="Times New Roman" w:hAnsi="Times New Roman" w:cs="Times New Roman"/>
        </w:rPr>
      </w:pPr>
    </w:p>
    <w:p>
      <w:pPr>
        <w:keepNext w:val="0"/>
        <w:keepLines w:val="0"/>
        <w:widowControl/>
        <w:suppressLineNumbers w:val="0"/>
        <w:jc w:val="center"/>
        <w:rPr>
          <w:rFonts w:ascii="宋体" w:hAnsi="宋体" w:eastAsia="宋体" w:cs="宋体"/>
          <w:kern w:val="0"/>
          <w:sz w:val="24"/>
          <w:szCs w:val="24"/>
          <w:lang w:val="en-US" w:eastAsia="zh-CN" w:bidi="ar"/>
        </w:rPr>
      </w:pPr>
      <w:r>
        <w:rPr>
          <w:sz w:val="24"/>
        </w:rPr>
        <mc:AlternateContent>
          <mc:Choice Requires="wps">
            <w:drawing>
              <wp:anchor distT="0" distB="0" distL="114300" distR="114300" simplePos="0" relativeHeight="251598848" behindDoc="0" locked="0" layoutInCell="1" allowOverlap="1">
                <wp:simplePos x="0" y="0"/>
                <wp:positionH relativeFrom="column">
                  <wp:posOffset>6861175</wp:posOffset>
                </wp:positionH>
                <wp:positionV relativeFrom="paragraph">
                  <wp:posOffset>-8255</wp:posOffset>
                </wp:positionV>
                <wp:extent cx="990600" cy="904875"/>
                <wp:effectExtent l="0" t="0" r="0" b="0"/>
                <wp:wrapNone/>
                <wp:docPr id="34" name="矩形 34"/>
                <wp:cNvGraphicFramePr/>
                <a:graphic xmlns:a="http://schemas.openxmlformats.org/drawingml/2006/main">
                  <a:graphicData uri="http://schemas.microsoft.com/office/word/2010/wordprocessingShape">
                    <wps:wsp>
                      <wps:cNvSpPr/>
                      <wps:spPr>
                        <a:xfrm>
                          <a:off x="7638415" y="939800"/>
                          <a:ext cx="990600" cy="9048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lang w:eastAsia="zh-CN"/>
                              </w:rPr>
                            </w:pPr>
                            <w:r>
                              <w:rPr>
                                <w:rFonts w:hint="eastAsia" w:eastAsia="宋体"/>
                                <w:lang w:eastAsia="zh-CN"/>
                              </w:rPr>
                              <w:drawing>
                                <wp:inline distT="0" distB="0" distL="114300" distR="114300">
                                  <wp:extent cx="794385" cy="767715"/>
                                  <wp:effectExtent l="0" t="0" r="5715" b="13335"/>
                                  <wp:docPr id="35" name="图片 35" descr="坐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坐标"/>
                                          <pic:cNvPicPr>
                                            <a:picLocks noChangeAspect="1"/>
                                          </pic:cNvPicPr>
                                        </pic:nvPicPr>
                                        <pic:blipFill>
                                          <a:blip r:embed="rId30"/>
                                          <a:stretch>
                                            <a:fillRect/>
                                          </a:stretch>
                                        </pic:blipFill>
                                        <pic:spPr>
                                          <a:xfrm>
                                            <a:off x="0" y="0"/>
                                            <a:ext cx="794385" cy="7677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40.25pt;margin-top:-0.65pt;height:71.25pt;width:78pt;z-index:251598848;v-text-anchor:middle;mso-width-relative:page;mso-height-relative:page;" filled="f" stroked="f" coordsize="21600,21600" o:gfxdata="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JXLgt/ZAAAADAEAAA8A&#10;AAAAAAAAAQAgAAAAIgAAAGRycy9kb3ducmV2LnhtbFBLAQIUABQAAAAIAIdO4kDv7ar7TwIAAGsE&#10;AAAOAAAAAAAAAAEAIAAAACgBAABkcnMvZTJvRG9jLnhtbFBLBQYAAAAABgAGAFkBAADpBQAAAAA=&#10;">
                <v:fill on="f" focussize="0,0"/>
                <v:stroke on="f" weight="1pt" miterlimit="8" joinstyle="miter"/>
                <v:imagedata o:title=""/>
                <o:lock v:ext="edit" aspectratio="f"/>
                <v:textbox>
                  <w:txbxContent>
                    <w:p>
                      <w:pPr>
                        <w:jc w:val="center"/>
                        <w:rPr>
                          <w:rFonts w:hint="eastAsia" w:eastAsia="宋体"/>
                          <w:lang w:eastAsia="zh-CN"/>
                        </w:rPr>
                      </w:pPr>
                      <w:r>
                        <w:rPr>
                          <w:rFonts w:hint="eastAsia" w:eastAsia="宋体"/>
                          <w:lang w:eastAsia="zh-CN"/>
                        </w:rPr>
                        <w:drawing>
                          <wp:inline distT="0" distB="0" distL="114300" distR="114300">
                            <wp:extent cx="794385" cy="767715"/>
                            <wp:effectExtent l="0" t="0" r="5715" b="13335"/>
                            <wp:docPr id="35" name="图片 35" descr="坐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坐标"/>
                                    <pic:cNvPicPr>
                                      <a:picLocks noChangeAspect="1"/>
                                    </pic:cNvPicPr>
                                  </pic:nvPicPr>
                                  <pic:blipFill>
                                    <a:blip r:embed="rId30"/>
                                    <a:stretch>
                                      <a:fillRect/>
                                    </a:stretch>
                                  </pic:blipFill>
                                  <pic:spPr>
                                    <a:xfrm>
                                      <a:off x="0" y="0"/>
                                      <a:ext cx="794385" cy="767715"/>
                                    </a:xfrm>
                                    <a:prstGeom prst="rect">
                                      <a:avLst/>
                                    </a:prstGeom>
                                  </pic:spPr>
                                </pic:pic>
                              </a:graphicData>
                            </a:graphic>
                          </wp:inline>
                        </w:drawing>
                      </w:r>
                    </w:p>
                  </w:txbxContent>
                </v:textbox>
              </v:rect>
            </w:pict>
          </mc:Fallback>
        </mc:AlternateContent>
      </w:r>
      <w:r>
        <w:rPr>
          <w:sz w:val="24"/>
        </w:rPr>
        <mc:AlternateContent>
          <mc:Choice Requires="wps">
            <w:drawing>
              <wp:anchor distT="0" distB="0" distL="114300" distR="114300" simplePos="0" relativeHeight="251597824" behindDoc="0" locked="0" layoutInCell="1" allowOverlap="1">
                <wp:simplePos x="0" y="0"/>
                <wp:positionH relativeFrom="column">
                  <wp:posOffset>6918325</wp:posOffset>
                </wp:positionH>
                <wp:positionV relativeFrom="paragraph">
                  <wp:posOffset>5106670</wp:posOffset>
                </wp:positionV>
                <wp:extent cx="75565" cy="200025"/>
                <wp:effectExtent l="7620" t="34290" r="12065" b="13335"/>
                <wp:wrapNone/>
                <wp:docPr id="33" name="等腰三角形 33"/>
                <wp:cNvGraphicFramePr/>
                <a:graphic xmlns:a="http://schemas.openxmlformats.org/drawingml/2006/main">
                  <a:graphicData uri="http://schemas.microsoft.com/office/word/2010/wordprocessingShape">
                    <wps:wsp>
                      <wps:cNvSpPr/>
                      <wps:spPr>
                        <a:xfrm>
                          <a:off x="7562215" y="6035675"/>
                          <a:ext cx="75565" cy="200025"/>
                        </a:xfrm>
                        <a:prstGeom prst="triangl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544.75pt;margin-top:402.1pt;height:15.75pt;width:5.95pt;z-index:251597824;v-text-anchor:middle;mso-width-relative:page;mso-height-relative:page;" fillcolor="#FF0000" filled="t" stroked="t" coordsize="21600,21600" o:gfxdata="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JOECS/cAAAADQEAAA8AAAAAAAAAAQAgAAAAIgAAAGRycy9k&#10;b3ducmV2LnhtbFBLAQIUABQAAAAIAIdO4kBKPOu7cAIAAL8EAAAOAAAAAAAAAAEAIAAAACsBAABk&#10;cnMvZTJvRG9jLnhtbFBLBQYAAAAABgAGAFkBAAANBgAAAAA=&#10;" adj="10800">
                <v:fill on="t" focussize="0,0"/>
                <v:stroke weight="1pt" color="#FF0000 [3204]" miterlimit="8" joinstyle="miter"/>
                <v:imagedata o:title=""/>
                <o:lock v:ext="edit" aspectratio="f"/>
              </v:shape>
            </w:pict>
          </mc:Fallback>
        </mc:AlternateContent>
      </w:r>
      <w:r>
        <w:rPr>
          <w:sz w:val="24"/>
        </w:rPr>
        <mc:AlternateContent>
          <mc:Choice Requires="wps">
            <w:drawing>
              <wp:anchor distT="0" distB="0" distL="114300" distR="114300" simplePos="0" relativeHeight="251596800" behindDoc="0" locked="0" layoutInCell="1" allowOverlap="1">
                <wp:simplePos x="0" y="0"/>
                <wp:positionH relativeFrom="column">
                  <wp:posOffset>6717665</wp:posOffset>
                </wp:positionH>
                <wp:positionV relativeFrom="paragraph">
                  <wp:posOffset>4811395</wp:posOffset>
                </wp:positionV>
                <wp:extent cx="1153160" cy="676275"/>
                <wp:effectExtent l="6350" t="6350" r="21590" b="22225"/>
                <wp:wrapNone/>
                <wp:docPr id="32" name="矩形 32"/>
                <wp:cNvGraphicFramePr/>
                <a:graphic xmlns:a="http://schemas.openxmlformats.org/drawingml/2006/main">
                  <a:graphicData uri="http://schemas.microsoft.com/office/word/2010/wordprocessingShape">
                    <wps:wsp>
                      <wps:cNvSpPr/>
                      <wps:spPr>
                        <a:xfrm>
                          <a:off x="7324090" y="5711825"/>
                          <a:ext cx="1153160" cy="676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spacing w:line="360" w:lineRule="auto"/>
                              <w:jc w:val="center"/>
                              <w:rPr>
                                <w:rFonts w:hint="eastAsia"/>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图例</w:t>
                            </w:r>
                          </w:p>
                          <w:p>
                            <w:pPr>
                              <w:pStyle w:val="2"/>
                              <w:spacing w:line="360" w:lineRule="auto"/>
                              <w:ind w:left="0" w:leftChars="0" w:firstLine="0" w:firstLineChars="0"/>
                              <w:rPr>
                                <w:rFonts w:hint="default"/>
                                <w:b w:val="0"/>
                                <w:bCs w:val="0"/>
                                <w:color w:val="000000" w:themeColor="text1"/>
                                <w:sz w:val="21"/>
                                <w:szCs w:val="21"/>
                                <w:lang w:val="en-US" w:eastAsia="zh-CN"/>
                                <w14:textFill>
                                  <w14:solidFill>
                                    <w14:schemeClr w14:val="tx1"/>
                                  </w14:solidFill>
                                </w14:textFill>
                              </w:rPr>
                            </w:pPr>
                            <w:r>
                              <w:rPr>
                                <w:rFonts w:hint="eastAsia"/>
                                <w:lang w:val="en-US" w:eastAsia="zh-CN"/>
                              </w:rPr>
                              <w:t xml:space="preserve">  </w:t>
                            </w:r>
                            <w:r>
                              <w:rPr>
                                <w:rFonts w:hint="eastAsia"/>
                                <w:b w:val="0"/>
                                <w:bCs w:val="0"/>
                                <w:color w:val="000000" w:themeColor="text1"/>
                                <w:sz w:val="21"/>
                                <w:szCs w:val="21"/>
                                <w:lang w:val="en-US" w:eastAsia="zh-CN"/>
                                <w14:textFill>
                                  <w14:solidFill>
                                    <w14:schemeClr w14:val="tx1"/>
                                  </w14:solidFill>
                                </w14:textFill>
                              </w:rPr>
                              <w:t xml:space="preserve"> 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28.95pt;margin-top:378.85pt;height:53.25pt;width:90.8pt;z-index:251596800;v-text-anchor:middle;mso-width-relative:page;mso-height-relative:page;" fillcolor="#FFFFFF [3212]" filled="t" stroked="t" coordsize="21600,21600" o:gfxdata="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slf4z2gAAAA0BAAAPAAAAAAAAAAEAIAAAACIAAABkcnMvZG93bnJldi54bWxQ&#10;SwECFAAUAAAACACHTuJAR4H5u2cCAAC/BAAADgAAAAAAAAABACAAAAApAQAAZHJzL2Uyb0RvYy54&#10;bWxQSwUGAAAAAAYABgBZAQAAAgYAAAAA&#10;">
                <v:fill on="t" focussize="0,0"/>
                <v:stroke weight="1pt" color="#000000 [3213]" miterlimit="8" joinstyle="miter"/>
                <v:imagedata o:title=""/>
                <o:lock v:ext="edit" aspectratio="f"/>
                <v:textbox>
                  <w:txbxContent>
                    <w:p>
                      <w:pPr>
                        <w:spacing w:line="360" w:lineRule="auto"/>
                        <w:jc w:val="center"/>
                        <w:rPr>
                          <w:rFonts w:hint="eastAsia"/>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图例</w:t>
                      </w:r>
                    </w:p>
                    <w:p>
                      <w:pPr>
                        <w:pStyle w:val="2"/>
                        <w:spacing w:line="360" w:lineRule="auto"/>
                        <w:ind w:left="0" w:leftChars="0" w:firstLine="0" w:firstLineChars="0"/>
                        <w:rPr>
                          <w:rFonts w:hint="default"/>
                          <w:b w:val="0"/>
                          <w:bCs w:val="0"/>
                          <w:color w:val="000000" w:themeColor="text1"/>
                          <w:sz w:val="21"/>
                          <w:szCs w:val="21"/>
                          <w:lang w:val="en-US" w:eastAsia="zh-CN"/>
                          <w14:textFill>
                            <w14:solidFill>
                              <w14:schemeClr w14:val="tx1"/>
                            </w14:solidFill>
                          </w14:textFill>
                        </w:rPr>
                      </w:pPr>
                      <w:r>
                        <w:rPr>
                          <w:rFonts w:hint="eastAsia"/>
                          <w:lang w:val="en-US" w:eastAsia="zh-CN"/>
                        </w:rPr>
                        <w:t xml:space="preserve">  </w:t>
                      </w:r>
                      <w:r>
                        <w:rPr>
                          <w:rFonts w:hint="eastAsia"/>
                          <w:b w:val="0"/>
                          <w:bCs w:val="0"/>
                          <w:color w:val="000000" w:themeColor="text1"/>
                          <w:sz w:val="21"/>
                          <w:szCs w:val="21"/>
                          <w:lang w:val="en-US" w:eastAsia="zh-CN"/>
                          <w14:textFill>
                            <w14:solidFill>
                              <w14:schemeClr w14:val="tx1"/>
                            </w14:solidFill>
                          </w14:textFill>
                        </w:rPr>
                        <w:t xml:space="preserve"> 项目位置</w:t>
                      </w:r>
                    </w:p>
                  </w:txbxContent>
                </v:textbox>
              </v:rect>
            </w:pict>
          </mc:Fallback>
        </mc:AlternateContent>
      </w:r>
      <w:r>
        <w:rPr>
          <w:sz w:val="24"/>
        </w:rPr>
        <mc:AlternateContent>
          <mc:Choice Requires="wps">
            <w:drawing>
              <wp:anchor distT="0" distB="0" distL="114300" distR="114300" simplePos="0" relativeHeight="251595776" behindDoc="0" locked="0" layoutInCell="1" allowOverlap="1">
                <wp:simplePos x="0" y="0"/>
                <wp:positionH relativeFrom="column">
                  <wp:posOffset>4018915</wp:posOffset>
                </wp:positionH>
                <wp:positionV relativeFrom="paragraph">
                  <wp:posOffset>1280160</wp:posOffset>
                </wp:positionV>
                <wp:extent cx="1236980" cy="386715"/>
                <wp:effectExtent l="0" t="0" r="0" b="0"/>
                <wp:wrapNone/>
                <wp:docPr id="31" name="矩形 31"/>
                <wp:cNvGraphicFramePr/>
                <a:graphic xmlns:a="http://schemas.openxmlformats.org/drawingml/2006/main">
                  <a:graphicData uri="http://schemas.microsoft.com/office/word/2010/wordprocessingShape">
                    <wps:wsp>
                      <wps:cNvSpPr/>
                      <wps:spPr>
                        <a:xfrm>
                          <a:off x="0" y="0"/>
                          <a:ext cx="1236980" cy="38671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cs="Times New Roman"/>
                                <w:b/>
                                <w:bCs/>
                                <w:color w:val="000000" w:themeColor="text1"/>
                                <w:sz w:val="18"/>
                                <w:szCs w:val="18"/>
                                <w:highlight w:val="yellow"/>
                                <w:lang w:eastAsia="zh-CN"/>
                                <w14:textFill>
                                  <w14:solidFill>
                                    <w14:schemeClr w14:val="tx1"/>
                                  </w14:solidFill>
                                </w14:textFill>
                              </w:rPr>
                            </w:pPr>
                            <w:r>
                              <w:rPr>
                                <w:rFonts w:hint="eastAsia" w:cs="Times New Roman"/>
                                <w:b/>
                                <w:bCs/>
                                <w:color w:val="000000" w:themeColor="text1"/>
                                <w:sz w:val="18"/>
                                <w:szCs w:val="18"/>
                                <w:highlight w:val="yellow"/>
                                <w:lang w:eastAsia="zh-CN"/>
                                <w14:textFill>
                                  <w14:solidFill>
                                    <w14:schemeClr w14:val="tx1"/>
                                  </w14:solidFill>
                                </w14:textFill>
                              </w:rPr>
                              <w:t>揭东区锡场镇</w:t>
                            </w:r>
                          </w:p>
                          <w:p>
                            <w:pPr>
                              <w:jc w:val="center"/>
                              <w:rPr>
                                <w:b/>
                                <w:bCs/>
                                <w:color w:val="000000" w:themeColor="text1"/>
                                <w:sz w:val="18"/>
                                <w:szCs w:val="18"/>
                                <w:highlight w:val="yellow"/>
                                <w14:textFill>
                                  <w14:solidFill>
                                    <w14:schemeClr w14:val="tx1"/>
                                  </w14:solidFill>
                                </w14:textFill>
                              </w:rPr>
                            </w:pPr>
                            <w:r>
                              <w:rPr>
                                <w:rFonts w:hint="eastAsia" w:cs="Times New Roman"/>
                                <w:b/>
                                <w:bCs/>
                                <w:color w:val="000000" w:themeColor="text1"/>
                                <w:sz w:val="18"/>
                                <w:szCs w:val="18"/>
                                <w:highlight w:val="yellow"/>
                                <w:lang w:eastAsia="zh-CN"/>
                                <w14:textFill>
                                  <w14:solidFill>
                                    <w14:schemeClr w14:val="tx1"/>
                                  </w14:solidFill>
                                </w14:textFill>
                              </w:rPr>
                              <w:t>华清小学</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6.45pt;margin-top:100.8pt;height:30.45pt;width:97.4pt;z-index:251595776;v-text-anchor:middle;mso-width-relative:page;mso-height-relative:page;" filled="f" stroked="f" coordsize="21600,21600" o:gfxdata="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aAdVW2AAAAAsBAAAPAAAAAAAAAAEAIAAA&#10;ACIAAABkcnMvZG93bnJldi54bWxQSwECFAAUAAAACACHTuJA8Tntc0UCAABhBAAADgAAAAAAAAAB&#10;ACAAAAAnAQAAZHJzL2Uyb0RvYy54bWxQSwUGAAAAAAYABgBZAQAA3gUAAAAA&#10;">
                <v:fill on="f" focussize="0,0"/>
                <v:stroke on="f" weight="1pt" miterlimit="8" joinstyle="miter"/>
                <v:imagedata o:title=""/>
                <o:lock v:ext="edit" aspectratio="f"/>
                <v:textbox>
                  <w:txbxContent>
                    <w:p>
                      <w:pPr>
                        <w:jc w:val="center"/>
                        <w:rPr>
                          <w:rFonts w:hint="eastAsia" w:cs="Times New Roman"/>
                          <w:b/>
                          <w:bCs/>
                          <w:color w:val="000000" w:themeColor="text1"/>
                          <w:sz w:val="18"/>
                          <w:szCs w:val="18"/>
                          <w:highlight w:val="yellow"/>
                          <w:lang w:eastAsia="zh-CN"/>
                          <w14:textFill>
                            <w14:solidFill>
                              <w14:schemeClr w14:val="tx1"/>
                            </w14:solidFill>
                          </w14:textFill>
                        </w:rPr>
                      </w:pPr>
                      <w:r>
                        <w:rPr>
                          <w:rFonts w:hint="eastAsia" w:cs="Times New Roman"/>
                          <w:b/>
                          <w:bCs/>
                          <w:color w:val="000000" w:themeColor="text1"/>
                          <w:sz w:val="18"/>
                          <w:szCs w:val="18"/>
                          <w:highlight w:val="yellow"/>
                          <w:lang w:eastAsia="zh-CN"/>
                          <w14:textFill>
                            <w14:solidFill>
                              <w14:schemeClr w14:val="tx1"/>
                            </w14:solidFill>
                          </w14:textFill>
                        </w:rPr>
                        <w:t>揭东区锡场镇</w:t>
                      </w:r>
                    </w:p>
                    <w:p>
                      <w:pPr>
                        <w:jc w:val="center"/>
                        <w:rPr>
                          <w:b/>
                          <w:bCs/>
                          <w:color w:val="000000" w:themeColor="text1"/>
                          <w:sz w:val="18"/>
                          <w:szCs w:val="18"/>
                          <w:highlight w:val="yellow"/>
                          <w14:textFill>
                            <w14:solidFill>
                              <w14:schemeClr w14:val="tx1"/>
                            </w14:solidFill>
                          </w14:textFill>
                        </w:rPr>
                      </w:pPr>
                      <w:r>
                        <w:rPr>
                          <w:rFonts w:hint="eastAsia" w:cs="Times New Roman"/>
                          <w:b/>
                          <w:bCs/>
                          <w:color w:val="000000" w:themeColor="text1"/>
                          <w:sz w:val="18"/>
                          <w:szCs w:val="18"/>
                          <w:highlight w:val="yellow"/>
                          <w:lang w:eastAsia="zh-CN"/>
                          <w14:textFill>
                            <w14:solidFill>
                              <w14:schemeClr w14:val="tx1"/>
                            </w14:solidFill>
                          </w14:textFill>
                        </w:rPr>
                        <w:t>华清小学</w:t>
                      </w:r>
                    </w:p>
                  </w:txbxContent>
                </v:textbox>
              </v:rect>
            </w:pict>
          </mc:Fallback>
        </mc:AlternateContent>
      </w:r>
      <w:r>
        <w:rPr>
          <w:sz w:val="24"/>
        </w:rPr>
        <mc:AlternateContent>
          <mc:Choice Requires="wps">
            <w:drawing>
              <wp:anchor distT="0" distB="0" distL="114300" distR="114300" simplePos="0" relativeHeight="251595776" behindDoc="0" locked="0" layoutInCell="1" allowOverlap="1">
                <wp:simplePos x="0" y="0"/>
                <wp:positionH relativeFrom="column">
                  <wp:posOffset>4043045</wp:posOffset>
                </wp:positionH>
                <wp:positionV relativeFrom="paragraph">
                  <wp:posOffset>1075055</wp:posOffset>
                </wp:positionV>
                <wp:extent cx="1170940" cy="267335"/>
                <wp:effectExtent l="0" t="0" r="0" b="0"/>
                <wp:wrapNone/>
                <wp:docPr id="30" name="矩形 30"/>
                <wp:cNvGraphicFramePr/>
                <a:graphic xmlns:a="http://schemas.openxmlformats.org/drawingml/2006/main">
                  <a:graphicData uri="http://schemas.microsoft.com/office/word/2010/wordprocessingShape">
                    <wps:wsp>
                      <wps:cNvSpPr/>
                      <wps:spPr>
                        <a:xfrm>
                          <a:off x="0" y="0"/>
                          <a:ext cx="1170940" cy="26733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sz w:val="18"/>
                                <w:szCs w:val="18"/>
                              </w:rPr>
                            </w:pPr>
                            <w:r>
                              <w:rPr>
                                <w:rFonts w:hint="eastAsia" w:cs="Times New Roman"/>
                                <w:b/>
                                <w:bCs/>
                                <w:color w:val="000000" w:themeColor="text1"/>
                                <w:sz w:val="18"/>
                                <w:szCs w:val="18"/>
                                <w:highlight w:val="yellow"/>
                                <w:lang w:eastAsia="zh-CN"/>
                                <w14:textFill>
                                  <w14:solidFill>
                                    <w14:schemeClr w14:val="tx1"/>
                                  </w14:solidFill>
                                </w14:textFill>
                              </w:rPr>
                              <w:t>华清中学</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8.35pt;margin-top:84.65pt;height:21.05pt;width:92.2pt;z-index:251595776;v-text-anchor:middle;mso-width-relative:page;mso-height-relative:page;" filled="f" stroked="f" coordsize="21600,21600" o:gfxdata="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qBGIx2AAAAAsBAAAPAAAAAAAAAAEAIAAA&#10;ACIAAABkcnMvZG93bnJldi54bWxQSwECFAAUAAAACACHTuJAZB2jhUUCAABhBAAADgAAAAAAAAAB&#10;ACAAAAAnAQAAZHJzL2Uyb0RvYy54bWxQSwUGAAAAAAYABgBZAQAA3gUAAAAA&#10;">
                <v:fill on="f" focussize="0,0"/>
                <v:stroke on="f" weight="1pt" miterlimit="8" joinstyle="miter"/>
                <v:imagedata o:title=""/>
                <o:lock v:ext="edit" aspectratio="f"/>
                <v:textbox>
                  <w:txbxContent>
                    <w:p>
                      <w:pPr>
                        <w:jc w:val="center"/>
                        <w:rPr>
                          <w:sz w:val="18"/>
                          <w:szCs w:val="18"/>
                        </w:rPr>
                      </w:pPr>
                      <w:r>
                        <w:rPr>
                          <w:rFonts w:hint="eastAsia" w:cs="Times New Roman"/>
                          <w:b/>
                          <w:bCs/>
                          <w:color w:val="000000" w:themeColor="text1"/>
                          <w:sz w:val="18"/>
                          <w:szCs w:val="18"/>
                          <w:highlight w:val="yellow"/>
                          <w:lang w:eastAsia="zh-CN"/>
                          <w14:textFill>
                            <w14:solidFill>
                              <w14:schemeClr w14:val="tx1"/>
                            </w14:solidFill>
                          </w14:textFill>
                        </w:rPr>
                        <w:t>华清中学</w:t>
                      </w:r>
                    </w:p>
                  </w:txbxContent>
                </v:textbox>
              </v:rect>
            </w:pict>
          </mc:Fallback>
        </mc:AlternateContent>
      </w:r>
      <w:r>
        <w:rPr>
          <w:sz w:val="24"/>
        </w:rPr>
        <mc:AlternateContent>
          <mc:Choice Requires="wps">
            <w:drawing>
              <wp:anchor distT="0" distB="0" distL="114300" distR="114300" simplePos="0" relativeHeight="251595776" behindDoc="0" locked="0" layoutInCell="1" allowOverlap="1">
                <wp:simplePos x="0" y="0"/>
                <wp:positionH relativeFrom="column">
                  <wp:posOffset>4227830</wp:posOffset>
                </wp:positionH>
                <wp:positionV relativeFrom="paragraph">
                  <wp:posOffset>1794510</wp:posOffset>
                </wp:positionV>
                <wp:extent cx="1170940" cy="504825"/>
                <wp:effectExtent l="0" t="0" r="0" b="0"/>
                <wp:wrapNone/>
                <wp:docPr id="29" name="矩形 29"/>
                <wp:cNvGraphicFramePr/>
                <a:graphic xmlns:a="http://schemas.openxmlformats.org/drawingml/2006/main">
                  <a:graphicData uri="http://schemas.microsoft.com/office/word/2010/wordprocessingShape">
                    <wps:wsp>
                      <wps:cNvSpPr/>
                      <wps:spPr>
                        <a:xfrm>
                          <a:off x="5142865" y="2846705"/>
                          <a:ext cx="1170940" cy="50482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r>
                              <w:rPr>
                                <w:rFonts w:hint="eastAsia" w:cs="Times New Roman"/>
                                <w:b/>
                                <w:bCs/>
                                <w:color w:val="000000" w:themeColor="text1"/>
                                <w:sz w:val="18"/>
                                <w:szCs w:val="18"/>
                                <w:highlight w:val="yellow"/>
                                <w:lang w:eastAsia="zh-CN"/>
                                <w14:textFill>
                                  <w14:solidFill>
                                    <w14:schemeClr w14:val="tx1"/>
                                  </w14:solidFill>
                                </w14:textFill>
                              </w:rPr>
                              <w:t>锡场镇育苗幼儿园华清分教处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32.9pt;margin-top:141.3pt;height:39.75pt;width:92.2pt;z-index:251595776;v-text-anchor:middle;mso-width-relative:page;mso-height-relative:page;" filled="f" stroked="f" coordsize="21600,21600" o:gfxdata="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fWQhzdgAAAALAQAA&#10;DwAAAAAAAAABACAAAAAiAAAAZHJzL2Rvd25yZXYueG1sUEsBAhQAFAAAAAgAh07iQKaOaJtSAgAA&#10;bQQAAA4AAAAAAAAAAQAgAAAAJwEAAGRycy9lMm9Eb2MueG1sUEsFBgAAAAAGAAYAWQEAAOsFAAAA&#10;AA==&#10;">
                <v:fill on="f" focussize="0,0"/>
                <v:stroke on="f" weight="1pt" miterlimit="8" joinstyle="miter"/>
                <v:imagedata o:title=""/>
                <o:lock v:ext="edit" aspectratio="f"/>
                <v:textbox>
                  <w:txbxContent>
                    <w:p>
                      <w:pPr>
                        <w:jc w:val="center"/>
                      </w:pPr>
                      <w:r>
                        <w:rPr>
                          <w:rFonts w:hint="eastAsia" w:cs="Times New Roman"/>
                          <w:b/>
                          <w:bCs/>
                          <w:color w:val="000000" w:themeColor="text1"/>
                          <w:sz w:val="18"/>
                          <w:szCs w:val="18"/>
                          <w:highlight w:val="yellow"/>
                          <w:lang w:eastAsia="zh-CN"/>
                          <w14:textFill>
                            <w14:solidFill>
                              <w14:schemeClr w14:val="tx1"/>
                            </w14:solidFill>
                          </w14:textFill>
                        </w:rPr>
                        <w:t>锡场镇育苗幼儿园华清分教处</w:t>
                      </w:r>
                    </w:p>
                  </w:txbxContent>
                </v:textbox>
              </v:rect>
            </w:pict>
          </mc:Fallback>
        </mc:AlternateContent>
      </w:r>
      <w:r>
        <w:rPr>
          <w:sz w:val="24"/>
        </w:rPr>
        <mc:AlternateContent>
          <mc:Choice Requires="wps">
            <w:drawing>
              <wp:anchor distT="0" distB="0" distL="114300" distR="114300" simplePos="0" relativeHeight="251594752" behindDoc="0" locked="0" layoutInCell="1" allowOverlap="1">
                <wp:simplePos x="0" y="0"/>
                <wp:positionH relativeFrom="column">
                  <wp:posOffset>4289425</wp:posOffset>
                </wp:positionH>
                <wp:positionV relativeFrom="paragraph">
                  <wp:posOffset>1793240</wp:posOffset>
                </wp:positionV>
                <wp:extent cx="75565" cy="157480"/>
                <wp:effectExtent l="8255" t="27305" r="11430" b="24765"/>
                <wp:wrapNone/>
                <wp:docPr id="28" name="等腰三角形 28"/>
                <wp:cNvGraphicFramePr/>
                <a:graphic xmlns:a="http://schemas.openxmlformats.org/drawingml/2006/main">
                  <a:graphicData uri="http://schemas.microsoft.com/office/word/2010/wordprocessingShape">
                    <wps:wsp>
                      <wps:cNvSpPr/>
                      <wps:spPr>
                        <a:xfrm>
                          <a:off x="5052060" y="2708275"/>
                          <a:ext cx="75565" cy="157480"/>
                        </a:xfrm>
                        <a:prstGeom prst="triangl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337.75pt;margin-top:141.2pt;height:12.4pt;width:5.95pt;z-index:251594752;v-text-anchor:middle;mso-width-relative:page;mso-height-relative:page;" fillcolor="#FF0000" filled="t" stroked="t" coordsize="21600,21600" o:gfxdata="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NDE8g9wAAAALAQAADwAAAAAAAAABACAAAAAiAAAAZHJz&#10;L2Rvd25yZXYueG1sUEsBAhQAFAAAAAgAh07iQNJpFdxyAgAAvwQAAA4AAAAAAAAAAQAgAAAAKwEA&#10;AGRycy9lMm9Eb2MueG1sUEsFBgAAAAAGAAYAWQEAAA8GAAAAAA==&#10;" adj="10800">
                <v:fill on="t" focussize="0,0"/>
                <v:stroke weight="1pt" color="#FF0000 [3204]" miterlimit="8" joinstyle="miter"/>
                <v:imagedata o:title=""/>
                <o:lock v:ext="edit" aspectratio="f"/>
              </v:shape>
            </w:pict>
          </mc:Fallback>
        </mc:AlternateContent>
      </w:r>
      <w:r>
        <w:rPr>
          <w:sz w:val="24"/>
        </w:rPr>
        <mc:AlternateContent>
          <mc:Choice Requires="wps">
            <w:drawing>
              <wp:anchor distT="0" distB="0" distL="114300" distR="114300" simplePos="0" relativeHeight="251593728" behindDoc="0" locked="0" layoutInCell="1" allowOverlap="1">
                <wp:simplePos x="0" y="0"/>
                <wp:positionH relativeFrom="column">
                  <wp:posOffset>2945130</wp:posOffset>
                </wp:positionH>
                <wp:positionV relativeFrom="paragraph">
                  <wp:posOffset>1831975</wp:posOffset>
                </wp:positionV>
                <wp:extent cx="1214755" cy="471805"/>
                <wp:effectExtent l="0" t="0" r="0" b="0"/>
                <wp:wrapNone/>
                <wp:docPr id="27" name="矩形 27"/>
                <wp:cNvGraphicFramePr/>
                <a:graphic xmlns:a="http://schemas.openxmlformats.org/drawingml/2006/main">
                  <a:graphicData uri="http://schemas.microsoft.com/office/word/2010/wordprocessingShape">
                    <wps:wsp>
                      <wps:cNvSpPr/>
                      <wps:spPr>
                        <a:xfrm>
                          <a:off x="0" y="0"/>
                          <a:ext cx="1214755" cy="47180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s="Times New Roman"/>
                                <w:b/>
                                <w:bCs/>
                                <w:color w:val="000000" w:themeColor="text1"/>
                                <w:sz w:val="18"/>
                                <w:szCs w:val="18"/>
                                <w:highlight w:val="yellow"/>
                                <w:lang w:eastAsia="zh-CN"/>
                                <w14:textFill>
                                  <w14:solidFill>
                                    <w14:schemeClr w14:val="tx1"/>
                                  </w14:solidFill>
                                </w14:textFill>
                              </w:rPr>
                              <w:t>广东省揭阳市技术学校蓝田分教处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31.9pt;margin-top:144.25pt;height:37.15pt;width:95.65pt;z-index:251593728;v-text-anchor:middle;mso-width-relative:page;mso-height-relative:page;" filled="f" stroked="f" coordsize="21600,21600" o:gfxdata="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Fyx8MNkAAAALAQAADwAAAAAAAAABACAA&#10;AAAiAAAAZHJzL2Rvd25yZXYueG1sUEsBAhQAFAAAAAgAh07iQJnqXOZFAgAAYQQAAA4AAAAAAAAA&#10;AQAgAAAAKAEAAGRycy9lMm9Eb2MueG1sUEsFBgAAAAAGAAYAWQEAAN8FAAAAAA==&#10;">
                <v:fill on="f" focussize="0,0"/>
                <v:stroke on="f" weight="1pt" miterlimit="8" joinstyle="miter"/>
                <v:imagedata o:title=""/>
                <o:lock v:ext="edit" aspectratio="f"/>
                <v:textbox>
                  <w:txbxContent>
                    <w:p>
                      <w:pPr>
                        <w:jc w:val="center"/>
                        <w:rPr>
                          <w:color w:val="000000" w:themeColor="text1"/>
                          <w14:textFill>
                            <w14:solidFill>
                              <w14:schemeClr w14:val="tx1"/>
                            </w14:solidFill>
                          </w14:textFill>
                        </w:rPr>
                      </w:pPr>
                      <w:r>
                        <w:rPr>
                          <w:rFonts w:hint="eastAsia" w:cs="Times New Roman"/>
                          <w:b/>
                          <w:bCs/>
                          <w:color w:val="000000" w:themeColor="text1"/>
                          <w:sz w:val="18"/>
                          <w:szCs w:val="18"/>
                          <w:highlight w:val="yellow"/>
                          <w:lang w:eastAsia="zh-CN"/>
                          <w14:textFill>
                            <w14:solidFill>
                              <w14:schemeClr w14:val="tx1"/>
                            </w14:solidFill>
                          </w14:textFill>
                        </w:rPr>
                        <w:t>广东省揭阳市技术学校蓝田分教处</w:t>
                      </w:r>
                    </w:p>
                  </w:txbxContent>
                </v:textbox>
              </v:rect>
            </w:pict>
          </mc:Fallback>
        </mc:AlternateContent>
      </w:r>
      <w:r>
        <w:rPr>
          <w:sz w:val="24"/>
        </w:rPr>
        <mc:AlternateContent>
          <mc:Choice Requires="wps">
            <w:drawing>
              <wp:anchor distT="0" distB="0" distL="114300" distR="114300" simplePos="0" relativeHeight="251593728" behindDoc="0" locked="0" layoutInCell="1" allowOverlap="1">
                <wp:simplePos x="0" y="0"/>
                <wp:positionH relativeFrom="column">
                  <wp:posOffset>3178810</wp:posOffset>
                </wp:positionH>
                <wp:positionV relativeFrom="paragraph">
                  <wp:posOffset>1456055</wp:posOffset>
                </wp:positionV>
                <wp:extent cx="1233805" cy="471805"/>
                <wp:effectExtent l="0" t="0" r="0" b="0"/>
                <wp:wrapNone/>
                <wp:docPr id="26" name="矩形 26"/>
                <wp:cNvGraphicFramePr/>
                <a:graphic xmlns:a="http://schemas.openxmlformats.org/drawingml/2006/main">
                  <a:graphicData uri="http://schemas.microsoft.com/office/word/2010/wordprocessingShape">
                    <wps:wsp>
                      <wps:cNvSpPr/>
                      <wps:spPr>
                        <a:xfrm>
                          <a:off x="4004310" y="2399030"/>
                          <a:ext cx="1233805" cy="47180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b/>
                                <w:bCs/>
                                <w:color w:val="000000" w:themeColor="text1"/>
                                <w:sz w:val="18"/>
                                <w:szCs w:val="18"/>
                                <w:highlight w:val="yellow"/>
                                <w14:textFill>
                                  <w14:solidFill>
                                    <w14:schemeClr w14:val="tx1"/>
                                  </w14:solidFill>
                                </w14:textFill>
                              </w:rPr>
                            </w:pPr>
                            <w:r>
                              <w:rPr>
                                <w:rFonts w:hint="eastAsia" w:cs="Times New Roman"/>
                                <w:b/>
                                <w:bCs/>
                                <w:color w:val="000000" w:themeColor="text1"/>
                                <w:sz w:val="18"/>
                                <w:szCs w:val="18"/>
                                <w:highlight w:val="yellow"/>
                                <w:lang w:eastAsia="zh-CN"/>
                                <w14:textFill>
                                  <w14:solidFill>
                                    <w14:schemeClr w14:val="tx1"/>
                                  </w14:solidFill>
                                </w14:textFill>
                              </w:rPr>
                              <w:t>揭阳市揭东区锡场镇军埔电子商务村</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50.3pt;margin-top:114.65pt;height:37.15pt;width:97.15pt;z-index:251593728;v-text-anchor:middle;mso-width-relative:page;mso-height-relative:page;" filled="f" stroked="f" coordsize="21600,21600" o:gfxdata="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FKzmAfYAAAACwEAAA8A&#10;AAAAAAAAAQAgAAAAIgAAAGRycy9kb3ducmV2LnhtbFBLAQIUABQAAAAIAIdO4kBhrmJbUAIAAG0E&#10;AAAOAAAAAAAAAAEAIAAAACcBAABkcnMvZTJvRG9jLnhtbFBLBQYAAAAABgAGAFkBAADpBQAAAAA=&#10;">
                <v:fill on="f" focussize="0,0"/>
                <v:stroke on="f" weight="1pt" miterlimit="8" joinstyle="miter"/>
                <v:imagedata o:title=""/>
                <o:lock v:ext="edit" aspectratio="f"/>
                <v:textbox>
                  <w:txbxContent>
                    <w:p>
                      <w:pPr>
                        <w:jc w:val="center"/>
                        <w:rPr>
                          <w:b/>
                          <w:bCs/>
                          <w:color w:val="000000" w:themeColor="text1"/>
                          <w:sz w:val="18"/>
                          <w:szCs w:val="18"/>
                          <w:highlight w:val="yellow"/>
                          <w14:textFill>
                            <w14:solidFill>
                              <w14:schemeClr w14:val="tx1"/>
                            </w14:solidFill>
                          </w14:textFill>
                        </w:rPr>
                      </w:pPr>
                      <w:r>
                        <w:rPr>
                          <w:rFonts w:hint="eastAsia" w:cs="Times New Roman"/>
                          <w:b/>
                          <w:bCs/>
                          <w:color w:val="000000" w:themeColor="text1"/>
                          <w:sz w:val="18"/>
                          <w:szCs w:val="18"/>
                          <w:highlight w:val="yellow"/>
                          <w:lang w:eastAsia="zh-CN"/>
                          <w14:textFill>
                            <w14:solidFill>
                              <w14:schemeClr w14:val="tx1"/>
                            </w14:solidFill>
                          </w14:textFill>
                        </w:rPr>
                        <w:t>揭阳市揭东区锡场镇军埔电子商务村</w:t>
                      </w:r>
                    </w:p>
                  </w:txbxContent>
                </v:textbox>
              </v:rect>
            </w:pict>
          </mc:Fallback>
        </mc:AlternateContent>
      </w:r>
      <w:r>
        <w:rPr>
          <w:sz w:val="24"/>
        </w:rPr>
        <mc:AlternateContent>
          <mc:Choice Requires="wps">
            <w:drawing>
              <wp:anchor distT="0" distB="0" distL="114300" distR="114300" simplePos="0" relativeHeight="251592704" behindDoc="0" locked="0" layoutInCell="1" allowOverlap="1">
                <wp:simplePos x="0" y="0"/>
                <wp:positionH relativeFrom="column">
                  <wp:posOffset>2440940</wp:posOffset>
                </wp:positionH>
                <wp:positionV relativeFrom="paragraph">
                  <wp:posOffset>4360545</wp:posOffset>
                </wp:positionV>
                <wp:extent cx="743585" cy="270510"/>
                <wp:effectExtent l="0" t="0" r="0" b="0"/>
                <wp:wrapNone/>
                <wp:docPr id="25" name="矩形 25"/>
                <wp:cNvGraphicFramePr/>
                <a:graphic xmlns:a="http://schemas.openxmlformats.org/drawingml/2006/main">
                  <a:graphicData uri="http://schemas.microsoft.com/office/word/2010/wordprocessingShape">
                    <wps:wsp>
                      <wps:cNvSpPr/>
                      <wps:spPr>
                        <a:xfrm>
                          <a:off x="3299460" y="5260975"/>
                          <a:ext cx="743585" cy="27051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olor w:val="auto"/>
                                <w:sz w:val="18"/>
                                <w:szCs w:val="18"/>
                                <w:highlight w:val="cyan"/>
                                <w:lang w:eastAsia="zh-CN"/>
                              </w:rPr>
                            </w:pPr>
                            <w:r>
                              <w:rPr>
                                <w:rFonts w:hint="eastAsia"/>
                                <w:b/>
                                <w:bCs/>
                                <w:color w:val="000000" w:themeColor="text1"/>
                                <w:sz w:val="18"/>
                                <w:szCs w:val="18"/>
                                <w:highlight w:val="cyan"/>
                                <w:lang w:eastAsia="zh-CN"/>
                                <w14:textFill>
                                  <w14:solidFill>
                                    <w14:schemeClr w14:val="tx1"/>
                                  </w14:solidFill>
                                </w14:textFill>
                              </w:rPr>
                              <w:t>榕江北河</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2.2pt;margin-top:343.35pt;height:21.3pt;width:58.55pt;z-index:251592704;v-text-anchor:middle;mso-width-relative:page;mso-height-relative:page;" filled="f" stroked="f" coordsize="21600,21600" o:gfxdata="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Aa+lR9oAAAAL&#10;AQAADwAAAAAAAAABACAAAAAiAAAAZHJzL2Rvd25yZXYueG1sUEsBAhQAFAAAAAgAh07iQBKcg8xT&#10;AgAAbAQAAA4AAAAAAAAAAQAgAAAAKQEAAGRycy9lMm9Eb2MueG1sUEsFBgAAAAAGAAYAWQEAAO4F&#10;AAAAAA==&#10;">
                <v:fill on="f" focussize="0,0"/>
                <v:stroke on="f" weight="1pt" miterlimit="8" joinstyle="miter"/>
                <v:imagedata o:title=""/>
                <o:lock v:ext="edit" aspectratio="f"/>
                <v:textbox>
                  <w:txbxContent>
                    <w:p>
                      <w:pPr>
                        <w:jc w:val="center"/>
                        <w:rPr>
                          <w:rFonts w:hint="eastAsia" w:eastAsia="宋体"/>
                          <w:color w:val="auto"/>
                          <w:sz w:val="18"/>
                          <w:szCs w:val="18"/>
                          <w:highlight w:val="cyan"/>
                          <w:lang w:eastAsia="zh-CN"/>
                        </w:rPr>
                      </w:pPr>
                      <w:r>
                        <w:rPr>
                          <w:rFonts w:hint="eastAsia"/>
                          <w:b/>
                          <w:bCs/>
                          <w:color w:val="000000" w:themeColor="text1"/>
                          <w:sz w:val="18"/>
                          <w:szCs w:val="18"/>
                          <w:highlight w:val="cyan"/>
                          <w:lang w:eastAsia="zh-CN"/>
                          <w14:textFill>
                            <w14:solidFill>
                              <w14:schemeClr w14:val="tx1"/>
                            </w14:solidFill>
                          </w14:textFill>
                        </w:rPr>
                        <w:t>榕江北河</w:t>
                      </w:r>
                    </w:p>
                  </w:txbxContent>
                </v:textbox>
              </v:rect>
            </w:pict>
          </mc:Fallback>
        </mc:AlternateContent>
      </w:r>
      <w:r>
        <w:rPr>
          <w:sz w:val="24"/>
        </w:rPr>
        <mc:AlternateContent>
          <mc:Choice Requires="wps">
            <w:drawing>
              <wp:anchor distT="0" distB="0" distL="114300" distR="114300" simplePos="0" relativeHeight="251591680" behindDoc="0" locked="0" layoutInCell="1" allowOverlap="1">
                <wp:simplePos x="0" y="0"/>
                <wp:positionH relativeFrom="column">
                  <wp:posOffset>3874770</wp:posOffset>
                </wp:positionH>
                <wp:positionV relativeFrom="paragraph">
                  <wp:posOffset>3620135</wp:posOffset>
                </wp:positionV>
                <wp:extent cx="2416175" cy="1863725"/>
                <wp:effectExtent l="8890" t="19050" r="32385" b="3175"/>
                <wp:wrapNone/>
                <wp:docPr id="24" name="任意多边形 24"/>
                <wp:cNvGraphicFramePr/>
                <a:graphic xmlns:a="http://schemas.openxmlformats.org/drawingml/2006/main">
                  <a:graphicData uri="http://schemas.microsoft.com/office/word/2010/wordprocessingShape">
                    <wps:wsp>
                      <wps:cNvSpPr/>
                      <wps:spPr>
                        <a:xfrm>
                          <a:off x="4623435" y="4502785"/>
                          <a:ext cx="2416175" cy="1863725"/>
                        </a:xfrm>
                        <a:custGeom>
                          <a:avLst/>
                          <a:gdLst>
                            <a:gd name="connisteX0" fmla="*/ 0 w 2397057"/>
                            <a:gd name="connsiteY0" fmla="*/ 991492 h 1886842"/>
                            <a:gd name="connisteX1" fmla="*/ 66675 w 2397057"/>
                            <a:gd name="connsiteY1" fmla="*/ 958472 h 1886842"/>
                            <a:gd name="connisteX2" fmla="*/ 133350 w 2397057"/>
                            <a:gd name="connsiteY2" fmla="*/ 934342 h 1886842"/>
                            <a:gd name="connisteX3" fmla="*/ 205105 w 2397057"/>
                            <a:gd name="connsiteY3" fmla="*/ 872747 h 1886842"/>
                            <a:gd name="connisteX4" fmla="*/ 233680 w 2397057"/>
                            <a:gd name="connsiteY4" fmla="*/ 806072 h 1886842"/>
                            <a:gd name="connisteX5" fmla="*/ 300355 w 2397057"/>
                            <a:gd name="connsiteY5" fmla="*/ 748922 h 1886842"/>
                            <a:gd name="connisteX6" fmla="*/ 367030 w 2397057"/>
                            <a:gd name="connsiteY6" fmla="*/ 724792 h 1886842"/>
                            <a:gd name="connisteX7" fmla="*/ 433705 w 2397057"/>
                            <a:gd name="connsiteY7" fmla="*/ 701297 h 1886842"/>
                            <a:gd name="connisteX8" fmla="*/ 500380 w 2397057"/>
                            <a:gd name="connsiteY8" fmla="*/ 667642 h 1886842"/>
                            <a:gd name="connisteX9" fmla="*/ 557530 w 2397057"/>
                            <a:gd name="connsiteY9" fmla="*/ 600967 h 1886842"/>
                            <a:gd name="connisteX10" fmla="*/ 605155 w 2397057"/>
                            <a:gd name="connsiteY10" fmla="*/ 534292 h 1886842"/>
                            <a:gd name="connisteX11" fmla="*/ 666750 w 2397057"/>
                            <a:gd name="connsiteY11" fmla="*/ 467617 h 1886842"/>
                            <a:gd name="connisteX12" fmla="*/ 709930 w 2397057"/>
                            <a:gd name="connsiteY12" fmla="*/ 400942 h 1886842"/>
                            <a:gd name="connisteX13" fmla="*/ 738505 w 2397057"/>
                            <a:gd name="connsiteY13" fmla="*/ 334267 h 1886842"/>
                            <a:gd name="connisteX14" fmla="*/ 752475 w 2397057"/>
                            <a:gd name="connsiteY14" fmla="*/ 267592 h 1886842"/>
                            <a:gd name="connisteX15" fmla="*/ 776605 w 2397057"/>
                            <a:gd name="connsiteY15" fmla="*/ 200917 h 1886842"/>
                            <a:gd name="connisteX16" fmla="*/ 833755 w 2397057"/>
                            <a:gd name="connsiteY16" fmla="*/ 129797 h 1886842"/>
                            <a:gd name="connisteX17" fmla="*/ 900430 w 2397057"/>
                            <a:gd name="connsiteY17" fmla="*/ 86617 h 1886842"/>
                            <a:gd name="connisteX18" fmla="*/ 967105 w 2397057"/>
                            <a:gd name="connsiteY18" fmla="*/ 53597 h 1886842"/>
                            <a:gd name="connisteX19" fmla="*/ 1033780 w 2397057"/>
                            <a:gd name="connsiteY19" fmla="*/ 34547 h 1886842"/>
                            <a:gd name="connisteX20" fmla="*/ 1100455 w 2397057"/>
                            <a:gd name="connsiteY20" fmla="*/ 29467 h 1886842"/>
                            <a:gd name="connisteX21" fmla="*/ 1167130 w 2397057"/>
                            <a:gd name="connsiteY21" fmla="*/ 19942 h 1886842"/>
                            <a:gd name="connisteX22" fmla="*/ 1233805 w 2397057"/>
                            <a:gd name="connsiteY22" fmla="*/ 19942 h 1886842"/>
                            <a:gd name="connisteX23" fmla="*/ 1300480 w 2397057"/>
                            <a:gd name="connsiteY23" fmla="*/ 5972 h 1886842"/>
                            <a:gd name="connisteX24" fmla="*/ 1367155 w 2397057"/>
                            <a:gd name="connsiteY24" fmla="*/ 5972 h 1886842"/>
                            <a:gd name="connisteX25" fmla="*/ 1438275 w 2397057"/>
                            <a:gd name="connsiteY25" fmla="*/ 67567 h 1886842"/>
                            <a:gd name="connisteX26" fmla="*/ 1452880 w 2397057"/>
                            <a:gd name="connsiteY26" fmla="*/ 134242 h 1886842"/>
                            <a:gd name="connisteX27" fmla="*/ 1457325 w 2397057"/>
                            <a:gd name="connsiteY27" fmla="*/ 200917 h 1886842"/>
                            <a:gd name="connisteX28" fmla="*/ 1457325 w 2397057"/>
                            <a:gd name="connsiteY28" fmla="*/ 267592 h 1886842"/>
                            <a:gd name="connisteX29" fmla="*/ 1457325 w 2397057"/>
                            <a:gd name="connsiteY29" fmla="*/ 339347 h 1886842"/>
                            <a:gd name="connisteX30" fmla="*/ 1457325 w 2397057"/>
                            <a:gd name="connsiteY30" fmla="*/ 406022 h 1886842"/>
                            <a:gd name="connisteX31" fmla="*/ 1457325 w 2397057"/>
                            <a:gd name="connsiteY31" fmla="*/ 472697 h 1886842"/>
                            <a:gd name="connisteX32" fmla="*/ 1481455 w 2397057"/>
                            <a:gd name="connsiteY32" fmla="*/ 548897 h 1886842"/>
                            <a:gd name="connisteX33" fmla="*/ 1514475 w 2397057"/>
                            <a:gd name="connsiteY33" fmla="*/ 615572 h 1886842"/>
                            <a:gd name="connisteX34" fmla="*/ 1557655 w 2397057"/>
                            <a:gd name="connsiteY34" fmla="*/ 682247 h 1886842"/>
                            <a:gd name="connisteX35" fmla="*/ 1600200 w 2397057"/>
                            <a:gd name="connsiteY35" fmla="*/ 748922 h 1886842"/>
                            <a:gd name="connisteX36" fmla="*/ 1638300 w 2397057"/>
                            <a:gd name="connsiteY36" fmla="*/ 815597 h 1886842"/>
                            <a:gd name="connisteX37" fmla="*/ 1671955 w 2397057"/>
                            <a:gd name="connsiteY37" fmla="*/ 882272 h 1886842"/>
                            <a:gd name="connisteX38" fmla="*/ 1738630 w 2397057"/>
                            <a:gd name="connsiteY38" fmla="*/ 939422 h 1886842"/>
                            <a:gd name="connisteX39" fmla="*/ 1805305 w 2397057"/>
                            <a:gd name="connsiteY39" fmla="*/ 1001017 h 1886842"/>
                            <a:gd name="connisteX40" fmla="*/ 1871980 w 2397057"/>
                            <a:gd name="connsiteY40" fmla="*/ 1039117 h 1886842"/>
                            <a:gd name="connisteX41" fmla="*/ 1938655 w 2397057"/>
                            <a:gd name="connsiteY41" fmla="*/ 1048642 h 1886842"/>
                            <a:gd name="connisteX42" fmla="*/ 2005330 w 2397057"/>
                            <a:gd name="connsiteY42" fmla="*/ 1086742 h 1886842"/>
                            <a:gd name="connisteX43" fmla="*/ 2076450 w 2397057"/>
                            <a:gd name="connsiteY43" fmla="*/ 1129922 h 1886842"/>
                            <a:gd name="connisteX44" fmla="*/ 2148205 w 2397057"/>
                            <a:gd name="connsiteY44" fmla="*/ 1168022 h 1886842"/>
                            <a:gd name="connisteX45" fmla="*/ 2219325 w 2397057"/>
                            <a:gd name="connsiteY45" fmla="*/ 1201042 h 1886842"/>
                            <a:gd name="connisteX46" fmla="*/ 2286000 w 2397057"/>
                            <a:gd name="connsiteY46" fmla="*/ 1220092 h 1886842"/>
                            <a:gd name="connisteX47" fmla="*/ 2338705 w 2397057"/>
                            <a:gd name="connsiteY47" fmla="*/ 1286767 h 1886842"/>
                            <a:gd name="connisteX48" fmla="*/ 2371725 w 2397057"/>
                            <a:gd name="connsiteY48" fmla="*/ 1353442 h 1886842"/>
                            <a:gd name="connisteX49" fmla="*/ 2386330 w 2397057"/>
                            <a:gd name="connsiteY49" fmla="*/ 1420117 h 1886842"/>
                            <a:gd name="connisteX50" fmla="*/ 2395855 w 2397057"/>
                            <a:gd name="connsiteY50" fmla="*/ 1486792 h 1886842"/>
                            <a:gd name="connisteX51" fmla="*/ 2395855 w 2397057"/>
                            <a:gd name="connsiteY51" fmla="*/ 1553467 h 1886842"/>
                            <a:gd name="connisteX52" fmla="*/ 2390775 w 2397057"/>
                            <a:gd name="connsiteY52" fmla="*/ 1620142 h 1886842"/>
                            <a:gd name="connisteX53" fmla="*/ 2362200 w 2397057"/>
                            <a:gd name="connsiteY53" fmla="*/ 1686817 h 1886842"/>
                            <a:gd name="connisteX54" fmla="*/ 2333625 w 2397057"/>
                            <a:gd name="connsiteY54" fmla="*/ 1753492 h 1886842"/>
                            <a:gd name="connisteX55" fmla="*/ 2329180 w 2397057"/>
                            <a:gd name="connsiteY55" fmla="*/ 1820167 h 1886842"/>
                            <a:gd name="connisteX56" fmla="*/ 2329180 w 2397057"/>
                            <a:gd name="connsiteY56" fmla="*/ 1886842 h 1886842"/>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 ang="0">
                              <a:pos x="connisteX11" y="connsiteY11"/>
                            </a:cxn>
                            <a:cxn ang="0">
                              <a:pos x="connisteX12" y="connsiteY12"/>
                            </a:cxn>
                            <a:cxn ang="0">
                              <a:pos x="connisteX13" y="connsiteY13"/>
                            </a:cxn>
                            <a:cxn ang="0">
                              <a:pos x="connisteX14" y="connsiteY14"/>
                            </a:cxn>
                            <a:cxn ang="0">
                              <a:pos x="connisteX15" y="connsiteY15"/>
                            </a:cxn>
                            <a:cxn ang="0">
                              <a:pos x="connisteX16" y="connsiteY16"/>
                            </a:cxn>
                            <a:cxn ang="0">
                              <a:pos x="connisteX17" y="connsiteY17"/>
                            </a:cxn>
                            <a:cxn ang="0">
                              <a:pos x="connisteX18" y="connsiteY18"/>
                            </a:cxn>
                            <a:cxn ang="0">
                              <a:pos x="connisteX19" y="connsiteY19"/>
                            </a:cxn>
                            <a:cxn ang="0">
                              <a:pos x="connisteX20" y="connsiteY20"/>
                            </a:cxn>
                            <a:cxn ang="0">
                              <a:pos x="connisteX21" y="connsiteY21"/>
                            </a:cxn>
                            <a:cxn ang="0">
                              <a:pos x="connisteX22" y="connsiteY22"/>
                            </a:cxn>
                            <a:cxn ang="0">
                              <a:pos x="connisteX23" y="connsiteY23"/>
                            </a:cxn>
                            <a:cxn ang="0">
                              <a:pos x="connisteX24" y="connsiteY24"/>
                            </a:cxn>
                            <a:cxn ang="0">
                              <a:pos x="connisteX25" y="connsiteY25"/>
                            </a:cxn>
                            <a:cxn ang="0">
                              <a:pos x="connisteX26" y="connsiteY26"/>
                            </a:cxn>
                            <a:cxn ang="0">
                              <a:pos x="connisteX27" y="connsiteY27"/>
                            </a:cxn>
                            <a:cxn ang="0">
                              <a:pos x="connisteX28" y="connsiteY28"/>
                            </a:cxn>
                            <a:cxn ang="0">
                              <a:pos x="connisteX29" y="connsiteY29"/>
                            </a:cxn>
                            <a:cxn ang="0">
                              <a:pos x="connisteX30" y="connsiteY30"/>
                            </a:cxn>
                            <a:cxn ang="0">
                              <a:pos x="connisteX31" y="connsiteY31"/>
                            </a:cxn>
                            <a:cxn ang="0">
                              <a:pos x="connisteX32" y="connsiteY32"/>
                            </a:cxn>
                            <a:cxn ang="0">
                              <a:pos x="connisteX33" y="connsiteY33"/>
                            </a:cxn>
                            <a:cxn ang="0">
                              <a:pos x="connisteX34" y="connsiteY34"/>
                            </a:cxn>
                            <a:cxn ang="0">
                              <a:pos x="connisteX35" y="connsiteY35"/>
                            </a:cxn>
                            <a:cxn ang="0">
                              <a:pos x="connisteX36" y="connsiteY36"/>
                            </a:cxn>
                            <a:cxn ang="0">
                              <a:pos x="connisteX37" y="connsiteY37"/>
                            </a:cxn>
                            <a:cxn ang="0">
                              <a:pos x="connisteX38" y="connsiteY38"/>
                            </a:cxn>
                            <a:cxn ang="0">
                              <a:pos x="connisteX39" y="connsiteY39"/>
                            </a:cxn>
                            <a:cxn ang="0">
                              <a:pos x="connisteX40" y="connsiteY40"/>
                            </a:cxn>
                            <a:cxn ang="0">
                              <a:pos x="connisteX41" y="connsiteY41"/>
                            </a:cxn>
                            <a:cxn ang="0">
                              <a:pos x="connisteX42" y="connsiteY42"/>
                            </a:cxn>
                            <a:cxn ang="0">
                              <a:pos x="connisteX43" y="connsiteY43"/>
                            </a:cxn>
                            <a:cxn ang="0">
                              <a:pos x="connisteX44" y="connsiteY44"/>
                            </a:cxn>
                            <a:cxn ang="0">
                              <a:pos x="connisteX45" y="connsiteY45"/>
                            </a:cxn>
                            <a:cxn ang="0">
                              <a:pos x="connisteX46" y="connsiteY46"/>
                            </a:cxn>
                            <a:cxn ang="0">
                              <a:pos x="connisteX47" y="connsiteY47"/>
                            </a:cxn>
                            <a:cxn ang="0">
                              <a:pos x="connisteX48" y="connsiteY48"/>
                            </a:cxn>
                            <a:cxn ang="0">
                              <a:pos x="connisteX49" y="connsiteY49"/>
                            </a:cxn>
                            <a:cxn ang="0">
                              <a:pos x="connisteX50" y="connsiteY50"/>
                            </a:cxn>
                            <a:cxn ang="0">
                              <a:pos x="connisteX51" y="connsiteY51"/>
                            </a:cxn>
                            <a:cxn ang="0">
                              <a:pos x="connisteX52" y="connsiteY52"/>
                            </a:cxn>
                            <a:cxn ang="0">
                              <a:pos x="connisteX53" y="connsiteY53"/>
                            </a:cxn>
                            <a:cxn ang="0">
                              <a:pos x="connisteX54" y="connsiteY54"/>
                            </a:cxn>
                            <a:cxn ang="0">
                              <a:pos x="connisteX55" y="connsiteY55"/>
                            </a:cxn>
                            <a:cxn ang="0">
                              <a:pos x="connisteX56" y="connsiteY56"/>
                            </a:cxn>
                          </a:cxnLst>
                          <a:rect l="l" t="t" r="r" b="b"/>
                          <a:pathLst>
                            <a:path w="2397057" h="1886843">
                              <a:moveTo>
                                <a:pt x="0" y="991493"/>
                              </a:moveTo>
                              <a:cubicBezTo>
                                <a:pt x="12065" y="985143"/>
                                <a:pt x="40005" y="969903"/>
                                <a:pt x="66675" y="958473"/>
                              </a:cubicBezTo>
                              <a:cubicBezTo>
                                <a:pt x="93345" y="947043"/>
                                <a:pt x="105410" y="951488"/>
                                <a:pt x="133350" y="934343"/>
                              </a:cubicBezTo>
                              <a:cubicBezTo>
                                <a:pt x="161290" y="917198"/>
                                <a:pt x="184785" y="898148"/>
                                <a:pt x="205105" y="872748"/>
                              </a:cubicBezTo>
                              <a:cubicBezTo>
                                <a:pt x="225425" y="847348"/>
                                <a:pt x="214630" y="830838"/>
                                <a:pt x="233680" y="806073"/>
                              </a:cubicBezTo>
                              <a:cubicBezTo>
                                <a:pt x="252730" y="781308"/>
                                <a:pt x="273685" y="765433"/>
                                <a:pt x="300355" y="748923"/>
                              </a:cubicBezTo>
                              <a:cubicBezTo>
                                <a:pt x="327025" y="732413"/>
                                <a:pt x="340360" y="734318"/>
                                <a:pt x="367030" y="724793"/>
                              </a:cubicBezTo>
                              <a:cubicBezTo>
                                <a:pt x="393700" y="715268"/>
                                <a:pt x="407035" y="712728"/>
                                <a:pt x="433705" y="701298"/>
                              </a:cubicBezTo>
                              <a:cubicBezTo>
                                <a:pt x="460375" y="689868"/>
                                <a:pt x="475615" y="687963"/>
                                <a:pt x="500380" y="667643"/>
                              </a:cubicBezTo>
                              <a:cubicBezTo>
                                <a:pt x="525145" y="647323"/>
                                <a:pt x="536575" y="627638"/>
                                <a:pt x="557530" y="600968"/>
                              </a:cubicBezTo>
                              <a:cubicBezTo>
                                <a:pt x="578485" y="574298"/>
                                <a:pt x="583565" y="560963"/>
                                <a:pt x="605155" y="534293"/>
                              </a:cubicBezTo>
                              <a:cubicBezTo>
                                <a:pt x="626745" y="507623"/>
                                <a:pt x="645795" y="494288"/>
                                <a:pt x="666750" y="467618"/>
                              </a:cubicBezTo>
                              <a:cubicBezTo>
                                <a:pt x="687705" y="440948"/>
                                <a:pt x="695325" y="427613"/>
                                <a:pt x="709930" y="400943"/>
                              </a:cubicBezTo>
                              <a:cubicBezTo>
                                <a:pt x="724535" y="374273"/>
                                <a:pt x="730250" y="360938"/>
                                <a:pt x="738505" y="334268"/>
                              </a:cubicBezTo>
                              <a:cubicBezTo>
                                <a:pt x="746760" y="307598"/>
                                <a:pt x="744855" y="294263"/>
                                <a:pt x="752475" y="267593"/>
                              </a:cubicBezTo>
                              <a:cubicBezTo>
                                <a:pt x="760095" y="240923"/>
                                <a:pt x="760095" y="228223"/>
                                <a:pt x="776605" y="200918"/>
                              </a:cubicBezTo>
                              <a:cubicBezTo>
                                <a:pt x="793115" y="173613"/>
                                <a:pt x="808990" y="152658"/>
                                <a:pt x="833755" y="129798"/>
                              </a:cubicBezTo>
                              <a:cubicBezTo>
                                <a:pt x="858520" y="106938"/>
                                <a:pt x="873760" y="101858"/>
                                <a:pt x="900430" y="86618"/>
                              </a:cubicBezTo>
                              <a:cubicBezTo>
                                <a:pt x="927100" y="71378"/>
                                <a:pt x="940435" y="63758"/>
                                <a:pt x="967105" y="53598"/>
                              </a:cubicBezTo>
                              <a:cubicBezTo>
                                <a:pt x="993775" y="43438"/>
                                <a:pt x="1007110" y="39628"/>
                                <a:pt x="1033780" y="34548"/>
                              </a:cubicBezTo>
                              <a:cubicBezTo>
                                <a:pt x="1060450" y="29468"/>
                                <a:pt x="1073785" y="32643"/>
                                <a:pt x="1100455" y="29468"/>
                              </a:cubicBezTo>
                              <a:cubicBezTo>
                                <a:pt x="1127125" y="26293"/>
                                <a:pt x="1140460" y="21848"/>
                                <a:pt x="1167130" y="19943"/>
                              </a:cubicBezTo>
                              <a:cubicBezTo>
                                <a:pt x="1193800" y="18038"/>
                                <a:pt x="1207135" y="22483"/>
                                <a:pt x="1233805" y="19943"/>
                              </a:cubicBezTo>
                              <a:cubicBezTo>
                                <a:pt x="1260475" y="17403"/>
                                <a:pt x="1273810" y="8513"/>
                                <a:pt x="1300480" y="5973"/>
                              </a:cubicBezTo>
                              <a:cubicBezTo>
                                <a:pt x="1327150" y="3433"/>
                                <a:pt x="1339850" y="-6092"/>
                                <a:pt x="1367155" y="5973"/>
                              </a:cubicBezTo>
                              <a:cubicBezTo>
                                <a:pt x="1394460" y="18038"/>
                                <a:pt x="1421130" y="42168"/>
                                <a:pt x="1438275" y="67568"/>
                              </a:cubicBezTo>
                              <a:cubicBezTo>
                                <a:pt x="1455420" y="92968"/>
                                <a:pt x="1449070" y="107573"/>
                                <a:pt x="1452880" y="134243"/>
                              </a:cubicBezTo>
                              <a:cubicBezTo>
                                <a:pt x="1456690" y="160913"/>
                                <a:pt x="1456690" y="174248"/>
                                <a:pt x="1457325" y="200918"/>
                              </a:cubicBezTo>
                              <a:cubicBezTo>
                                <a:pt x="1457960" y="227588"/>
                                <a:pt x="1457325" y="239653"/>
                                <a:pt x="1457325" y="267593"/>
                              </a:cubicBezTo>
                              <a:cubicBezTo>
                                <a:pt x="1457325" y="295533"/>
                                <a:pt x="1457325" y="311408"/>
                                <a:pt x="1457325" y="339348"/>
                              </a:cubicBezTo>
                              <a:cubicBezTo>
                                <a:pt x="1457325" y="367288"/>
                                <a:pt x="1457325" y="379353"/>
                                <a:pt x="1457325" y="406023"/>
                              </a:cubicBezTo>
                              <a:cubicBezTo>
                                <a:pt x="1457325" y="432693"/>
                                <a:pt x="1452245" y="444123"/>
                                <a:pt x="1457325" y="472698"/>
                              </a:cubicBezTo>
                              <a:cubicBezTo>
                                <a:pt x="1462405" y="501273"/>
                                <a:pt x="1470025" y="520323"/>
                                <a:pt x="1481455" y="548898"/>
                              </a:cubicBezTo>
                              <a:cubicBezTo>
                                <a:pt x="1492885" y="577473"/>
                                <a:pt x="1499235" y="588903"/>
                                <a:pt x="1514475" y="615573"/>
                              </a:cubicBezTo>
                              <a:cubicBezTo>
                                <a:pt x="1529715" y="642243"/>
                                <a:pt x="1540510" y="655578"/>
                                <a:pt x="1557655" y="682248"/>
                              </a:cubicBezTo>
                              <a:cubicBezTo>
                                <a:pt x="1574800" y="708918"/>
                                <a:pt x="1584325" y="722253"/>
                                <a:pt x="1600200" y="748923"/>
                              </a:cubicBezTo>
                              <a:cubicBezTo>
                                <a:pt x="1616075" y="775593"/>
                                <a:pt x="1623695" y="788928"/>
                                <a:pt x="1638300" y="815598"/>
                              </a:cubicBezTo>
                              <a:cubicBezTo>
                                <a:pt x="1652905" y="842268"/>
                                <a:pt x="1651635" y="857508"/>
                                <a:pt x="1671955" y="882273"/>
                              </a:cubicBezTo>
                              <a:cubicBezTo>
                                <a:pt x="1692275" y="907038"/>
                                <a:pt x="1711960" y="915928"/>
                                <a:pt x="1738630" y="939423"/>
                              </a:cubicBezTo>
                              <a:cubicBezTo>
                                <a:pt x="1765300" y="962918"/>
                                <a:pt x="1778635" y="981333"/>
                                <a:pt x="1805305" y="1001018"/>
                              </a:cubicBezTo>
                              <a:cubicBezTo>
                                <a:pt x="1831975" y="1020703"/>
                                <a:pt x="1845310" y="1029593"/>
                                <a:pt x="1871980" y="1039118"/>
                              </a:cubicBezTo>
                              <a:cubicBezTo>
                                <a:pt x="1898650" y="1048643"/>
                                <a:pt x="1911985" y="1039118"/>
                                <a:pt x="1938655" y="1048643"/>
                              </a:cubicBezTo>
                              <a:cubicBezTo>
                                <a:pt x="1965325" y="1058168"/>
                                <a:pt x="1978025" y="1070233"/>
                                <a:pt x="2005330" y="1086743"/>
                              </a:cubicBezTo>
                              <a:cubicBezTo>
                                <a:pt x="2032635" y="1103253"/>
                                <a:pt x="2047875" y="1113413"/>
                                <a:pt x="2076450" y="1129923"/>
                              </a:cubicBezTo>
                              <a:cubicBezTo>
                                <a:pt x="2105025" y="1146433"/>
                                <a:pt x="2119630" y="1154053"/>
                                <a:pt x="2148205" y="1168023"/>
                              </a:cubicBezTo>
                              <a:cubicBezTo>
                                <a:pt x="2176780" y="1181993"/>
                                <a:pt x="2192020" y="1190883"/>
                                <a:pt x="2219325" y="1201043"/>
                              </a:cubicBezTo>
                              <a:cubicBezTo>
                                <a:pt x="2246630" y="1211203"/>
                                <a:pt x="2261870" y="1202948"/>
                                <a:pt x="2286000" y="1220093"/>
                              </a:cubicBezTo>
                              <a:cubicBezTo>
                                <a:pt x="2310130" y="1237238"/>
                                <a:pt x="2321560" y="1260098"/>
                                <a:pt x="2338705" y="1286768"/>
                              </a:cubicBezTo>
                              <a:cubicBezTo>
                                <a:pt x="2355850" y="1313438"/>
                                <a:pt x="2362200" y="1326773"/>
                                <a:pt x="2371725" y="1353443"/>
                              </a:cubicBezTo>
                              <a:cubicBezTo>
                                <a:pt x="2381250" y="1380113"/>
                                <a:pt x="2381250" y="1393448"/>
                                <a:pt x="2386330" y="1420118"/>
                              </a:cubicBezTo>
                              <a:cubicBezTo>
                                <a:pt x="2391410" y="1446788"/>
                                <a:pt x="2393950" y="1460123"/>
                                <a:pt x="2395855" y="1486793"/>
                              </a:cubicBezTo>
                              <a:cubicBezTo>
                                <a:pt x="2397760" y="1513463"/>
                                <a:pt x="2397125" y="1526798"/>
                                <a:pt x="2395855" y="1553468"/>
                              </a:cubicBezTo>
                              <a:cubicBezTo>
                                <a:pt x="2394585" y="1580138"/>
                                <a:pt x="2397760" y="1593473"/>
                                <a:pt x="2390775" y="1620143"/>
                              </a:cubicBezTo>
                              <a:cubicBezTo>
                                <a:pt x="2383790" y="1646813"/>
                                <a:pt x="2373630" y="1660148"/>
                                <a:pt x="2362200" y="1686818"/>
                              </a:cubicBezTo>
                              <a:cubicBezTo>
                                <a:pt x="2350770" y="1713488"/>
                                <a:pt x="2339975" y="1726823"/>
                                <a:pt x="2333625" y="1753493"/>
                              </a:cubicBezTo>
                              <a:cubicBezTo>
                                <a:pt x="2327275" y="1780163"/>
                                <a:pt x="2329815" y="1793498"/>
                                <a:pt x="2329180" y="1820168"/>
                              </a:cubicBezTo>
                              <a:cubicBezTo>
                                <a:pt x="2328545" y="1846838"/>
                                <a:pt x="2329180" y="1874778"/>
                                <a:pt x="2329180" y="1886843"/>
                              </a:cubicBezTo>
                            </a:path>
                          </a:pathLst>
                        </a:custGeom>
                        <a:noFill/>
                        <a:ln w="381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id="_x0000_s1026" o:spid="_x0000_s1026" o:spt="100" style="position:absolute;left:0pt;margin-left:305.1pt;margin-top:285.05pt;height:146.75pt;width:190.25pt;z-index:251591680;mso-width-relative:page;mso-height-relative:page;" filled="f" stroked="t" coordsize="2397057,1886843" o:gfxdata="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" path="m0,991493c12065,985143,40005,969903,66675,958473c93345,947043,105410,951488,133350,934343c161290,917198,184785,898148,205105,872748c225425,847348,214630,830838,233680,806073c252730,781308,273685,765433,300355,748923c327025,732413,340360,734318,367030,724793c393700,715268,407035,712728,433705,701298c460375,689868,475615,687963,500380,667643c525145,647323,536575,627638,557530,600968c578485,574298,583565,560963,605155,534293c626745,507623,645795,494288,666750,467618c687705,440948,695325,427613,709930,400943c724535,374273,730250,360938,738505,334268c746760,307598,744855,294263,752475,267593c760095,240923,760095,228223,776605,200918c793115,173613,808990,152658,833755,129798c858520,106938,873760,101858,900430,86618c927100,71378,940435,63758,967105,53598c993775,43438,1007110,39628,1033780,34548c1060450,29468,1073785,32643,1100455,29468c1127125,26293,1140460,21848,1167130,19943c1193800,18038,1207135,22483,1233805,19943c1260475,17403,1273810,8513,1300480,5973c1327150,3433,1339850,-6092,1367155,5973c1394460,18038,1421130,42168,1438275,67568c1455420,92968,1449070,107573,1452880,134243c1456690,160913,1456690,174248,1457325,200918c1457960,227588,1457325,239653,1457325,267593c1457325,295533,1457325,311408,1457325,339348c1457325,367288,1457325,379353,1457325,406023c1457325,432693,1452245,444123,1457325,472698c1462405,501273,1470025,520323,1481455,548898c1492885,577473,1499235,588903,1514475,615573c1529715,642243,1540510,655578,1557655,682248c1574800,708918,1584325,722253,1600200,748923c1616075,775593,1623695,788928,1638300,815598c1652905,842268,1651635,857508,1671955,882273c1692275,907038,1711960,915928,1738630,939423c1765300,962918,1778635,981333,1805305,1001018c1831975,1020703,1845310,1029593,1871980,1039118c1898650,1048643,1911985,1039118,1938655,1048643c1965325,1058168,1978025,1070233,2005330,1086743c2032635,1103253,2047875,1113413,2076450,1129923c2105025,1146433,2119630,1154053,2148205,1168023c2176780,1181993,2192020,1190883,2219325,1201043c2246630,1211203,2261870,1202948,2286000,1220093c2310130,1237238,2321560,1260098,2338705,1286768c2355850,1313438,2362200,1326773,2371725,1353443c2381250,1380113,2381250,1393448,2386330,1420118c2391410,1446788,2393950,1460123,2395855,1486793c2397760,1513463,2397125,1526798,2395855,1553468c2394585,1580138,2397760,1593473,2390775,1620143c2383790,1646813,2373630,1660148,2362200,1686818c2350770,1713488,2339975,1726823,2333625,1753493c2327275,1780163,2329815,1793498,2329180,1820168c2328545,1846838,2329180,1874778,2329180,1886843e">
                <v:path o:connectlocs="0,979344;67206,946729;134413,922894;206740,862054;235543,796196;302750,739746;369957,715912;437164,692704;504370,659462;561976,593604;609981,527746;672067,461887;715592,396029;744395,330171;758476,264313;782798,198455;840404,128206;907611,85555;974818,52940;1042025,34123;1109231,29105;1176438,19697;1243645,19697;1310852,5898;1378058,5898;1449746,66739;1464467,132597;1468948,198455;1468948,264313;1468948,335189;1468948,401047;1468948,466905;1493270,542172;1526553,608030;1570078,673888;1612962,739746;1651366,805604;1685289,871462;1752496,927912;1819703,988752;1886910,1026386;1954116,1035794;2021323,1073427;2093010,1116078;2165338,1153711;2237025,1186327;2304232,1205143;2357357,1271001;2390640,1336860;2405362,1402718;2414963,1468576;2414963,1534434;2409842,1600292;2381039,1666150;2352237,1732008;2347756,1797866;2347756,1863725" o:connectangles="0,0,0,0,0,0,0,0,0,0,0,0,0,0,0,0,0,0,0,0,0,0,0,0,0,0,0,0,0,0,0,0,0,0,0,0,0,0,0,0,0,0,0,0,0,0,0,0,0,0,0,0,0,0,0,0,0"/>
                <v:fill on="f" focussize="0,0"/>
                <v:stroke weight="3pt" color="#00B0F0 [3204]" miterlimit="8" joinstyle="miter"/>
                <v:imagedata o:title=""/>
                <o:lock v:ext="edit" aspectratio="f"/>
              </v:shape>
            </w:pict>
          </mc:Fallback>
        </mc:AlternateContent>
      </w:r>
      <w:r>
        <w:rPr>
          <w:sz w:val="24"/>
        </w:rPr>
        <mc:AlternateContent>
          <mc:Choice Requires="wps">
            <w:drawing>
              <wp:anchor distT="0" distB="0" distL="114300" distR="114300" simplePos="0" relativeHeight="251590656" behindDoc="0" locked="0" layoutInCell="1" allowOverlap="1">
                <wp:simplePos x="0" y="0"/>
                <wp:positionH relativeFrom="column">
                  <wp:posOffset>1703070</wp:posOffset>
                </wp:positionH>
                <wp:positionV relativeFrom="paragraph">
                  <wp:posOffset>2526665</wp:posOffset>
                </wp:positionV>
                <wp:extent cx="2181225" cy="2325370"/>
                <wp:effectExtent l="19050" t="5080" r="9525" b="31750"/>
                <wp:wrapNone/>
                <wp:docPr id="22" name="任意多边形 22"/>
                <wp:cNvGraphicFramePr/>
                <a:graphic xmlns:a="http://schemas.openxmlformats.org/drawingml/2006/main">
                  <a:graphicData uri="http://schemas.microsoft.com/office/word/2010/wordprocessingShape">
                    <wps:wsp>
                      <wps:cNvSpPr/>
                      <wps:spPr>
                        <a:xfrm>
                          <a:off x="2423160" y="3427095"/>
                          <a:ext cx="2181225" cy="2325370"/>
                        </a:xfrm>
                        <a:custGeom>
                          <a:avLst/>
                          <a:gdLst>
                            <a:gd name="connisteX0" fmla="*/ 409604 w 2181254"/>
                            <a:gd name="connsiteY0" fmla="*/ 0 h 2325228"/>
                            <a:gd name="connisteX1" fmla="*/ 428654 w 2181254"/>
                            <a:gd name="connsiteY1" fmla="*/ 76200 h 2325228"/>
                            <a:gd name="connisteX2" fmla="*/ 443259 w 2181254"/>
                            <a:gd name="connsiteY2" fmla="*/ 142875 h 2325228"/>
                            <a:gd name="connisteX3" fmla="*/ 471834 w 2181254"/>
                            <a:gd name="connsiteY3" fmla="*/ 209550 h 2325228"/>
                            <a:gd name="connisteX4" fmla="*/ 504854 w 2181254"/>
                            <a:gd name="connsiteY4" fmla="*/ 281305 h 2325228"/>
                            <a:gd name="connisteX5" fmla="*/ 533429 w 2181254"/>
                            <a:gd name="connsiteY5" fmla="*/ 347980 h 2325228"/>
                            <a:gd name="connisteX6" fmla="*/ 538509 w 2181254"/>
                            <a:gd name="connsiteY6" fmla="*/ 414655 h 2325228"/>
                            <a:gd name="connisteX7" fmla="*/ 548034 w 2181254"/>
                            <a:gd name="connsiteY7" fmla="*/ 481330 h 2325228"/>
                            <a:gd name="connisteX8" fmla="*/ 548034 w 2181254"/>
                            <a:gd name="connsiteY8" fmla="*/ 548005 h 2325228"/>
                            <a:gd name="connisteX9" fmla="*/ 476279 w 2181254"/>
                            <a:gd name="connsiteY9" fmla="*/ 605155 h 2325228"/>
                            <a:gd name="connisteX10" fmla="*/ 409604 w 2181254"/>
                            <a:gd name="connsiteY10" fmla="*/ 662305 h 2325228"/>
                            <a:gd name="connisteX11" fmla="*/ 342929 w 2181254"/>
                            <a:gd name="connsiteY11" fmla="*/ 723900 h 2325228"/>
                            <a:gd name="connisteX12" fmla="*/ 271809 w 2181254"/>
                            <a:gd name="connsiteY12" fmla="*/ 776605 h 2325228"/>
                            <a:gd name="connisteX13" fmla="*/ 209579 w 2181254"/>
                            <a:gd name="connsiteY13" fmla="*/ 843280 h 2325228"/>
                            <a:gd name="connisteX14" fmla="*/ 161954 w 2181254"/>
                            <a:gd name="connsiteY14" fmla="*/ 909955 h 2325228"/>
                            <a:gd name="connisteX15" fmla="*/ 119409 w 2181254"/>
                            <a:gd name="connsiteY15" fmla="*/ 976630 h 2325228"/>
                            <a:gd name="connisteX16" fmla="*/ 76229 w 2181254"/>
                            <a:gd name="connsiteY16" fmla="*/ 1043305 h 2325228"/>
                            <a:gd name="connisteX17" fmla="*/ 24159 w 2181254"/>
                            <a:gd name="connsiteY17" fmla="*/ 1109980 h 2325228"/>
                            <a:gd name="connisteX18" fmla="*/ 29 w 2181254"/>
                            <a:gd name="connsiteY18" fmla="*/ 1176655 h 2325228"/>
                            <a:gd name="connisteX19" fmla="*/ 28604 w 2181254"/>
                            <a:gd name="connsiteY19" fmla="*/ 1243330 h 2325228"/>
                            <a:gd name="connisteX20" fmla="*/ 66704 w 2181254"/>
                            <a:gd name="connsiteY20" fmla="*/ 1310005 h 2325228"/>
                            <a:gd name="connisteX21" fmla="*/ 114329 w 2181254"/>
                            <a:gd name="connsiteY21" fmla="*/ 1376680 h 2325228"/>
                            <a:gd name="connisteX22" fmla="*/ 167034 w 2181254"/>
                            <a:gd name="connsiteY22" fmla="*/ 1443355 h 2325228"/>
                            <a:gd name="connisteX23" fmla="*/ 233709 w 2181254"/>
                            <a:gd name="connsiteY23" fmla="*/ 1485900 h 2325228"/>
                            <a:gd name="connisteX24" fmla="*/ 309909 w 2181254"/>
                            <a:gd name="connsiteY24" fmla="*/ 1485900 h 2325228"/>
                            <a:gd name="connisteX25" fmla="*/ 376584 w 2181254"/>
                            <a:gd name="connsiteY25" fmla="*/ 1514475 h 2325228"/>
                            <a:gd name="connisteX26" fmla="*/ 409604 w 2181254"/>
                            <a:gd name="connsiteY26" fmla="*/ 1581150 h 2325228"/>
                            <a:gd name="connisteX27" fmla="*/ 433734 w 2181254"/>
                            <a:gd name="connsiteY27" fmla="*/ 1647825 h 2325228"/>
                            <a:gd name="connisteX28" fmla="*/ 466754 w 2181254"/>
                            <a:gd name="connsiteY28" fmla="*/ 1714500 h 2325228"/>
                            <a:gd name="connisteX29" fmla="*/ 485804 w 2181254"/>
                            <a:gd name="connsiteY29" fmla="*/ 1786255 h 2325228"/>
                            <a:gd name="connisteX30" fmla="*/ 471834 w 2181254"/>
                            <a:gd name="connsiteY30" fmla="*/ 1852930 h 2325228"/>
                            <a:gd name="connisteX31" fmla="*/ 447704 w 2181254"/>
                            <a:gd name="connsiteY31" fmla="*/ 1924050 h 2325228"/>
                            <a:gd name="connisteX32" fmla="*/ 386109 w 2181254"/>
                            <a:gd name="connsiteY32" fmla="*/ 1990725 h 2325228"/>
                            <a:gd name="connisteX33" fmla="*/ 319434 w 2181254"/>
                            <a:gd name="connsiteY33" fmla="*/ 2062480 h 2325228"/>
                            <a:gd name="connisteX34" fmla="*/ 262284 w 2181254"/>
                            <a:gd name="connsiteY34" fmla="*/ 2129155 h 2325228"/>
                            <a:gd name="connisteX35" fmla="*/ 195609 w 2181254"/>
                            <a:gd name="connsiteY35" fmla="*/ 2152650 h 2325228"/>
                            <a:gd name="connisteX36" fmla="*/ 128934 w 2181254"/>
                            <a:gd name="connsiteY36" fmla="*/ 2176780 h 2325228"/>
                            <a:gd name="connisteX37" fmla="*/ 81309 w 2181254"/>
                            <a:gd name="connsiteY37" fmla="*/ 2247900 h 2325228"/>
                            <a:gd name="connisteX38" fmla="*/ 147984 w 2181254"/>
                            <a:gd name="connsiteY38" fmla="*/ 2310130 h 2325228"/>
                            <a:gd name="connisteX39" fmla="*/ 219104 w 2181254"/>
                            <a:gd name="connsiteY39" fmla="*/ 2324100 h 2325228"/>
                            <a:gd name="connisteX40" fmla="*/ 285779 w 2181254"/>
                            <a:gd name="connsiteY40" fmla="*/ 2324100 h 2325228"/>
                            <a:gd name="connisteX41" fmla="*/ 357534 w 2181254"/>
                            <a:gd name="connsiteY41" fmla="*/ 2324100 h 2325228"/>
                            <a:gd name="connisteX42" fmla="*/ 424209 w 2181254"/>
                            <a:gd name="connsiteY42" fmla="*/ 2319655 h 2325228"/>
                            <a:gd name="connisteX43" fmla="*/ 500409 w 2181254"/>
                            <a:gd name="connsiteY43" fmla="*/ 2319655 h 2325228"/>
                            <a:gd name="connisteX44" fmla="*/ 567084 w 2181254"/>
                            <a:gd name="connsiteY44" fmla="*/ 2319655 h 2325228"/>
                            <a:gd name="connisteX45" fmla="*/ 633759 w 2181254"/>
                            <a:gd name="connsiteY45" fmla="*/ 2319655 h 2325228"/>
                            <a:gd name="connisteX46" fmla="*/ 700434 w 2181254"/>
                            <a:gd name="connsiteY46" fmla="*/ 2324100 h 2325228"/>
                            <a:gd name="connisteX47" fmla="*/ 767109 w 2181254"/>
                            <a:gd name="connsiteY47" fmla="*/ 2319655 h 2325228"/>
                            <a:gd name="connisteX48" fmla="*/ 833784 w 2181254"/>
                            <a:gd name="connsiteY48" fmla="*/ 2319655 h 2325228"/>
                            <a:gd name="connisteX49" fmla="*/ 900459 w 2181254"/>
                            <a:gd name="connsiteY49" fmla="*/ 2310130 h 2325228"/>
                            <a:gd name="connisteX50" fmla="*/ 967134 w 2181254"/>
                            <a:gd name="connsiteY50" fmla="*/ 2257425 h 2325228"/>
                            <a:gd name="connisteX51" fmla="*/ 1038254 w 2181254"/>
                            <a:gd name="connsiteY51" fmla="*/ 2214880 h 2325228"/>
                            <a:gd name="connisteX52" fmla="*/ 1104929 w 2181254"/>
                            <a:gd name="connsiteY52" fmla="*/ 2195830 h 2325228"/>
                            <a:gd name="connisteX53" fmla="*/ 1171604 w 2181254"/>
                            <a:gd name="connsiteY53" fmla="*/ 2181225 h 2325228"/>
                            <a:gd name="connisteX54" fmla="*/ 1238279 w 2181254"/>
                            <a:gd name="connsiteY54" fmla="*/ 2162175 h 2325228"/>
                            <a:gd name="connisteX55" fmla="*/ 1304954 w 2181254"/>
                            <a:gd name="connsiteY55" fmla="*/ 2162175 h 2325228"/>
                            <a:gd name="connisteX56" fmla="*/ 1371629 w 2181254"/>
                            <a:gd name="connsiteY56" fmla="*/ 2162175 h 2325228"/>
                            <a:gd name="connisteX57" fmla="*/ 1438304 w 2181254"/>
                            <a:gd name="connsiteY57" fmla="*/ 2167255 h 2325228"/>
                            <a:gd name="connisteX58" fmla="*/ 1504979 w 2181254"/>
                            <a:gd name="connsiteY58" fmla="*/ 2176780 h 2325228"/>
                            <a:gd name="connisteX59" fmla="*/ 1571654 w 2181254"/>
                            <a:gd name="connsiteY59" fmla="*/ 2195830 h 2325228"/>
                            <a:gd name="connisteX60" fmla="*/ 1638329 w 2181254"/>
                            <a:gd name="connsiteY60" fmla="*/ 2209800 h 2325228"/>
                            <a:gd name="connisteX61" fmla="*/ 1705004 w 2181254"/>
                            <a:gd name="connsiteY61" fmla="*/ 2224405 h 2325228"/>
                            <a:gd name="connisteX62" fmla="*/ 1771679 w 2181254"/>
                            <a:gd name="connsiteY62" fmla="*/ 2238375 h 2325228"/>
                            <a:gd name="connisteX63" fmla="*/ 1843434 w 2181254"/>
                            <a:gd name="connsiteY63" fmla="*/ 2243455 h 2325228"/>
                            <a:gd name="connisteX64" fmla="*/ 1914554 w 2181254"/>
                            <a:gd name="connsiteY64" fmla="*/ 2228850 h 2325228"/>
                            <a:gd name="connisteX65" fmla="*/ 1981229 w 2181254"/>
                            <a:gd name="connsiteY65" fmla="*/ 2176780 h 2325228"/>
                            <a:gd name="connisteX66" fmla="*/ 2047904 w 2181254"/>
                            <a:gd name="connsiteY66" fmla="*/ 2148205 h 2325228"/>
                            <a:gd name="connisteX67" fmla="*/ 2114579 w 2181254"/>
                            <a:gd name="connsiteY67" fmla="*/ 2105025 h 2325228"/>
                            <a:gd name="connisteX68" fmla="*/ 2181254 w 2181254"/>
                            <a:gd name="connsiteY68" fmla="*/ 2072005 h 2325228"/>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 ang="0">
                              <a:pos x="connisteX11" y="connsiteY11"/>
                            </a:cxn>
                            <a:cxn ang="0">
                              <a:pos x="connisteX12" y="connsiteY12"/>
                            </a:cxn>
                            <a:cxn ang="0">
                              <a:pos x="connisteX13" y="connsiteY13"/>
                            </a:cxn>
                            <a:cxn ang="0">
                              <a:pos x="connisteX14" y="connsiteY14"/>
                            </a:cxn>
                            <a:cxn ang="0">
                              <a:pos x="connisteX15" y="connsiteY15"/>
                            </a:cxn>
                            <a:cxn ang="0">
                              <a:pos x="connisteX16" y="connsiteY16"/>
                            </a:cxn>
                            <a:cxn ang="0">
                              <a:pos x="connisteX17" y="connsiteY17"/>
                            </a:cxn>
                            <a:cxn ang="0">
                              <a:pos x="connisteX18" y="connsiteY18"/>
                            </a:cxn>
                            <a:cxn ang="0">
                              <a:pos x="connisteX19" y="connsiteY19"/>
                            </a:cxn>
                            <a:cxn ang="0">
                              <a:pos x="connisteX20" y="connsiteY20"/>
                            </a:cxn>
                            <a:cxn ang="0">
                              <a:pos x="connisteX21" y="connsiteY21"/>
                            </a:cxn>
                            <a:cxn ang="0">
                              <a:pos x="connisteX22" y="connsiteY22"/>
                            </a:cxn>
                            <a:cxn ang="0">
                              <a:pos x="connisteX23" y="connsiteY23"/>
                            </a:cxn>
                            <a:cxn ang="0">
                              <a:pos x="connisteX24" y="connsiteY24"/>
                            </a:cxn>
                            <a:cxn ang="0">
                              <a:pos x="connisteX25" y="connsiteY25"/>
                            </a:cxn>
                            <a:cxn ang="0">
                              <a:pos x="connisteX26" y="connsiteY26"/>
                            </a:cxn>
                            <a:cxn ang="0">
                              <a:pos x="connisteX27" y="connsiteY27"/>
                            </a:cxn>
                            <a:cxn ang="0">
                              <a:pos x="connisteX28" y="connsiteY28"/>
                            </a:cxn>
                            <a:cxn ang="0">
                              <a:pos x="connisteX29" y="connsiteY29"/>
                            </a:cxn>
                            <a:cxn ang="0">
                              <a:pos x="connisteX30" y="connsiteY30"/>
                            </a:cxn>
                            <a:cxn ang="0">
                              <a:pos x="connisteX31" y="connsiteY31"/>
                            </a:cxn>
                            <a:cxn ang="0">
                              <a:pos x="connisteX32" y="connsiteY32"/>
                            </a:cxn>
                            <a:cxn ang="0">
                              <a:pos x="connisteX33" y="connsiteY33"/>
                            </a:cxn>
                            <a:cxn ang="0">
                              <a:pos x="connisteX34" y="connsiteY34"/>
                            </a:cxn>
                            <a:cxn ang="0">
                              <a:pos x="connisteX35" y="connsiteY35"/>
                            </a:cxn>
                            <a:cxn ang="0">
                              <a:pos x="connisteX36" y="connsiteY36"/>
                            </a:cxn>
                            <a:cxn ang="0">
                              <a:pos x="connisteX37" y="connsiteY37"/>
                            </a:cxn>
                            <a:cxn ang="0">
                              <a:pos x="connisteX38" y="connsiteY38"/>
                            </a:cxn>
                            <a:cxn ang="0">
                              <a:pos x="connisteX39" y="connsiteY39"/>
                            </a:cxn>
                            <a:cxn ang="0">
                              <a:pos x="connisteX40" y="connsiteY40"/>
                            </a:cxn>
                            <a:cxn ang="0">
                              <a:pos x="connisteX41" y="connsiteY41"/>
                            </a:cxn>
                            <a:cxn ang="0">
                              <a:pos x="connisteX42" y="connsiteY42"/>
                            </a:cxn>
                            <a:cxn ang="0">
                              <a:pos x="connisteX43" y="connsiteY43"/>
                            </a:cxn>
                            <a:cxn ang="0">
                              <a:pos x="connisteX44" y="connsiteY44"/>
                            </a:cxn>
                            <a:cxn ang="0">
                              <a:pos x="connisteX45" y="connsiteY45"/>
                            </a:cxn>
                            <a:cxn ang="0">
                              <a:pos x="connisteX46" y="connsiteY46"/>
                            </a:cxn>
                            <a:cxn ang="0">
                              <a:pos x="connisteX47" y="connsiteY47"/>
                            </a:cxn>
                            <a:cxn ang="0">
                              <a:pos x="connisteX48" y="connsiteY48"/>
                            </a:cxn>
                            <a:cxn ang="0">
                              <a:pos x="connisteX49" y="connsiteY49"/>
                            </a:cxn>
                            <a:cxn ang="0">
                              <a:pos x="connisteX50" y="connsiteY50"/>
                            </a:cxn>
                            <a:cxn ang="0">
                              <a:pos x="connisteX51" y="connsiteY51"/>
                            </a:cxn>
                            <a:cxn ang="0">
                              <a:pos x="connisteX52" y="connsiteY52"/>
                            </a:cxn>
                            <a:cxn ang="0">
                              <a:pos x="connisteX53" y="connsiteY53"/>
                            </a:cxn>
                            <a:cxn ang="0">
                              <a:pos x="connisteX54" y="connsiteY54"/>
                            </a:cxn>
                            <a:cxn ang="0">
                              <a:pos x="connisteX55" y="connsiteY55"/>
                            </a:cxn>
                            <a:cxn ang="0">
                              <a:pos x="connisteX56" y="connsiteY56"/>
                            </a:cxn>
                            <a:cxn ang="0">
                              <a:pos x="connisteX57" y="connsiteY57"/>
                            </a:cxn>
                            <a:cxn ang="0">
                              <a:pos x="connisteX58" y="connsiteY58"/>
                            </a:cxn>
                            <a:cxn ang="0">
                              <a:pos x="connisteX59" y="connsiteY59"/>
                            </a:cxn>
                            <a:cxn ang="0">
                              <a:pos x="connisteX60" y="connsiteY60"/>
                            </a:cxn>
                            <a:cxn ang="0">
                              <a:pos x="connisteX61" y="connsiteY61"/>
                            </a:cxn>
                            <a:cxn ang="0">
                              <a:pos x="connisteX62" y="connsiteY62"/>
                            </a:cxn>
                            <a:cxn ang="0">
                              <a:pos x="connisteX63" y="connsiteY63"/>
                            </a:cxn>
                            <a:cxn ang="0">
                              <a:pos x="connisteX64" y="connsiteY64"/>
                            </a:cxn>
                            <a:cxn ang="0">
                              <a:pos x="connisteX65" y="connsiteY65"/>
                            </a:cxn>
                            <a:cxn ang="0">
                              <a:pos x="connisteX66" y="connsiteY66"/>
                            </a:cxn>
                            <a:cxn ang="0">
                              <a:pos x="connisteX67" y="connsiteY67"/>
                            </a:cxn>
                            <a:cxn ang="0">
                              <a:pos x="connisteX68" y="connsiteY68"/>
                            </a:cxn>
                          </a:cxnLst>
                          <a:rect l="l" t="t" r="r" b="b"/>
                          <a:pathLst>
                            <a:path w="2181255" h="2325229">
                              <a:moveTo>
                                <a:pt x="409605" y="0"/>
                              </a:moveTo>
                              <a:cubicBezTo>
                                <a:pt x="413415" y="13970"/>
                                <a:pt x="421670" y="47625"/>
                                <a:pt x="428655" y="76200"/>
                              </a:cubicBezTo>
                              <a:cubicBezTo>
                                <a:pt x="435640" y="104775"/>
                                <a:pt x="434370" y="116205"/>
                                <a:pt x="443260" y="142875"/>
                              </a:cubicBezTo>
                              <a:cubicBezTo>
                                <a:pt x="452150" y="169545"/>
                                <a:pt x="459770" y="181610"/>
                                <a:pt x="471835" y="209550"/>
                              </a:cubicBezTo>
                              <a:cubicBezTo>
                                <a:pt x="483900" y="237490"/>
                                <a:pt x="492790" y="253365"/>
                                <a:pt x="504855" y="281305"/>
                              </a:cubicBezTo>
                              <a:cubicBezTo>
                                <a:pt x="516920" y="309245"/>
                                <a:pt x="526445" y="321310"/>
                                <a:pt x="533430" y="347980"/>
                              </a:cubicBezTo>
                              <a:cubicBezTo>
                                <a:pt x="540415" y="374650"/>
                                <a:pt x="535335" y="387985"/>
                                <a:pt x="538510" y="414655"/>
                              </a:cubicBezTo>
                              <a:cubicBezTo>
                                <a:pt x="541685" y="441325"/>
                                <a:pt x="546130" y="454660"/>
                                <a:pt x="548035" y="481330"/>
                              </a:cubicBezTo>
                              <a:cubicBezTo>
                                <a:pt x="549940" y="508000"/>
                                <a:pt x="562640" y="523240"/>
                                <a:pt x="548035" y="548005"/>
                              </a:cubicBezTo>
                              <a:cubicBezTo>
                                <a:pt x="533430" y="572770"/>
                                <a:pt x="504220" y="582295"/>
                                <a:pt x="476280" y="605155"/>
                              </a:cubicBezTo>
                              <a:cubicBezTo>
                                <a:pt x="448340" y="628015"/>
                                <a:pt x="436275" y="638810"/>
                                <a:pt x="409605" y="662305"/>
                              </a:cubicBezTo>
                              <a:cubicBezTo>
                                <a:pt x="382935" y="685800"/>
                                <a:pt x="370235" y="701040"/>
                                <a:pt x="342930" y="723900"/>
                              </a:cubicBezTo>
                              <a:cubicBezTo>
                                <a:pt x="315625" y="746760"/>
                                <a:pt x="298480" y="752475"/>
                                <a:pt x="271810" y="776605"/>
                              </a:cubicBezTo>
                              <a:cubicBezTo>
                                <a:pt x="245140" y="800735"/>
                                <a:pt x="231805" y="816610"/>
                                <a:pt x="209580" y="843280"/>
                              </a:cubicBezTo>
                              <a:cubicBezTo>
                                <a:pt x="187355" y="869950"/>
                                <a:pt x="179735" y="883285"/>
                                <a:pt x="161955" y="909955"/>
                              </a:cubicBezTo>
                              <a:cubicBezTo>
                                <a:pt x="144175" y="936625"/>
                                <a:pt x="136555" y="949960"/>
                                <a:pt x="119410" y="976630"/>
                              </a:cubicBezTo>
                              <a:cubicBezTo>
                                <a:pt x="102265" y="1003300"/>
                                <a:pt x="95280" y="1016635"/>
                                <a:pt x="76230" y="1043305"/>
                              </a:cubicBezTo>
                              <a:cubicBezTo>
                                <a:pt x="57180" y="1069975"/>
                                <a:pt x="39400" y="1083310"/>
                                <a:pt x="24160" y="1109980"/>
                              </a:cubicBezTo>
                              <a:cubicBezTo>
                                <a:pt x="8920" y="1136650"/>
                                <a:pt x="-605" y="1149985"/>
                                <a:pt x="30" y="1176655"/>
                              </a:cubicBezTo>
                              <a:cubicBezTo>
                                <a:pt x="665" y="1203325"/>
                                <a:pt x="15270" y="1216660"/>
                                <a:pt x="28605" y="1243330"/>
                              </a:cubicBezTo>
                              <a:cubicBezTo>
                                <a:pt x="41940" y="1270000"/>
                                <a:pt x="49560" y="1283335"/>
                                <a:pt x="66705" y="1310005"/>
                              </a:cubicBezTo>
                              <a:cubicBezTo>
                                <a:pt x="83850" y="1336675"/>
                                <a:pt x="94010" y="1350010"/>
                                <a:pt x="114330" y="1376680"/>
                              </a:cubicBezTo>
                              <a:cubicBezTo>
                                <a:pt x="134650" y="1403350"/>
                                <a:pt x="142905" y="1421765"/>
                                <a:pt x="167035" y="1443355"/>
                              </a:cubicBezTo>
                              <a:cubicBezTo>
                                <a:pt x="191165" y="1464945"/>
                                <a:pt x="205135" y="1477645"/>
                                <a:pt x="233710" y="1485900"/>
                              </a:cubicBezTo>
                              <a:cubicBezTo>
                                <a:pt x="262285" y="1494155"/>
                                <a:pt x="281335" y="1480185"/>
                                <a:pt x="309910" y="1485900"/>
                              </a:cubicBezTo>
                              <a:cubicBezTo>
                                <a:pt x="338485" y="1491615"/>
                                <a:pt x="356900" y="1495425"/>
                                <a:pt x="376585" y="1514475"/>
                              </a:cubicBezTo>
                              <a:cubicBezTo>
                                <a:pt x="396270" y="1533525"/>
                                <a:pt x="398175" y="1554480"/>
                                <a:pt x="409605" y="1581150"/>
                              </a:cubicBezTo>
                              <a:cubicBezTo>
                                <a:pt x="421035" y="1607820"/>
                                <a:pt x="422305" y="1621155"/>
                                <a:pt x="433735" y="1647825"/>
                              </a:cubicBezTo>
                              <a:cubicBezTo>
                                <a:pt x="445165" y="1674495"/>
                                <a:pt x="456595" y="1686560"/>
                                <a:pt x="466755" y="1714500"/>
                              </a:cubicBezTo>
                              <a:cubicBezTo>
                                <a:pt x="476915" y="1742440"/>
                                <a:pt x="484535" y="1758315"/>
                                <a:pt x="485805" y="1786255"/>
                              </a:cubicBezTo>
                              <a:cubicBezTo>
                                <a:pt x="487075" y="1814195"/>
                                <a:pt x="479455" y="1825625"/>
                                <a:pt x="471835" y="1852930"/>
                              </a:cubicBezTo>
                              <a:cubicBezTo>
                                <a:pt x="464215" y="1880235"/>
                                <a:pt x="464850" y="1896745"/>
                                <a:pt x="447705" y="1924050"/>
                              </a:cubicBezTo>
                              <a:cubicBezTo>
                                <a:pt x="430560" y="1951355"/>
                                <a:pt x="411510" y="1962785"/>
                                <a:pt x="386110" y="1990725"/>
                              </a:cubicBezTo>
                              <a:cubicBezTo>
                                <a:pt x="360710" y="2018665"/>
                                <a:pt x="344200" y="2034540"/>
                                <a:pt x="319435" y="2062480"/>
                              </a:cubicBezTo>
                              <a:cubicBezTo>
                                <a:pt x="294670" y="2090420"/>
                                <a:pt x="287050" y="2111375"/>
                                <a:pt x="262285" y="2129155"/>
                              </a:cubicBezTo>
                              <a:cubicBezTo>
                                <a:pt x="237520" y="2146935"/>
                                <a:pt x="222280" y="2143125"/>
                                <a:pt x="195610" y="2152650"/>
                              </a:cubicBezTo>
                              <a:cubicBezTo>
                                <a:pt x="168940" y="2162175"/>
                                <a:pt x="151795" y="2157730"/>
                                <a:pt x="128935" y="2176780"/>
                              </a:cubicBezTo>
                              <a:cubicBezTo>
                                <a:pt x="106075" y="2195830"/>
                                <a:pt x="77500" y="2221230"/>
                                <a:pt x="81310" y="2247900"/>
                              </a:cubicBezTo>
                              <a:cubicBezTo>
                                <a:pt x="85120" y="2274570"/>
                                <a:pt x="120680" y="2294890"/>
                                <a:pt x="147985" y="2310130"/>
                              </a:cubicBezTo>
                              <a:cubicBezTo>
                                <a:pt x="175290" y="2325370"/>
                                <a:pt x="191800" y="2321560"/>
                                <a:pt x="219105" y="2324100"/>
                              </a:cubicBezTo>
                              <a:cubicBezTo>
                                <a:pt x="246410" y="2326640"/>
                                <a:pt x="257840" y="2324100"/>
                                <a:pt x="285780" y="2324100"/>
                              </a:cubicBezTo>
                              <a:cubicBezTo>
                                <a:pt x="313720" y="2324100"/>
                                <a:pt x="329595" y="2324735"/>
                                <a:pt x="357535" y="2324100"/>
                              </a:cubicBezTo>
                              <a:cubicBezTo>
                                <a:pt x="385475" y="2323465"/>
                                <a:pt x="395635" y="2320290"/>
                                <a:pt x="424210" y="2319655"/>
                              </a:cubicBezTo>
                              <a:cubicBezTo>
                                <a:pt x="452785" y="2319020"/>
                                <a:pt x="471835" y="2319655"/>
                                <a:pt x="500410" y="2319655"/>
                              </a:cubicBezTo>
                              <a:cubicBezTo>
                                <a:pt x="528985" y="2319655"/>
                                <a:pt x="540415" y="2319655"/>
                                <a:pt x="567085" y="2319655"/>
                              </a:cubicBezTo>
                              <a:cubicBezTo>
                                <a:pt x="593755" y="2319655"/>
                                <a:pt x="607090" y="2319020"/>
                                <a:pt x="633760" y="2319655"/>
                              </a:cubicBezTo>
                              <a:cubicBezTo>
                                <a:pt x="660430" y="2320290"/>
                                <a:pt x="673765" y="2324100"/>
                                <a:pt x="700435" y="2324100"/>
                              </a:cubicBezTo>
                              <a:cubicBezTo>
                                <a:pt x="727105" y="2324100"/>
                                <a:pt x="740440" y="2320290"/>
                                <a:pt x="767110" y="2319655"/>
                              </a:cubicBezTo>
                              <a:cubicBezTo>
                                <a:pt x="793780" y="2319020"/>
                                <a:pt x="807115" y="2321560"/>
                                <a:pt x="833785" y="2319655"/>
                              </a:cubicBezTo>
                              <a:cubicBezTo>
                                <a:pt x="860455" y="2317750"/>
                                <a:pt x="873790" y="2322830"/>
                                <a:pt x="900460" y="2310130"/>
                              </a:cubicBezTo>
                              <a:cubicBezTo>
                                <a:pt x="927130" y="2297430"/>
                                <a:pt x="939830" y="2276475"/>
                                <a:pt x="967135" y="2257425"/>
                              </a:cubicBezTo>
                              <a:cubicBezTo>
                                <a:pt x="994440" y="2238375"/>
                                <a:pt x="1010950" y="2226945"/>
                                <a:pt x="1038255" y="2214880"/>
                              </a:cubicBezTo>
                              <a:cubicBezTo>
                                <a:pt x="1065560" y="2202815"/>
                                <a:pt x="1078260" y="2202815"/>
                                <a:pt x="1104930" y="2195830"/>
                              </a:cubicBezTo>
                              <a:cubicBezTo>
                                <a:pt x="1131600" y="2188845"/>
                                <a:pt x="1144935" y="2188210"/>
                                <a:pt x="1171605" y="2181225"/>
                              </a:cubicBezTo>
                              <a:cubicBezTo>
                                <a:pt x="1198275" y="2174240"/>
                                <a:pt x="1211610" y="2165985"/>
                                <a:pt x="1238280" y="2162175"/>
                              </a:cubicBezTo>
                              <a:cubicBezTo>
                                <a:pt x="1264950" y="2158365"/>
                                <a:pt x="1278285" y="2162175"/>
                                <a:pt x="1304955" y="2162175"/>
                              </a:cubicBezTo>
                              <a:cubicBezTo>
                                <a:pt x="1331625" y="2162175"/>
                                <a:pt x="1344960" y="2160905"/>
                                <a:pt x="1371630" y="2162175"/>
                              </a:cubicBezTo>
                              <a:cubicBezTo>
                                <a:pt x="1398300" y="2163445"/>
                                <a:pt x="1411635" y="2164080"/>
                                <a:pt x="1438305" y="2167255"/>
                              </a:cubicBezTo>
                              <a:cubicBezTo>
                                <a:pt x="1464975" y="2170430"/>
                                <a:pt x="1478310" y="2171065"/>
                                <a:pt x="1504980" y="2176780"/>
                              </a:cubicBezTo>
                              <a:cubicBezTo>
                                <a:pt x="1531650" y="2182495"/>
                                <a:pt x="1544985" y="2189480"/>
                                <a:pt x="1571655" y="2195830"/>
                              </a:cubicBezTo>
                              <a:cubicBezTo>
                                <a:pt x="1598325" y="2202180"/>
                                <a:pt x="1611660" y="2204085"/>
                                <a:pt x="1638330" y="2209800"/>
                              </a:cubicBezTo>
                              <a:cubicBezTo>
                                <a:pt x="1665000" y="2215515"/>
                                <a:pt x="1678335" y="2218690"/>
                                <a:pt x="1705005" y="2224405"/>
                              </a:cubicBezTo>
                              <a:cubicBezTo>
                                <a:pt x="1731675" y="2230120"/>
                                <a:pt x="1743740" y="2234565"/>
                                <a:pt x="1771680" y="2238375"/>
                              </a:cubicBezTo>
                              <a:cubicBezTo>
                                <a:pt x="1799620" y="2242185"/>
                                <a:pt x="1814860" y="2245360"/>
                                <a:pt x="1843435" y="2243455"/>
                              </a:cubicBezTo>
                              <a:cubicBezTo>
                                <a:pt x="1872010" y="2241550"/>
                                <a:pt x="1887250" y="2242185"/>
                                <a:pt x="1914555" y="2228850"/>
                              </a:cubicBezTo>
                              <a:cubicBezTo>
                                <a:pt x="1941860" y="2215515"/>
                                <a:pt x="1954560" y="2192655"/>
                                <a:pt x="1981230" y="2176780"/>
                              </a:cubicBezTo>
                              <a:cubicBezTo>
                                <a:pt x="2007900" y="2160905"/>
                                <a:pt x="2021235" y="2162810"/>
                                <a:pt x="2047905" y="2148205"/>
                              </a:cubicBezTo>
                              <a:cubicBezTo>
                                <a:pt x="2074575" y="2133600"/>
                                <a:pt x="2087910" y="2120265"/>
                                <a:pt x="2114580" y="2105025"/>
                              </a:cubicBezTo>
                              <a:cubicBezTo>
                                <a:pt x="2141250" y="2089785"/>
                                <a:pt x="2169190" y="2077720"/>
                                <a:pt x="2181255" y="2072005"/>
                              </a:cubicBezTo>
                            </a:path>
                          </a:pathLst>
                        </a:custGeom>
                        <a:noFill/>
                        <a:ln w="381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id="_x0000_s1026" o:spid="_x0000_s1026" o:spt="100" style="position:absolute;left:0pt;margin-left:134.1pt;margin-top:198.95pt;height:183.1pt;width:171.75pt;z-index:251590656;mso-width-relative:page;mso-height-relative:page;" filled="f" stroked="t" coordsize="2181255,2325229" o:gfxdata="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" path="m409605,0c413415,13970,421670,47625,428655,76200c435640,104775,434370,116205,443260,142875c452150,169545,459770,181610,471835,209550c483900,237490,492790,253365,504855,281305c516920,309245,526445,321310,533430,347980c540415,374650,535335,387985,538510,414655c541685,441325,546130,454660,548035,481330c549940,508000,562640,523240,548035,548005c533430,572770,504220,582295,476280,605155c448340,628015,436275,638810,409605,662305c382935,685800,370235,701040,342930,723900c315625,746760,298480,752475,271810,776605c245140,800735,231805,816610,209580,843280c187355,869950,179735,883285,161955,909955c144175,936625,136555,949960,119410,976630c102265,1003300,95280,1016635,76230,1043305c57180,1069975,39400,1083310,24160,1109980c8920,1136650,-605,1149985,30,1176655c665,1203325,15270,1216660,28605,1243330c41940,1270000,49560,1283335,66705,1310005c83850,1336675,94010,1350010,114330,1376680c134650,1403350,142905,1421765,167035,1443355c191165,1464945,205135,1477645,233710,1485900c262285,1494155,281335,1480185,309910,1485900c338485,1491615,356900,1495425,376585,1514475c396270,1533525,398175,1554480,409605,1581150c421035,1607820,422305,1621155,433735,1647825c445165,1674495,456595,1686560,466755,1714500c476915,1742440,484535,1758315,485805,1786255c487075,1814195,479455,1825625,471835,1852930c464215,1880235,464850,1896745,447705,1924050c430560,1951355,411510,1962785,386110,1990725c360710,2018665,344200,2034540,319435,2062480c294670,2090420,287050,2111375,262285,2129155c237520,2146935,222280,2143125,195610,2152650c168940,2162175,151795,2157730,128935,2176780c106075,2195830,77500,2221230,81310,2247900c85120,2274570,120680,2294890,147985,2310130c175290,2325370,191800,2321560,219105,2324100c246410,2326640,257840,2324100,285780,2324100c313720,2324100,329595,2324735,357535,2324100c385475,2323465,395635,2320290,424210,2319655c452785,2319020,471835,2319655,500410,2319655c528985,2319655,540415,2319655,567085,2319655c593755,2319655,607090,2319020,633760,2319655c660430,2320290,673765,2324100,700435,2324100c727105,2324100,740440,2320290,767110,2319655c793780,2319020,807115,2321560,833785,2319655c860455,2317750,873790,2322830,900460,2310130c927130,2297430,939830,2276475,967135,2257425c994440,2238375,1010950,2226945,1038255,2214880c1065560,2202815,1078260,2202815,1104930,2195830c1131600,2188845,1144935,2188210,1171605,2181225c1198275,2174240,1211610,2165985,1238280,2162175c1264950,2158365,1278285,2162175,1304955,2162175c1331625,2162175,1344960,2160905,1371630,2162175c1398300,2163445,1411635,2164080,1438305,2167255c1464975,2170430,1478310,2171065,1504980,2176780c1531650,2182495,1544985,2189480,1571655,2195830c1598325,2202180,1611660,2204085,1638330,2209800c1665000,2215515,1678335,2218690,1705005,2224405c1731675,2230120,1743740,2234565,1771680,2238375c1799620,2242185,1814860,2245360,1843435,2243455c1872010,2241550,1887250,2242185,1914555,2228850c1941860,2215515,1954560,2192655,1981230,2176780c2007900,2160905,2021235,2162810,2047905,2148205c2074575,2133600,2087910,2120265,2114580,2105025c2141250,2089785,2169190,2077720,2181255,2072005e">
                <v:path o:connectlocs="409598,0;428648,76204;443253,142883;471827,209562;504847,281322;533421,348001;538501,414680;548026,481359;548026,548038;476272,605191;409598,662345;342924,723944;271805,776652;209576,843331;161951,910010;119407,976689;76227,1043368;24158,1110047;28,1176726;28603,1243405;66703,1310085;114327,1376764;167031,1443443;233705,1485990;309904,1485990;376578,1514567;409598,1581246;433728,1647925;466747,1714604;485797,1786364;471827,1853043;447698,1924167;386103,1990846;319429,2062605;262280,2129285;195606,2152781;128932,2176912;81307,2248037;147982,2310271;219101,2324241;285775,2324241;357529,2324241;424203,2319796;500402,2319796;567076,2319796;633750,2319796;700424,2324241;767098,2319796;833772,2319796;900447,2310271;967121,2257562;1038240,2215015;1104914,2195964;1171588,2181358;1238262,2162307;1304936,2162307;1371610,2162307;1438284,2167387;1504958,2176912;1571633,2195964;1638307,2209934;1704981,2224540;1771655,2238511;1843409,2243592;1914528,2228986;1981202,2176912;2047876,2148336;2114550,2105153;2181225,2072131" o:connectangles="0,0,0,0,0,0,0,0,0,0,0,0,0,0,0,0,0,0,0,0,0,0,0,0,0,0,0,0,0,0,0,0,0,0,0,0,0,0,0,0,0,0,0,0,0,0,0,0,0,0,0,0,0,0,0,0,0,0,0,0,0,0,0,0,0,0,0,0,0"/>
                <v:fill on="f" focussize="0,0"/>
                <v:stroke weight="3pt" color="#00B0F0 [3204]" miterlimit="8" joinstyle="miter"/>
                <v:imagedata o:title=""/>
                <o:lock v:ext="edit" aspectratio="f"/>
              </v:shape>
            </w:pict>
          </mc:Fallback>
        </mc:AlternateContent>
      </w:r>
      <w:r>
        <w:rPr>
          <w:rFonts w:ascii="宋体" w:hAnsi="宋体" w:eastAsia="宋体" w:cs="宋体"/>
          <w:kern w:val="0"/>
          <w:sz w:val="24"/>
          <w:szCs w:val="24"/>
          <w:lang w:val="en-US" w:eastAsia="zh-CN" w:bidi="ar"/>
        </w:rPr>
        <w:drawing>
          <wp:inline distT="0" distB="0" distL="114300" distR="114300">
            <wp:extent cx="6724015" cy="5505450"/>
            <wp:effectExtent l="0" t="0" r="635" b="0"/>
            <wp:docPr id="21"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 descr="IMG_256"/>
                    <pic:cNvPicPr>
                      <a:picLocks noChangeAspect="1"/>
                    </pic:cNvPicPr>
                  </pic:nvPicPr>
                  <pic:blipFill>
                    <a:blip r:embed="rId32"/>
                    <a:stretch>
                      <a:fillRect/>
                    </a:stretch>
                  </pic:blipFill>
                  <pic:spPr>
                    <a:xfrm>
                      <a:off x="0" y="0"/>
                      <a:ext cx="6724015" cy="5505450"/>
                    </a:xfrm>
                    <a:prstGeom prst="rect">
                      <a:avLst/>
                    </a:prstGeom>
                    <a:noFill/>
                    <a:ln w="9525">
                      <a:noFill/>
                    </a:ln>
                  </pic:spPr>
                </pic:pic>
              </a:graphicData>
            </a:graphic>
          </wp:inline>
        </w:drawing>
      </w:r>
    </w:p>
    <w:p>
      <w:pPr>
        <w:pStyle w:val="2"/>
        <w:jc w:val="center"/>
        <w:rPr>
          <w:rFonts w:hint="default" w:ascii="宋体" w:hAnsi="宋体" w:eastAsia="宋体" w:cs="宋体"/>
          <w:b/>
          <w:bCs/>
          <w:kern w:val="0"/>
          <w:sz w:val="24"/>
          <w:szCs w:val="24"/>
          <w:lang w:val="en-US" w:eastAsia="zh-CN" w:bidi="ar"/>
        </w:rPr>
      </w:pPr>
      <w:r>
        <w:rPr>
          <w:rFonts w:hint="eastAsia" w:ascii="宋体" w:hAnsi="宋体" w:eastAsia="宋体" w:cs="宋体"/>
          <w:b/>
          <w:bCs/>
          <w:kern w:val="0"/>
          <w:sz w:val="24"/>
          <w:szCs w:val="24"/>
          <w:lang w:val="en-US" w:eastAsia="zh-CN" w:bidi="ar"/>
        </w:rPr>
        <w:t>附图2 敏感点分布图</w:t>
      </w:r>
    </w:p>
    <w:p>
      <w:pPr>
        <w:pStyle w:val="2"/>
        <w:rPr>
          <w:rFonts w:hint="default" w:ascii="Times New Roman" w:hAnsi="Times New Roman" w:cs="Times New Roman"/>
        </w:rPr>
      </w:pPr>
    </w:p>
    <w:p>
      <w:pPr>
        <w:keepNext w:val="0"/>
        <w:keepLines w:val="0"/>
        <w:widowControl/>
        <w:suppressLineNumbers w:val="0"/>
        <w:jc w:val="center"/>
      </w:pPr>
      <w:r>
        <w:rPr>
          <w:sz w:val="24"/>
        </w:rPr>
        <mc:AlternateContent>
          <mc:Choice Requires="wps">
            <w:drawing>
              <wp:anchor distT="0" distB="0" distL="114300" distR="114300" simplePos="0" relativeHeight="251609088" behindDoc="0" locked="0" layoutInCell="1" allowOverlap="1">
                <wp:simplePos x="0" y="0"/>
                <wp:positionH relativeFrom="column">
                  <wp:posOffset>5365750</wp:posOffset>
                </wp:positionH>
                <wp:positionV relativeFrom="paragraph">
                  <wp:posOffset>2811145</wp:posOffset>
                </wp:positionV>
                <wp:extent cx="742950" cy="352425"/>
                <wp:effectExtent l="0" t="0" r="0" b="0"/>
                <wp:wrapNone/>
                <wp:docPr id="50" name="矩形 50"/>
                <wp:cNvGraphicFramePr/>
                <a:graphic xmlns:a="http://schemas.openxmlformats.org/drawingml/2006/main">
                  <a:graphicData uri="http://schemas.microsoft.com/office/word/2010/wordprocessingShape">
                    <wps:wsp>
                      <wps:cNvSpPr/>
                      <wps:spPr>
                        <a:xfrm>
                          <a:off x="0" y="0"/>
                          <a:ext cx="742950" cy="35242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b/>
                                <w:bCs/>
                                <w:color w:val="000000" w:themeColor="text1"/>
                                <w:sz w:val="24"/>
                                <w:szCs w:val="24"/>
                                <w:highlight w:val="yellow"/>
                                <w:lang w:eastAsia="zh-CN"/>
                                <w14:textFill>
                                  <w14:solidFill>
                                    <w14:schemeClr w14:val="tx1"/>
                                  </w14:solidFill>
                                </w14:textFill>
                              </w:rPr>
                            </w:pPr>
                            <w:r>
                              <w:rPr>
                                <w:rFonts w:hint="eastAsia"/>
                                <w:b/>
                                <w:bCs/>
                                <w:color w:val="000000" w:themeColor="text1"/>
                                <w:sz w:val="24"/>
                                <w:szCs w:val="24"/>
                                <w:highlight w:val="yellow"/>
                                <w:lang w:eastAsia="zh-CN"/>
                                <w14:textFill>
                                  <w14:solidFill>
                                    <w14:schemeClr w14:val="tx1"/>
                                  </w14:solidFill>
                                </w14:textFill>
                              </w:rPr>
                              <w:t>商住区</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22.5pt;margin-top:221.35pt;height:27.75pt;width:58.5pt;z-index:251609088;v-text-anchor:middle;mso-width-relative:page;mso-height-relative:page;" filled="f" stroked="f" coordsize="21600,21600" o:gfxdata="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Ar1k7XZAAAACwEAAA8AAAAAAAAAAQAgAAAA&#10;IgAAAGRycy9kb3ducmV2LnhtbFBLAQIUABQAAAAIAIdO4kAyjAyoQwIAAGAEAAAOAAAAAAAAAAEA&#10;IAAAACgBAABkcnMvZTJvRG9jLnhtbFBLBQYAAAAABgAGAFkBAADdBQAAAAA=&#10;">
                <v:fill on="f" focussize="0,0"/>
                <v:stroke on="f" weight="1pt" miterlimit="8" joinstyle="miter"/>
                <v:imagedata o:title=""/>
                <o:lock v:ext="edit" aspectratio="f"/>
                <v:textbox>
                  <w:txbxContent>
                    <w:p>
                      <w:pPr>
                        <w:jc w:val="center"/>
                        <w:rPr>
                          <w:rFonts w:hint="eastAsia" w:eastAsia="宋体"/>
                          <w:b/>
                          <w:bCs/>
                          <w:color w:val="000000" w:themeColor="text1"/>
                          <w:sz w:val="24"/>
                          <w:szCs w:val="24"/>
                          <w:highlight w:val="yellow"/>
                          <w:lang w:eastAsia="zh-CN"/>
                          <w14:textFill>
                            <w14:solidFill>
                              <w14:schemeClr w14:val="tx1"/>
                            </w14:solidFill>
                          </w14:textFill>
                        </w:rPr>
                      </w:pPr>
                      <w:r>
                        <w:rPr>
                          <w:rFonts w:hint="eastAsia"/>
                          <w:b/>
                          <w:bCs/>
                          <w:color w:val="000000" w:themeColor="text1"/>
                          <w:sz w:val="24"/>
                          <w:szCs w:val="24"/>
                          <w:highlight w:val="yellow"/>
                          <w:lang w:eastAsia="zh-CN"/>
                          <w14:textFill>
                            <w14:solidFill>
                              <w14:schemeClr w14:val="tx1"/>
                            </w14:solidFill>
                          </w14:textFill>
                        </w:rPr>
                        <w:t>商住区</w:t>
                      </w:r>
                    </w:p>
                  </w:txbxContent>
                </v:textbox>
              </v:rect>
            </w:pict>
          </mc:Fallback>
        </mc:AlternateContent>
      </w:r>
      <w:r>
        <w:rPr>
          <w:sz w:val="24"/>
        </w:rPr>
        <mc:AlternateContent>
          <mc:Choice Requires="wps">
            <w:drawing>
              <wp:anchor distT="0" distB="0" distL="114300" distR="114300" simplePos="0" relativeHeight="251609088" behindDoc="0" locked="0" layoutInCell="1" allowOverlap="1">
                <wp:simplePos x="0" y="0"/>
                <wp:positionH relativeFrom="column">
                  <wp:posOffset>4070350</wp:posOffset>
                </wp:positionH>
                <wp:positionV relativeFrom="paragraph">
                  <wp:posOffset>1553845</wp:posOffset>
                </wp:positionV>
                <wp:extent cx="742950" cy="352425"/>
                <wp:effectExtent l="0" t="0" r="0" b="0"/>
                <wp:wrapNone/>
                <wp:docPr id="49" name="矩形 49"/>
                <wp:cNvGraphicFramePr/>
                <a:graphic xmlns:a="http://schemas.openxmlformats.org/drawingml/2006/main">
                  <a:graphicData uri="http://schemas.microsoft.com/office/word/2010/wordprocessingShape">
                    <wps:wsp>
                      <wps:cNvSpPr/>
                      <wps:spPr>
                        <a:xfrm>
                          <a:off x="0" y="0"/>
                          <a:ext cx="742950" cy="35242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b/>
                                <w:bCs/>
                                <w:color w:val="000000" w:themeColor="text1"/>
                                <w:sz w:val="24"/>
                                <w:szCs w:val="24"/>
                                <w:highlight w:val="yellow"/>
                                <w:lang w:eastAsia="zh-CN"/>
                                <w14:textFill>
                                  <w14:solidFill>
                                    <w14:schemeClr w14:val="tx1"/>
                                  </w14:solidFill>
                                </w14:textFill>
                              </w:rPr>
                            </w:pPr>
                            <w:r>
                              <w:rPr>
                                <w:rFonts w:hint="eastAsia"/>
                                <w:b/>
                                <w:bCs/>
                                <w:color w:val="000000" w:themeColor="text1"/>
                                <w:sz w:val="24"/>
                                <w:szCs w:val="24"/>
                                <w:highlight w:val="yellow"/>
                                <w:lang w:eastAsia="zh-CN"/>
                                <w14:textFill>
                                  <w14:solidFill>
                                    <w14:schemeClr w14:val="tx1"/>
                                  </w14:solidFill>
                                </w14:textFill>
                              </w:rPr>
                              <w:t>商住区</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20.5pt;margin-top:122.35pt;height:27.75pt;width:58.5pt;z-index:251609088;v-text-anchor:middle;mso-width-relative:page;mso-height-relative:page;" filled="f" stroked="f" coordsize="21600,21600" o:gfxdata="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cThNDtoAAAALAQAADwAAAAAAAAABACAA&#10;AAAiAAAAZHJzL2Rvd25yZXYueG1sUEsBAhQAFAAAAAgAh07iQHikFspEAgAAYAQAAA4AAAAAAAAA&#10;AQAgAAAAKQEAAGRycy9lMm9Eb2MueG1sUEsFBgAAAAAGAAYAWQEAAN8FAAAAAA==&#10;">
                <v:fill on="f" focussize="0,0"/>
                <v:stroke on="f" weight="1pt" miterlimit="8" joinstyle="miter"/>
                <v:imagedata o:title=""/>
                <o:lock v:ext="edit" aspectratio="f"/>
                <v:textbox>
                  <w:txbxContent>
                    <w:p>
                      <w:pPr>
                        <w:jc w:val="center"/>
                        <w:rPr>
                          <w:rFonts w:hint="eastAsia" w:eastAsia="宋体"/>
                          <w:b/>
                          <w:bCs/>
                          <w:color w:val="000000" w:themeColor="text1"/>
                          <w:sz w:val="24"/>
                          <w:szCs w:val="24"/>
                          <w:highlight w:val="yellow"/>
                          <w:lang w:eastAsia="zh-CN"/>
                          <w14:textFill>
                            <w14:solidFill>
                              <w14:schemeClr w14:val="tx1"/>
                            </w14:solidFill>
                          </w14:textFill>
                        </w:rPr>
                      </w:pPr>
                      <w:r>
                        <w:rPr>
                          <w:rFonts w:hint="eastAsia"/>
                          <w:b/>
                          <w:bCs/>
                          <w:color w:val="000000" w:themeColor="text1"/>
                          <w:sz w:val="24"/>
                          <w:szCs w:val="24"/>
                          <w:highlight w:val="yellow"/>
                          <w:lang w:eastAsia="zh-CN"/>
                          <w14:textFill>
                            <w14:solidFill>
                              <w14:schemeClr w14:val="tx1"/>
                            </w14:solidFill>
                          </w14:textFill>
                        </w:rPr>
                        <w:t>商住区</w:t>
                      </w:r>
                    </w:p>
                  </w:txbxContent>
                </v:textbox>
              </v:rect>
            </w:pict>
          </mc:Fallback>
        </mc:AlternateContent>
      </w:r>
      <w:r>
        <w:rPr>
          <w:sz w:val="24"/>
        </w:rPr>
        <mc:AlternateContent>
          <mc:Choice Requires="wps">
            <w:drawing>
              <wp:anchor distT="0" distB="0" distL="114300" distR="114300" simplePos="0" relativeHeight="251609088" behindDoc="0" locked="0" layoutInCell="1" allowOverlap="1">
                <wp:simplePos x="0" y="0"/>
                <wp:positionH relativeFrom="column">
                  <wp:posOffset>2508250</wp:posOffset>
                </wp:positionH>
                <wp:positionV relativeFrom="paragraph">
                  <wp:posOffset>2315845</wp:posOffset>
                </wp:positionV>
                <wp:extent cx="742950" cy="352425"/>
                <wp:effectExtent l="0" t="0" r="0" b="0"/>
                <wp:wrapNone/>
                <wp:docPr id="48" name="矩形 48"/>
                <wp:cNvGraphicFramePr/>
                <a:graphic xmlns:a="http://schemas.openxmlformats.org/drawingml/2006/main">
                  <a:graphicData uri="http://schemas.microsoft.com/office/word/2010/wordprocessingShape">
                    <wps:wsp>
                      <wps:cNvSpPr/>
                      <wps:spPr>
                        <a:xfrm>
                          <a:off x="3228340" y="3216275"/>
                          <a:ext cx="742950" cy="35242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b/>
                                <w:bCs/>
                                <w:color w:val="000000" w:themeColor="text1"/>
                                <w:sz w:val="24"/>
                                <w:szCs w:val="24"/>
                                <w:highlight w:val="yellow"/>
                                <w:lang w:eastAsia="zh-CN"/>
                                <w14:textFill>
                                  <w14:solidFill>
                                    <w14:schemeClr w14:val="tx1"/>
                                  </w14:solidFill>
                                </w14:textFill>
                              </w:rPr>
                            </w:pPr>
                            <w:r>
                              <w:rPr>
                                <w:rFonts w:hint="eastAsia"/>
                                <w:b/>
                                <w:bCs/>
                                <w:color w:val="000000" w:themeColor="text1"/>
                                <w:sz w:val="24"/>
                                <w:szCs w:val="24"/>
                                <w:highlight w:val="yellow"/>
                                <w:lang w:eastAsia="zh-CN"/>
                                <w14:textFill>
                                  <w14:solidFill>
                                    <w14:schemeClr w14:val="tx1"/>
                                  </w14:solidFill>
                                </w14:textFill>
                              </w:rPr>
                              <w:t>商住区</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7.5pt;margin-top:182.35pt;height:27.75pt;width:58.5pt;z-index:251609088;v-text-anchor:middle;mso-width-relative:page;mso-height-relative:page;" filled="f" stroked="f" coordsize="21600,21600" o:gfxdata="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1JS9l2gAAAAsBAAAP&#10;AAAAAAAAAAEAIAAAACIAAABkcnMvZG93bnJldi54bWxQSwECFAAUAAAACACHTuJAEQQd908CAABs&#10;BAAADgAAAAAAAAABACAAAAApAQAAZHJzL2Uyb0RvYy54bWxQSwUGAAAAAAYABgBZAQAA6gUAAAAA&#10;">
                <v:fill on="f" focussize="0,0"/>
                <v:stroke on="f" weight="1pt" miterlimit="8" joinstyle="miter"/>
                <v:imagedata o:title=""/>
                <o:lock v:ext="edit" aspectratio="f"/>
                <v:textbox>
                  <w:txbxContent>
                    <w:p>
                      <w:pPr>
                        <w:jc w:val="center"/>
                        <w:rPr>
                          <w:rFonts w:hint="eastAsia" w:eastAsia="宋体"/>
                          <w:b/>
                          <w:bCs/>
                          <w:color w:val="000000" w:themeColor="text1"/>
                          <w:sz w:val="24"/>
                          <w:szCs w:val="24"/>
                          <w:highlight w:val="yellow"/>
                          <w:lang w:eastAsia="zh-CN"/>
                          <w14:textFill>
                            <w14:solidFill>
                              <w14:schemeClr w14:val="tx1"/>
                            </w14:solidFill>
                          </w14:textFill>
                        </w:rPr>
                      </w:pPr>
                      <w:r>
                        <w:rPr>
                          <w:rFonts w:hint="eastAsia"/>
                          <w:b/>
                          <w:bCs/>
                          <w:color w:val="000000" w:themeColor="text1"/>
                          <w:sz w:val="24"/>
                          <w:szCs w:val="24"/>
                          <w:highlight w:val="yellow"/>
                          <w:lang w:eastAsia="zh-CN"/>
                          <w14:textFill>
                            <w14:solidFill>
                              <w14:schemeClr w14:val="tx1"/>
                            </w14:solidFill>
                          </w14:textFill>
                        </w:rPr>
                        <w:t>商住区</w:t>
                      </w:r>
                    </w:p>
                  </w:txbxContent>
                </v:textbox>
              </v:rect>
            </w:pict>
          </mc:Fallback>
        </mc:AlternateContent>
      </w:r>
      <w:r>
        <w:rPr>
          <w:sz w:val="24"/>
        </w:rPr>
        <mc:AlternateContent>
          <mc:Choice Requires="wps">
            <w:drawing>
              <wp:anchor distT="0" distB="0" distL="114300" distR="114300" simplePos="0" relativeHeight="251608064" behindDoc="0" locked="0" layoutInCell="1" allowOverlap="1">
                <wp:simplePos x="0" y="0"/>
                <wp:positionH relativeFrom="column">
                  <wp:posOffset>3832225</wp:posOffset>
                </wp:positionH>
                <wp:positionV relativeFrom="paragraph">
                  <wp:posOffset>3315970</wp:posOffset>
                </wp:positionV>
                <wp:extent cx="989965" cy="351790"/>
                <wp:effectExtent l="0" t="0" r="0" b="0"/>
                <wp:wrapNone/>
                <wp:docPr id="47" name="矩形 47"/>
                <wp:cNvGraphicFramePr/>
                <a:graphic xmlns:a="http://schemas.openxmlformats.org/drawingml/2006/main">
                  <a:graphicData uri="http://schemas.microsoft.com/office/word/2010/wordprocessingShape">
                    <wps:wsp>
                      <wps:cNvSpPr/>
                      <wps:spPr>
                        <a:xfrm>
                          <a:off x="4704715" y="4216400"/>
                          <a:ext cx="989965" cy="3517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b/>
                                <w:bCs/>
                                <w:color w:val="000000" w:themeColor="text1"/>
                                <w:sz w:val="24"/>
                                <w:szCs w:val="24"/>
                                <w:highlight w:val="yellow"/>
                                <w:lang w:eastAsia="zh-CN"/>
                                <w14:textFill>
                                  <w14:solidFill>
                                    <w14:schemeClr w14:val="tx1"/>
                                  </w14:solidFill>
                                </w14:textFill>
                              </w:rPr>
                            </w:pPr>
                            <w:r>
                              <w:rPr>
                                <w:rFonts w:hint="eastAsia"/>
                                <w:b/>
                                <w:bCs/>
                                <w:color w:val="000000" w:themeColor="text1"/>
                                <w:sz w:val="24"/>
                                <w:szCs w:val="24"/>
                                <w:highlight w:val="yellow"/>
                                <w:lang w:eastAsia="zh-CN"/>
                                <w14:textFill>
                                  <w14:solidFill>
                                    <w14:schemeClr w14:val="tx1"/>
                                  </w14:solidFill>
                                </w14:textFill>
                              </w:rPr>
                              <w:t>幼儿园</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01.75pt;margin-top:261.1pt;height:27.7pt;width:77.95pt;z-index:251608064;v-text-anchor:middle;mso-width-relative:page;mso-height-relative:page;" filled="f" stroked="f" coordsize="21600,21600" o:gfxdata="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IrkF9NoAAAALAQAA&#10;DwAAAAAAAAABACAAAAAiAAAAZHJzL2Rvd25yZXYueG1sUEsBAhQAFAAAAAgAh07iQOeAO9BQAgAA&#10;bAQAAA4AAAAAAAAAAQAgAAAAKQEAAGRycy9lMm9Eb2MueG1sUEsFBgAAAAAGAAYAWQEAAOsFAAAA&#10;AA==&#10;">
                <v:fill on="f" focussize="0,0"/>
                <v:stroke on="f" weight="1pt" miterlimit="8" joinstyle="miter"/>
                <v:imagedata o:title=""/>
                <o:lock v:ext="edit" aspectratio="f"/>
                <v:textbox>
                  <w:txbxContent>
                    <w:p>
                      <w:pPr>
                        <w:jc w:val="center"/>
                        <w:rPr>
                          <w:rFonts w:hint="eastAsia" w:eastAsia="宋体"/>
                          <w:b/>
                          <w:bCs/>
                          <w:color w:val="000000" w:themeColor="text1"/>
                          <w:sz w:val="24"/>
                          <w:szCs w:val="24"/>
                          <w:highlight w:val="yellow"/>
                          <w:lang w:eastAsia="zh-CN"/>
                          <w14:textFill>
                            <w14:solidFill>
                              <w14:schemeClr w14:val="tx1"/>
                            </w14:solidFill>
                          </w14:textFill>
                        </w:rPr>
                      </w:pPr>
                      <w:r>
                        <w:rPr>
                          <w:rFonts w:hint="eastAsia"/>
                          <w:b/>
                          <w:bCs/>
                          <w:color w:val="000000" w:themeColor="text1"/>
                          <w:sz w:val="24"/>
                          <w:szCs w:val="24"/>
                          <w:highlight w:val="yellow"/>
                          <w:lang w:eastAsia="zh-CN"/>
                          <w14:textFill>
                            <w14:solidFill>
                              <w14:schemeClr w14:val="tx1"/>
                            </w14:solidFill>
                          </w14:textFill>
                        </w:rPr>
                        <w:t>幼儿园</w:t>
                      </w:r>
                    </w:p>
                  </w:txbxContent>
                </v:textbox>
              </v:rect>
            </w:pict>
          </mc:Fallback>
        </mc:AlternateContent>
      </w:r>
      <w:r>
        <w:rPr>
          <w:sz w:val="24"/>
        </w:rPr>
        <mc:AlternateContent>
          <mc:Choice Requires="wps">
            <w:drawing>
              <wp:anchor distT="0" distB="0" distL="114300" distR="114300" simplePos="0" relativeHeight="251607040" behindDoc="0" locked="0" layoutInCell="1" allowOverlap="1">
                <wp:simplePos x="0" y="0"/>
                <wp:positionH relativeFrom="column">
                  <wp:posOffset>3546475</wp:posOffset>
                </wp:positionH>
                <wp:positionV relativeFrom="paragraph">
                  <wp:posOffset>2439670</wp:posOffset>
                </wp:positionV>
                <wp:extent cx="952500" cy="371475"/>
                <wp:effectExtent l="0" t="0" r="0" b="0"/>
                <wp:wrapNone/>
                <wp:docPr id="46" name="矩形 46"/>
                <wp:cNvGraphicFramePr/>
                <a:graphic xmlns:a="http://schemas.openxmlformats.org/drawingml/2006/main">
                  <a:graphicData uri="http://schemas.microsoft.com/office/word/2010/wordprocessingShape">
                    <wps:wsp>
                      <wps:cNvSpPr/>
                      <wps:spPr>
                        <a:xfrm>
                          <a:off x="4266565" y="3340100"/>
                          <a:ext cx="952500" cy="3714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b/>
                                <w:bCs/>
                                <w:color w:val="000000" w:themeColor="text1"/>
                                <w:highlight w:val="red"/>
                                <w:lang w:eastAsia="zh-CN"/>
                                <w14:textFill>
                                  <w14:solidFill>
                                    <w14:schemeClr w14:val="tx1"/>
                                  </w14:solidFill>
                                </w14:textFill>
                              </w:rPr>
                            </w:pPr>
                            <w:r>
                              <w:rPr>
                                <w:rFonts w:hint="eastAsia"/>
                                <w:b/>
                                <w:bCs/>
                                <w:color w:val="000000" w:themeColor="text1"/>
                                <w:highlight w:val="red"/>
                                <w:lang w:eastAsia="zh-CN"/>
                                <w14:textFill>
                                  <w14:solidFill>
                                    <w14:schemeClr w14:val="tx1"/>
                                  </w14:solidFill>
                                </w14:textFill>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79.25pt;margin-top:192.1pt;height:29.25pt;width:75pt;z-index:251607040;v-text-anchor:middle;mso-width-relative:page;mso-height-relative:page;" filled="f" stroked="f" coordsize="21600,21600" o:gfxdata="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I0HJEbZAAAACwEAAA8A&#10;AAAAAAAAAQAgAAAAIgAAAGRycy9kb3ducmV2LnhtbFBLAQIUABQAAAAIAIdO4kAvZ8qgTwIAAGwE&#10;AAAOAAAAAAAAAAEAIAAAACgBAABkcnMvZTJvRG9jLnhtbFBLBQYAAAAABgAGAFkBAADpBQAAAAA=&#10;">
                <v:fill on="f" focussize="0,0"/>
                <v:stroke on="f" weight="1pt" miterlimit="8" joinstyle="miter"/>
                <v:imagedata o:title=""/>
                <o:lock v:ext="edit" aspectratio="f"/>
                <v:textbox>
                  <w:txbxContent>
                    <w:p>
                      <w:pPr>
                        <w:jc w:val="center"/>
                        <w:rPr>
                          <w:rFonts w:hint="eastAsia" w:eastAsia="宋体"/>
                          <w:b/>
                          <w:bCs/>
                          <w:color w:val="000000" w:themeColor="text1"/>
                          <w:highlight w:val="red"/>
                          <w:lang w:eastAsia="zh-CN"/>
                          <w14:textFill>
                            <w14:solidFill>
                              <w14:schemeClr w14:val="tx1"/>
                            </w14:solidFill>
                          </w14:textFill>
                        </w:rPr>
                      </w:pPr>
                      <w:r>
                        <w:rPr>
                          <w:rFonts w:hint="eastAsia"/>
                          <w:b/>
                          <w:bCs/>
                          <w:color w:val="000000" w:themeColor="text1"/>
                          <w:highlight w:val="red"/>
                          <w:lang w:eastAsia="zh-CN"/>
                          <w14:textFill>
                            <w14:solidFill>
                              <w14:schemeClr w14:val="tx1"/>
                            </w14:solidFill>
                          </w14:textFill>
                        </w:rPr>
                        <w:t>项目位置</w:t>
                      </w:r>
                    </w:p>
                  </w:txbxContent>
                </v:textbox>
              </v:rect>
            </w:pict>
          </mc:Fallback>
        </mc:AlternateContent>
      </w:r>
      <w:r>
        <w:rPr>
          <w:sz w:val="24"/>
        </w:rPr>
        <mc:AlternateContent>
          <mc:Choice Requires="wps">
            <w:drawing>
              <wp:anchor distT="0" distB="0" distL="114300" distR="114300" simplePos="0" relativeHeight="251606016" behindDoc="0" locked="0" layoutInCell="1" allowOverlap="1">
                <wp:simplePos x="0" y="0"/>
                <wp:positionH relativeFrom="column">
                  <wp:posOffset>3765550</wp:posOffset>
                </wp:positionH>
                <wp:positionV relativeFrom="paragraph">
                  <wp:posOffset>3173095</wp:posOffset>
                </wp:positionV>
                <wp:extent cx="161925" cy="31750"/>
                <wp:effectExtent l="2540" t="13970" r="6985" b="30480"/>
                <wp:wrapNone/>
                <wp:docPr id="45" name="直接连接符 45"/>
                <wp:cNvGraphicFramePr/>
                <a:graphic xmlns:a="http://schemas.openxmlformats.org/drawingml/2006/main">
                  <a:graphicData uri="http://schemas.microsoft.com/office/word/2010/wordprocessingShape">
                    <wps:wsp>
                      <wps:cNvCnPr>
                        <a:endCxn id="42" idx="15"/>
                      </wps:cNvCnPr>
                      <wps:spPr>
                        <a:xfrm>
                          <a:off x="4485640" y="4073525"/>
                          <a:ext cx="161925" cy="31750"/>
                        </a:xfrm>
                        <a:prstGeom prst="line">
                          <a:avLst/>
                        </a:prstGeom>
                        <a:ln w="28575" cmpd="sng">
                          <a:solidFill>
                            <a:srgbClr val="FF0000"/>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96.5pt;margin-top:249.85pt;height:2.5pt;width:12.75pt;z-index:251606016;mso-width-relative:page;mso-height-relative:page;" filled="f" stroked="t" coordsize="21600,21600" o:gfxdata="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wstkP9wAAAALAQAADwAAAAAAAAABACAAAAAiAAAAZHJzL2Rvd25yZXYueG1sUEsBAhQAFAAA&#10;AAgAh07iQAfaOw3rAQAAngMAAA4AAAAAAAAAAQAgAAAAKwEAAGRycy9lMm9Eb2MueG1sUEsFBgAA&#10;AAAGAAYAWQEAAIgFAAAAAA==&#10;">
                <v:fill on="f" focussize="0,0"/>
                <v:stroke weight="2.25pt" color="#FF0000 [3204]" miterlimit="8" joinstyle="miter"/>
                <v:imagedata o:title=""/>
                <o:lock v:ext="edit" aspectratio="f"/>
              </v:line>
            </w:pict>
          </mc:Fallback>
        </mc:AlternateContent>
      </w:r>
      <w:r>
        <w:rPr>
          <w:sz w:val="24"/>
        </w:rPr>
        <mc:AlternateContent>
          <mc:Choice Requires="wps">
            <w:drawing>
              <wp:anchor distT="0" distB="0" distL="114300" distR="114300" simplePos="0" relativeHeight="251604992" behindDoc="0" locked="0" layoutInCell="1" allowOverlap="1">
                <wp:simplePos x="0" y="0"/>
                <wp:positionH relativeFrom="column">
                  <wp:posOffset>3632200</wp:posOffset>
                </wp:positionH>
                <wp:positionV relativeFrom="paragraph">
                  <wp:posOffset>3154045</wp:posOffset>
                </wp:positionV>
                <wp:extent cx="142875" cy="438150"/>
                <wp:effectExtent l="13335" t="4445" r="15240" b="14605"/>
                <wp:wrapNone/>
                <wp:docPr id="44" name="直接连接符 44"/>
                <wp:cNvGraphicFramePr/>
                <a:graphic xmlns:a="http://schemas.openxmlformats.org/drawingml/2006/main">
                  <a:graphicData uri="http://schemas.microsoft.com/office/word/2010/wordprocessingShape">
                    <wps:wsp>
                      <wps:cNvCnPr/>
                      <wps:spPr>
                        <a:xfrm flipV="1">
                          <a:off x="4352290" y="4054475"/>
                          <a:ext cx="142875" cy="438150"/>
                        </a:xfrm>
                        <a:prstGeom prst="line">
                          <a:avLst/>
                        </a:prstGeom>
                        <a:ln w="28575" cmpd="sng">
                          <a:solidFill>
                            <a:srgbClr val="FF0000"/>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86pt;margin-top:248.35pt;height:34.5pt;width:11.25pt;z-index:251604992;mso-width-relative:page;mso-height-relative:page;" filled="f" stroked="t" coordsize="21600,21600" o:gfxdata="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6gH4&#10;wN0AAAALAQAADwAAAAAAAAABACAAAAAiAAAAZHJzL2Rvd25yZXYueG1sUEsBAhQAFAAAAAgAh07i&#10;QFpZHVDkAQAAgAMAAA4AAAAAAAAAAQAgAAAALAEAAGRycy9lMm9Eb2MueG1sUEsFBgAAAAAGAAYA&#10;WQEAAIIFAAAAAA==&#10;">
                <v:fill on="f" focussize="0,0"/>
                <v:stroke weight="2.25pt" color="#FF0000 [3204]" miterlimit="8" joinstyle="miter"/>
                <v:imagedata o:title=""/>
                <o:lock v:ext="edit" aspectratio="f"/>
              </v:line>
            </w:pict>
          </mc:Fallback>
        </mc:AlternateContent>
      </w:r>
      <w:r>
        <w:rPr>
          <w:sz w:val="24"/>
        </w:rPr>
        <mc:AlternateContent>
          <mc:Choice Requires="wps">
            <w:drawing>
              <wp:anchor distT="0" distB="0" distL="114300" distR="114300" simplePos="0" relativeHeight="251603968" behindDoc="0" locked="0" layoutInCell="1" allowOverlap="1">
                <wp:simplePos x="0" y="0"/>
                <wp:positionH relativeFrom="column">
                  <wp:posOffset>3117850</wp:posOffset>
                </wp:positionH>
                <wp:positionV relativeFrom="paragraph">
                  <wp:posOffset>3354070</wp:posOffset>
                </wp:positionV>
                <wp:extent cx="523875" cy="238125"/>
                <wp:effectExtent l="5715" t="12700" r="22860" b="15875"/>
                <wp:wrapNone/>
                <wp:docPr id="43" name="直接连接符 43"/>
                <wp:cNvGraphicFramePr/>
                <a:graphic xmlns:a="http://schemas.openxmlformats.org/drawingml/2006/main">
                  <a:graphicData uri="http://schemas.microsoft.com/office/word/2010/wordprocessingShape">
                    <wps:wsp>
                      <wps:cNvCnPr/>
                      <wps:spPr>
                        <a:xfrm>
                          <a:off x="3837940" y="4254500"/>
                          <a:ext cx="523875" cy="238125"/>
                        </a:xfrm>
                        <a:prstGeom prst="line">
                          <a:avLst/>
                        </a:prstGeom>
                        <a:ln w="28575" cmpd="sng">
                          <a:solidFill>
                            <a:srgbClr val="FF0000"/>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45.5pt;margin-top:264.1pt;height:18.75pt;width:41.25pt;z-index:251603968;mso-width-relative:page;mso-height-relative:page;" filled="f" stroked="t" coordsize="21600,21600" o:gfxdata="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Y3QFZt0AAAALAQAA&#10;DwAAAAAAAAABACAAAAAiAAAAZHJzL2Rvd25yZXYueG1sUEsBAhQAFAAAAAgAh07iQH2z60TbAQAA&#10;dgMAAA4AAAAAAAAAAQAgAAAALAEAAGRycy9lMm9Eb2MueG1sUEsFBgAAAAAGAAYAWQEAAHkFAAAA&#10;AA==&#10;">
                <v:fill on="f" focussize="0,0"/>
                <v:stroke weight="2.25pt" color="#FF0000 [3204]" miterlimit="8" joinstyle="miter"/>
                <v:imagedata o:title=""/>
                <o:lock v:ext="edit" aspectratio="f"/>
              </v:line>
            </w:pict>
          </mc:Fallback>
        </mc:AlternateContent>
      </w:r>
      <w:r>
        <w:rPr>
          <w:sz w:val="24"/>
        </w:rPr>
        <mc:AlternateContent>
          <mc:Choice Requires="wps">
            <w:drawing>
              <wp:anchor distT="0" distB="0" distL="114300" distR="114300" simplePos="0" relativeHeight="251602944" behindDoc="0" locked="0" layoutInCell="1" allowOverlap="1">
                <wp:simplePos x="0" y="0"/>
                <wp:positionH relativeFrom="column">
                  <wp:posOffset>3927475</wp:posOffset>
                </wp:positionH>
                <wp:positionV relativeFrom="paragraph">
                  <wp:posOffset>3096895</wp:posOffset>
                </wp:positionV>
                <wp:extent cx="1057275" cy="247650"/>
                <wp:effectExtent l="11430" t="15875" r="17145" b="22225"/>
                <wp:wrapNone/>
                <wp:docPr id="42" name="任意多边形 42"/>
                <wp:cNvGraphicFramePr/>
                <a:graphic xmlns:a="http://schemas.openxmlformats.org/drawingml/2006/main">
                  <a:graphicData uri="http://schemas.microsoft.com/office/word/2010/wordprocessingShape">
                    <wps:wsp>
                      <wps:cNvSpPr/>
                      <wps:spPr>
                        <a:xfrm>
                          <a:off x="4647565" y="4025265"/>
                          <a:ext cx="1057275" cy="247650"/>
                        </a:xfrm>
                        <a:custGeom>
                          <a:avLst/>
                          <a:gdLst>
                            <a:gd name="connisteX0" fmla="*/ 1009650 w 1009650"/>
                            <a:gd name="connsiteY0" fmla="*/ 219921 h 219921"/>
                            <a:gd name="connisteX1" fmla="*/ 942975 w 1009650"/>
                            <a:gd name="connsiteY1" fmla="*/ 191346 h 219921"/>
                            <a:gd name="connisteX2" fmla="*/ 876300 w 1009650"/>
                            <a:gd name="connsiteY2" fmla="*/ 153246 h 219921"/>
                            <a:gd name="connisteX3" fmla="*/ 809625 w 1009650"/>
                            <a:gd name="connsiteY3" fmla="*/ 115146 h 219921"/>
                            <a:gd name="connisteX4" fmla="*/ 733425 w 1009650"/>
                            <a:gd name="connsiteY4" fmla="*/ 86571 h 219921"/>
                            <a:gd name="connisteX5" fmla="*/ 666750 w 1009650"/>
                            <a:gd name="connsiteY5" fmla="*/ 57996 h 219921"/>
                            <a:gd name="connisteX6" fmla="*/ 600075 w 1009650"/>
                            <a:gd name="connsiteY6" fmla="*/ 38946 h 219921"/>
                            <a:gd name="connisteX7" fmla="*/ 533400 w 1009650"/>
                            <a:gd name="connsiteY7" fmla="*/ 10371 h 219921"/>
                            <a:gd name="connisteX8" fmla="*/ 466725 w 1009650"/>
                            <a:gd name="connsiteY8" fmla="*/ 846 h 219921"/>
                            <a:gd name="connisteX9" fmla="*/ 400050 w 1009650"/>
                            <a:gd name="connsiteY9" fmla="*/ 846 h 219921"/>
                            <a:gd name="connisteX10" fmla="*/ 333375 w 1009650"/>
                            <a:gd name="connsiteY10" fmla="*/ 846 h 219921"/>
                            <a:gd name="connisteX11" fmla="*/ 266700 w 1009650"/>
                            <a:gd name="connsiteY11" fmla="*/ 846 h 219921"/>
                            <a:gd name="connisteX12" fmla="*/ 200025 w 1009650"/>
                            <a:gd name="connsiteY12" fmla="*/ 846 h 219921"/>
                            <a:gd name="connisteX13" fmla="*/ 133350 w 1009650"/>
                            <a:gd name="connsiteY13" fmla="*/ 10371 h 219921"/>
                            <a:gd name="connisteX14" fmla="*/ 66675 w 1009650"/>
                            <a:gd name="connsiteY14" fmla="*/ 38946 h 219921"/>
                            <a:gd name="connisteX15" fmla="*/ 0 w 1009650"/>
                            <a:gd name="connsiteY15" fmla="*/ 96096 h 219921"/>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 ang="0">
                              <a:pos x="connisteX11" y="connsiteY11"/>
                            </a:cxn>
                            <a:cxn ang="0">
                              <a:pos x="connisteX12" y="connsiteY12"/>
                            </a:cxn>
                            <a:cxn ang="0">
                              <a:pos x="connisteX13" y="connsiteY13"/>
                            </a:cxn>
                            <a:cxn ang="0">
                              <a:pos x="connisteX14" y="connsiteY14"/>
                            </a:cxn>
                            <a:cxn ang="0">
                              <a:pos x="connisteX15" y="connsiteY15"/>
                            </a:cxn>
                          </a:cxnLst>
                          <a:rect l="l" t="t" r="r" b="b"/>
                          <a:pathLst>
                            <a:path w="1009650" h="219922">
                              <a:moveTo>
                                <a:pt x="1009650" y="219922"/>
                              </a:moveTo>
                              <a:cubicBezTo>
                                <a:pt x="997585" y="214842"/>
                                <a:pt x="969645" y="204682"/>
                                <a:pt x="942975" y="191347"/>
                              </a:cubicBezTo>
                              <a:cubicBezTo>
                                <a:pt x="916305" y="178012"/>
                                <a:pt x="902970" y="168487"/>
                                <a:pt x="876300" y="153247"/>
                              </a:cubicBezTo>
                              <a:cubicBezTo>
                                <a:pt x="849630" y="138007"/>
                                <a:pt x="838200" y="128482"/>
                                <a:pt x="809625" y="115147"/>
                              </a:cubicBezTo>
                              <a:cubicBezTo>
                                <a:pt x="781050" y="101812"/>
                                <a:pt x="762000" y="98002"/>
                                <a:pt x="733425" y="86572"/>
                              </a:cubicBezTo>
                              <a:cubicBezTo>
                                <a:pt x="704850" y="75142"/>
                                <a:pt x="693420" y="67522"/>
                                <a:pt x="666750" y="57997"/>
                              </a:cubicBezTo>
                              <a:cubicBezTo>
                                <a:pt x="640080" y="48472"/>
                                <a:pt x="626745" y="48472"/>
                                <a:pt x="600075" y="38947"/>
                              </a:cubicBezTo>
                              <a:cubicBezTo>
                                <a:pt x="573405" y="29422"/>
                                <a:pt x="560070" y="17992"/>
                                <a:pt x="533400" y="10372"/>
                              </a:cubicBezTo>
                              <a:cubicBezTo>
                                <a:pt x="506730" y="2752"/>
                                <a:pt x="493395" y="2752"/>
                                <a:pt x="466725" y="847"/>
                              </a:cubicBezTo>
                              <a:cubicBezTo>
                                <a:pt x="440055" y="-1058"/>
                                <a:pt x="426720" y="847"/>
                                <a:pt x="400050" y="847"/>
                              </a:cubicBezTo>
                              <a:cubicBezTo>
                                <a:pt x="373380" y="847"/>
                                <a:pt x="360045" y="847"/>
                                <a:pt x="333375" y="847"/>
                              </a:cubicBezTo>
                              <a:cubicBezTo>
                                <a:pt x="306705" y="847"/>
                                <a:pt x="293370" y="847"/>
                                <a:pt x="266700" y="847"/>
                              </a:cubicBezTo>
                              <a:cubicBezTo>
                                <a:pt x="240030" y="847"/>
                                <a:pt x="226695" y="-1058"/>
                                <a:pt x="200025" y="847"/>
                              </a:cubicBezTo>
                              <a:cubicBezTo>
                                <a:pt x="173355" y="2752"/>
                                <a:pt x="160020" y="2752"/>
                                <a:pt x="133350" y="10372"/>
                              </a:cubicBezTo>
                              <a:cubicBezTo>
                                <a:pt x="106680" y="17992"/>
                                <a:pt x="93345" y="21802"/>
                                <a:pt x="66675" y="38947"/>
                              </a:cubicBezTo>
                              <a:cubicBezTo>
                                <a:pt x="40005" y="56092"/>
                                <a:pt x="12065" y="85302"/>
                                <a:pt x="0" y="96097"/>
                              </a:cubicBezTo>
                            </a:path>
                          </a:pathLst>
                        </a:custGeom>
                        <a:noFill/>
                        <a:ln w="31750" cmpd="sng">
                          <a:solidFill>
                            <a:srgbClr val="FF0000"/>
                          </a:solidFill>
                          <a:prstDash val="soli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id="_x0000_s1026" o:spid="_x0000_s1026" o:spt="100" style="position:absolute;left:0pt;margin-left:309.25pt;margin-top:243.85pt;height:19.5pt;width:83.25pt;z-index:251602944;mso-width-relative:page;mso-height-relative:page;" filled="f" stroked="t" coordsize="1009650,219922" o:gfxdata="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" path="m1009650,219922c997585,214842,969645,204682,942975,191347c916305,178012,902970,168487,876300,153247c849630,138007,838200,128482,809625,115147c781050,101812,762000,98002,733425,86572c704850,75142,693420,67522,666750,57997c640080,48472,626745,48472,600075,38947c573405,29422,560070,17992,533400,10372c506730,2752,493395,2752,466725,847c440055,-1058,426720,847,400050,847c373380,847,360045,847,333375,847c306705,847,293370,847,266700,847c240030,847,226695,-1058,200025,847c173355,2752,160020,2752,133350,10372c106680,17992,93345,21802,66675,38947c40005,56092,12065,85302,0,96097e">
                <v:path o:connectlocs="1057275,247650;987454,215472;917634,172568;847814,129664;768020,97486;698200,65308;628380,43856;558560,11678;488740,952;418920,952;349100,952;279280,952;209460,952;139640,11678;69820,43856;0,108212" o:connectangles="0,0,0,0,0,0,0,0,0,0,0,0,0,0,0,0"/>
                <v:fill on="f" focussize="0,0"/>
                <v:stroke weight="2.5pt" color="#FF0000 [3204]" miterlimit="8" joinstyle="miter"/>
                <v:imagedata o:title=""/>
                <o:lock v:ext="edit" aspectratio="f"/>
              </v:shape>
            </w:pict>
          </mc:Fallback>
        </mc:AlternateContent>
      </w:r>
      <w:r>
        <w:rPr>
          <w:sz w:val="24"/>
        </w:rPr>
        <mc:AlternateContent>
          <mc:Choice Requires="wps">
            <w:drawing>
              <wp:anchor distT="0" distB="0" distL="114300" distR="114300" simplePos="0" relativeHeight="251600896" behindDoc="0" locked="0" layoutInCell="1" allowOverlap="1">
                <wp:simplePos x="0" y="0"/>
                <wp:positionH relativeFrom="column">
                  <wp:posOffset>3660775</wp:posOffset>
                </wp:positionH>
                <wp:positionV relativeFrom="paragraph">
                  <wp:posOffset>1896745</wp:posOffset>
                </wp:positionV>
                <wp:extent cx="1581150" cy="771525"/>
                <wp:effectExtent l="6350" t="12700" r="12700" b="15875"/>
                <wp:wrapNone/>
                <wp:docPr id="40" name="直接连接符 40"/>
                <wp:cNvGraphicFramePr/>
                <a:graphic xmlns:a="http://schemas.openxmlformats.org/drawingml/2006/main">
                  <a:graphicData uri="http://schemas.microsoft.com/office/word/2010/wordprocessingShape">
                    <wps:wsp>
                      <wps:cNvCnPr/>
                      <wps:spPr>
                        <a:xfrm>
                          <a:off x="4371340" y="2759075"/>
                          <a:ext cx="1581150" cy="771525"/>
                        </a:xfrm>
                        <a:prstGeom prst="line">
                          <a:avLst/>
                        </a:prstGeom>
                        <a:ln w="28575" cmpd="sng">
                          <a:solidFill>
                            <a:srgbClr val="FF0000"/>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88.25pt;margin-top:149.35pt;height:60.75pt;width:124.5pt;z-index:251600896;mso-width-relative:page;mso-height-relative:page;" filled="f" stroked="t" coordsize="21600,21600" o:gfxdata="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COJNHNsAAAALAQAA&#10;DwAAAAAAAAABACAAAAAiAAAAZHJzL2Rvd25yZXYueG1sUEsBAhQAFAAAAAgAh07iQBl57z/dAQAA&#10;dwMAAA4AAAAAAAAAAQAgAAAAKgEAAGRycy9lMm9Eb2MueG1sUEsFBgAAAAAGAAYAWQEAAHkFAAAA&#10;AA==&#10;">
                <v:fill on="f" focussize="0,0"/>
                <v:stroke weight="2.25pt" color="#FF0000 [3204]" miterlimit="8" joinstyle="miter"/>
                <v:imagedata o:title=""/>
                <o:lock v:ext="edit" aspectratio="f"/>
              </v:line>
            </w:pict>
          </mc:Fallback>
        </mc:AlternateContent>
      </w:r>
      <w:r>
        <w:rPr>
          <w:sz w:val="24"/>
        </w:rPr>
        <mc:AlternateContent>
          <mc:Choice Requires="wps">
            <w:drawing>
              <wp:anchor distT="0" distB="0" distL="114300" distR="114300" simplePos="0" relativeHeight="251601920" behindDoc="0" locked="0" layoutInCell="1" allowOverlap="1">
                <wp:simplePos x="0" y="0"/>
                <wp:positionH relativeFrom="column">
                  <wp:posOffset>4975225</wp:posOffset>
                </wp:positionH>
                <wp:positionV relativeFrom="paragraph">
                  <wp:posOffset>2668270</wp:posOffset>
                </wp:positionV>
                <wp:extent cx="266700" cy="657225"/>
                <wp:effectExtent l="13335" t="5080" r="24765" b="23495"/>
                <wp:wrapNone/>
                <wp:docPr id="41" name="直接连接符 41"/>
                <wp:cNvGraphicFramePr/>
                <a:graphic xmlns:a="http://schemas.openxmlformats.org/drawingml/2006/main">
                  <a:graphicData uri="http://schemas.microsoft.com/office/word/2010/wordprocessingShape">
                    <wps:wsp>
                      <wps:cNvCnPr/>
                      <wps:spPr>
                        <a:xfrm flipH="1">
                          <a:off x="5695315" y="3568700"/>
                          <a:ext cx="266700" cy="657225"/>
                        </a:xfrm>
                        <a:prstGeom prst="line">
                          <a:avLst/>
                        </a:prstGeom>
                        <a:ln w="28575" cmpd="sng">
                          <a:solidFill>
                            <a:srgbClr val="FF0000"/>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391.75pt;margin-top:210.1pt;height:51.75pt;width:21pt;z-index:251601920;mso-width-relative:page;mso-height-relative:page;" filled="f" stroked="t" coordsize="21600,21600" o:gfxdata="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kztL&#10;xdwAAAALAQAADwAAAAAAAAABACAAAAAiAAAAZHJzL2Rvd25yZXYueG1sUEsBAhQAFAAAAAgAh07i&#10;QNOVkDnlAQAAgAMAAA4AAAAAAAAAAQAgAAAAKwEAAGRycy9lMm9Eb2MueG1sUEsFBgAAAAAGAAYA&#10;WQEAAIIFAAAAAA==&#10;">
                <v:fill on="f" focussize="0,0"/>
                <v:stroke weight="2.25pt" color="#FF0000 [3204]" miterlimit="8" joinstyle="miter"/>
                <v:imagedata o:title=""/>
                <o:lock v:ext="edit" aspectratio="f"/>
              </v:line>
            </w:pict>
          </mc:Fallback>
        </mc:AlternateContent>
      </w:r>
      <w:r>
        <w:rPr>
          <w:sz w:val="24"/>
        </w:rPr>
        <mc:AlternateContent>
          <mc:Choice Requires="wps">
            <w:drawing>
              <wp:anchor distT="0" distB="0" distL="114300" distR="114300" simplePos="0" relativeHeight="251599872" behindDoc="0" locked="0" layoutInCell="1" allowOverlap="1">
                <wp:simplePos x="0" y="0"/>
                <wp:positionH relativeFrom="column">
                  <wp:posOffset>3108325</wp:posOffset>
                </wp:positionH>
                <wp:positionV relativeFrom="paragraph">
                  <wp:posOffset>1877695</wp:posOffset>
                </wp:positionV>
                <wp:extent cx="561975" cy="1495425"/>
                <wp:effectExtent l="13335" t="5080" r="15240" b="23495"/>
                <wp:wrapNone/>
                <wp:docPr id="39" name="直接连接符 39"/>
                <wp:cNvGraphicFramePr/>
                <a:graphic xmlns:a="http://schemas.openxmlformats.org/drawingml/2006/main">
                  <a:graphicData uri="http://schemas.microsoft.com/office/word/2010/wordprocessingShape">
                    <wps:wsp>
                      <wps:cNvCnPr/>
                      <wps:spPr>
                        <a:xfrm flipH="1">
                          <a:off x="3828415" y="2778125"/>
                          <a:ext cx="561975" cy="1495425"/>
                        </a:xfrm>
                        <a:prstGeom prst="line">
                          <a:avLst/>
                        </a:prstGeom>
                        <a:ln w="28575" cmpd="sng">
                          <a:solidFill>
                            <a:srgbClr val="FF0000"/>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44.75pt;margin-top:147.85pt;height:117.75pt;width:44.25pt;z-index:251599872;mso-width-relative:page;mso-height-relative:page;" filled="f" stroked="t" coordsize="21600,21600" o:gfxdata="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E0L&#10;RX7cAAAACwEAAA8AAAAAAAAAAQAgAAAAIgAAAGRycy9kb3ducmV2LnhtbFBLAQIUABQAAAAIAIdO&#10;4kAVesHi5gEAAIEDAAAOAAAAAAAAAAEAIAAAACsBAABkcnMvZTJvRG9jLnhtbFBLBQYAAAAABgAG&#10;AFkBAACDBQAAAAA=&#10;">
                <v:fill on="f" focussize="0,0"/>
                <v:stroke weight="2.25pt" color="#FF0000 [3204]" miterlimit="8" joinstyle="miter"/>
                <v:imagedata o:title=""/>
                <o:lock v:ext="edit" aspectratio="f"/>
              </v:line>
            </w:pict>
          </mc:Fallback>
        </mc:AlternateContent>
      </w:r>
      <w:r>
        <w:rPr>
          <w:rFonts w:ascii="宋体" w:hAnsi="宋体" w:eastAsia="宋体" w:cs="宋体"/>
          <w:kern w:val="0"/>
          <w:sz w:val="24"/>
          <w:szCs w:val="24"/>
          <w:lang w:val="en-US" w:eastAsia="zh-CN" w:bidi="ar"/>
        </w:rPr>
        <w:drawing>
          <wp:inline distT="0" distB="0" distL="114300" distR="114300">
            <wp:extent cx="6688455" cy="5515610"/>
            <wp:effectExtent l="0" t="0" r="17145" b="8890"/>
            <wp:docPr id="38"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6" descr="IMG_256"/>
                    <pic:cNvPicPr>
                      <a:picLocks noChangeAspect="1"/>
                    </pic:cNvPicPr>
                  </pic:nvPicPr>
                  <pic:blipFill>
                    <a:blip r:embed="rId33"/>
                    <a:stretch>
                      <a:fillRect/>
                    </a:stretch>
                  </pic:blipFill>
                  <pic:spPr>
                    <a:xfrm>
                      <a:off x="0" y="0"/>
                      <a:ext cx="6688455" cy="5515610"/>
                    </a:xfrm>
                    <a:prstGeom prst="rect">
                      <a:avLst/>
                    </a:prstGeom>
                    <a:noFill/>
                    <a:ln w="9525">
                      <a:noFill/>
                    </a:ln>
                  </pic:spPr>
                </pic:pic>
              </a:graphicData>
            </a:graphic>
          </wp:inline>
        </w:drawing>
      </w:r>
    </w:p>
    <w:p>
      <w:pPr>
        <w:pStyle w:val="2"/>
        <w:jc w:val="center"/>
        <w:rPr>
          <w:rFonts w:hint="eastAsia" w:ascii="宋体" w:hAnsi="宋体" w:eastAsia="宋体" w:cs="宋体"/>
          <w:b/>
          <w:bCs/>
          <w:kern w:val="0"/>
          <w:sz w:val="24"/>
          <w:szCs w:val="24"/>
          <w:lang w:val="en-US" w:eastAsia="zh-CN" w:bidi="ar"/>
        </w:rPr>
      </w:pPr>
      <w:r>
        <w:rPr>
          <w:rFonts w:hint="eastAsia" w:ascii="宋体" w:hAnsi="宋体" w:eastAsia="宋体" w:cs="宋体"/>
          <w:b/>
          <w:bCs/>
          <w:kern w:val="0"/>
          <w:sz w:val="24"/>
          <w:szCs w:val="24"/>
          <w:lang w:val="en-US" w:eastAsia="zh-CN" w:bidi="ar"/>
        </w:rPr>
        <w:t>附图3 项目四至图</w:t>
      </w:r>
    </w:p>
    <w:p>
      <w:pPr>
        <w:pStyle w:val="2"/>
        <w:jc w:val="center"/>
        <w:rPr>
          <w:rFonts w:hint="default" w:ascii="宋体" w:hAnsi="宋体" w:eastAsia="宋体" w:cs="宋体"/>
          <w:b/>
          <w:bCs/>
          <w:kern w:val="0"/>
          <w:sz w:val="24"/>
          <w:szCs w:val="24"/>
          <w:lang w:val="en-US" w:eastAsia="zh-CN" w:bidi="ar"/>
        </w:rPr>
        <w:sectPr>
          <w:type w:val="continuous"/>
          <w:pgSz w:w="16840" w:h="11907" w:orient="landscape"/>
          <w:pgMar w:top="1418" w:right="1531" w:bottom="1134" w:left="1134" w:header="907" w:footer="907" w:gutter="0"/>
          <w:pgBorders w:offsetFrom="page">
            <w:top w:val="none" w:sz="0" w:space="0"/>
            <w:left w:val="none" w:sz="0" w:space="0"/>
            <w:bottom w:val="none" w:sz="0" w:space="0"/>
            <w:right w:val="none" w:sz="0" w:space="0"/>
          </w:pgBorders>
          <w:cols w:space="720" w:num="1"/>
          <w:docGrid w:linePitch="326" w:charSpace="-4916"/>
        </w:sectPr>
      </w:pPr>
    </w:p>
    <w:p>
      <w:pPr>
        <w:pStyle w:val="2"/>
        <w:jc w:val="center"/>
        <w:rPr>
          <w:rFonts w:hint="default" w:ascii="宋体" w:hAnsi="宋体" w:eastAsia="宋体" w:cs="宋体"/>
          <w:b/>
          <w:bCs/>
          <w:kern w:val="0"/>
          <w:sz w:val="24"/>
          <w:szCs w:val="24"/>
          <w:lang w:val="en-US" w:eastAsia="zh-CN" w:bidi="ar"/>
        </w:rPr>
      </w:pPr>
    </w:p>
    <w:p>
      <w:pPr>
        <w:pStyle w:val="2"/>
        <w:jc w:val="center"/>
        <w:rPr>
          <w:rFonts w:hint="default" w:ascii="宋体" w:hAnsi="宋体" w:eastAsia="宋体" w:cs="宋体"/>
          <w:b/>
          <w:bCs/>
          <w:kern w:val="0"/>
          <w:sz w:val="24"/>
          <w:szCs w:val="24"/>
          <w:lang w:val="en-US" w:eastAsia="zh-CN" w:bidi="ar"/>
        </w:rPr>
        <w:sectPr>
          <w:type w:val="continuous"/>
          <w:pgSz w:w="16840" w:h="11907" w:orient="landscape"/>
          <w:pgMar w:top="1418" w:right="1531" w:bottom="1134" w:left="1134" w:header="907" w:footer="907" w:gutter="0"/>
          <w:pgBorders w:offsetFrom="page">
            <w:top w:val="none" w:sz="0" w:space="0"/>
            <w:left w:val="none" w:sz="0" w:space="0"/>
            <w:bottom w:val="none" w:sz="0" w:space="0"/>
            <w:right w:val="none" w:sz="0" w:space="0"/>
          </w:pgBorders>
          <w:cols w:space="720" w:num="1"/>
          <w:docGrid w:linePitch="326" w:charSpace="-4916"/>
        </w:sectPr>
      </w:pPr>
    </w:p>
    <w:p>
      <w:pPr>
        <w:keepNext w:val="0"/>
        <w:keepLines w:val="0"/>
        <w:widowControl/>
        <w:suppressLineNumbers w:val="0"/>
        <w:jc w:val="center"/>
        <w:rPr>
          <w:rFonts w:ascii="宋体" w:hAnsi="宋体" w:eastAsia="宋体" w:cs="宋体"/>
          <w:kern w:val="0"/>
          <w:sz w:val="24"/>
          <w:szCs w:val="24"/>
          <w:lang w:val="en-US" w:eastAsia="zh-CN" w:bidi="ar"/>
        </w:rPr>
      </w:pPr>
    </w:p>
    <w:p>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5114925" cy="5762625"/>
            <wp:effectExtent l="0" t="0" r="9525" b="9525"/>
            <wp:docPr id="1"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IMG_256"/>
                    <pic:cNvPicPr>
                      <a:picLocks noChangeAspect="1"/>
                    </pic:cNvPicPr>
                  </pic:nvPicPr>
                  <pic:blipFill>
                    <a:blip r:embed="rId34"/>
                    <a:stretch>
                      <a:fillRect/>
                    </a:stretch>
                  </pic:blipFill>
                  <pic:spPr>
                    <a:xfrm>
                      <a:off x="0" y="0"/>
                      <a:ext cx="5114925" cy="5762625"/>
                    </a:xfrm>
                    <a:prstGeom prst="rect">
                      <a:avLst/>
                    </a:prstGeom>
                    <a:noFill/>
                    <a:ln w="9525">
                      <a:noFill/>
                    </a:ln>
                  </pic:spPr>
                </pic:pic>
              </a:graphicData>
            </a:graphic>
          </wp:inline>
        </w:drawing>
      </w:r>
    </w:p>
    <w:p>
      <w:pPr>
        <w:pStyle w:val="2"/>
        <w:jc w:val="center"/>
        <w:rPr>
          <w:rFonts w:hint="default" w:ascii="宋体" w:hAnsi="宋体" w:eastAsia="宋体" w:cs="宋体"/>
          <w:b/>
          <w:bCs/>
          <w:kern w:val="0"/>
          <w:sz w:val="24"/>
          <w:szCs w:val="24"/>
          <w:lang w:val="en-US" w:eastAsia="zh-CN" w:bidi="ar"/>
        </w:rPr>
      </w:pPr>
    </w:p>
    <w:p>
      <w:pPr>
        <w:pStyle w:val="2"/>
        <w:jc w:val="center"/>
        <w:rPr>
          <w:rFonts w:hint="default" w:ascii="Times New Roman" w:hAnsi="Times New Roman" w:eastAsia="宋体" w:cs="Times New Roman"/>
          <w:b/>
          <w:bCs/>
          <w:kern w:val="0"/>
          <w:sz w:val="24"/>
          <w:szCs w:val="24"/>
          <w:lang w:val="en-US" w:eastAsia="zh-CN" w:bidi="ar"/>
        </w:rPr>
      </w:pPr>
      <w:r>
        <w:rPr>
          <w:rFonts w:hint="default" w:ascii="Times New Roman" w:hAnsi="Times New Roman" w:cs="Times New Roman"/>
          <w:b/>
          <w:bCs/>
          <w:kern w:val="0"/>
          <w:sz w:val="24"/>
          <w:szCs w:val="24"/>
          <w:lang w:val="en-US" w:eastAsia="zh-CN" w:bidi="ar"/>
        </w:rPr>
        <w:t xml:space="preserve">附图4 </w:t>
      </w:r>
      <w:bookmarkStart w:id="32" w:name="_GoBack"/>
      <w:bookmarkEnd w:id="32"/>
      <w:r>
        <w:rPr>
          <w:rFonts w:hint="default" w:ascii="Times New Roman" w:hAnsi="Times New Roman" w:cs="Times New Roman"/>
          <w:b/>
          <w:bCs/>
          <w:kern w:val="0"/>
          <w:sz w:val="24"/>
          <w:szCs w:val="24"/>
          <w:lang w:val="en-US" w:eastAsia="zh-CN" w:bidi="ar"/>
        </w:rPr>
        <w:t>平面布置图</w:t>
      </w:r>
    </w:p>
    <w:sectPr>
      <w:type w:val="continuous"/>
      <w:pgSz w:w="11907" w:h="16840"/>
      <w:pgMar w:top="1531" w:right="1134" w:bottom="1134" w:left="1418" w:header="907" w:footer="907" w:gutter="0"/>
      <w:pgBorders w:offsetFrom="page">
        <w:top w:val="none" w:sz="0" w:space="0"/>
        <w:left w:val="none" w:sz="0" w:space="0"/>
        <w:bottom w:val="none" w:sz="0" w:space="0"/>
        <w:right w:val="none" w:sz="0" w:space="0"/>
      </w:pgBorders>
      <w:cols w:space="720" w:num="1"/>
      <w:docGrid w:linePitch="326" w:charSpace="-491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02"/>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Impact">
    <w:panose1 w:val="020B0806030902050204"/>
    <w:charset w:val="00"/>
    <w:family w:val="swiss"/>
    <w:pitch w:val="default"/>
    <w:sig w:usb0="00000287" w:usb1="00000000" w:usb2="00000000" w:usb3="00000000" w:csb0="2000009F" w:csb1="DFD70000"/>
  </w:font>
  <w:font w:name="隶书">
    <w:altName w:val="微软雅黑"/>
    <w:panose1 w:val="00000000000000000000"/>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方正仿宋_GBK">
    <w:altName w:val="宋体"/>
    <w:panose1 w:val="00000000000000000000"/>
    <w:charset w:val="86"/>
    <w:family w:val="script"/>
    <w:pitch w:val="default"/>
    <w:sig w:usb0="00000000" w:usb1="00000000" w:usb2="00000010" w:usb3="00000000" w:csb0="003C0040" w:csb1="00000000"/>
  </w:font>
  <w:font w:name="仿宋体">
    <w:altName w:val="宋体"/>
    <w:panose1 w:val="00000000000000000000"/>
    <w:charset w:val="86"/>
    <w:family w:val="swiss"/>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6" w:usb3="00000000" w:csb0="00040001" w:csb1="00000000"/>
  </w:font>
  <w:font w:name="等线">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rPr>
        <w:rStyle w:val="35"/>
      </w:rPr>
    </w:pPr>
    <w:r>
      <w:fldChar w:fldCharType="begin"/>
    </w:r>
    <w:r>
      <w:rPr>
        <w:rStyle w:val="35"/>
      </w:rPr>
      <w:instrText xml:space="preserve">PAGE  </w:instrText>
    </w:r>
    <w:r>
      <w:fldChar w:fldCharType="end"/>
    </w:r>
  </w:p>
  <w:p>
    <w:pPr>
      <w:pStyle w:val="2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98899212"/>
    </w:sdtPr>
    <w:sdtContent>
      <w:p>
        <w:pPr>
          <w:pStyle w:val="23"/>
          <w:jc w:val="center"/>
        </w:pPr>
        <w:r>
          <w:fldChar w:fldCharType="begin"/>
        </w:r>
        <w:r>
          <w:instrText xml:space="preserve">PAGE   \* MERGEFORMAT</w:instrText>
        </w:r>
        <w:r>
          <w:fldChar w:fldCharType="separate"/>
        </w:r>
        <w:r>
          <w:rPr>
            <w:lang w:val="zh-CN"/>
          </w:rPr>
          <w:t>2</w:t>
        </w:r>
        <w:r>
          <w:fldChar w:fldCharType="end"/>
        </w:r>
      </w:p>
    </w:sdtContent>
  </w:sdt>
  <w:p>
    <w:pPr>
      <w:pStyle w:val="23"/>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center"/>
      <w:rPr>
        <w:rStyle w:val="35"/>
      </w:rPr>
    </w:pPr>
    <w:r>
      <w:fldChar w:fldCharType="begin"/>
    </w:r>
    <w:r>
      <w:rPr>
        <w:rStyle w:val="35"/>
      </w:rPr>
      <w:instrText xml:space="preserve">PAGE  </w:instrText>
    </w:r>
    <w:r>
      <w:fldChar w:fldCharType="separate"/>
    </w:r>
    <w:r>
      <w:rPr>
        <w:rStyle w:val="35"/>
      </w:rPr>
      <w:t>18</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jc w:val="center"/>
      <w:rPr>
        <w:rStyle w:val="35"/>
      </w:rPr>
    </w:pPr>
    <w:r>
      <w:fldChar w:fldCharType="begin"/>
    </w:r>
    <w:r>
      <w:rPr>
        <w:rStyle w:val="35"/>
      </w:rPr>
      <w:instrText xml:space="preserve">PAGE  </w:instrText>
    </w:r>
    <w:r>
      <w:fldChar w:fldCharType="separate"/>
    </w:r>
    <w:r>
      <w:rPr>
        <w:rStyle w:val="35"/>
      </w:rPr>
      <w:t>21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jc w:val="center"/>
      <w:rPr>
        <w:rStyle w:val="35"/>
      </w:rPr>
    </w:pPr>
    <w:r>
      <w:fldChar w:fldCharType="begin"/>
    </w:r>
    <w:r>
      <w:rPr>
        <w:rStyle w:val="35"/>
      </w:rPr>
      <w:instrText xml:space="preserve">PAGE  </w:instrText>
    </w:r>
    <w:r>
      <w:fldChar w:fldCharType="separate"/>
    </w:r>
    <w:r>
      <w:rPr>
        <w:rStyle w:val="35"/>
      </w:rPr>
      <w:t>30</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rPr>
        <w:rStyle w:val="35"/>
      </w:rPr>
    </w:pPr>
    <w:r>
      <w:fldChar w:fldCharType="begin"/>
    </w:r>
    <w:r>
      <w:rPr>
        <w:rStyle w:val="35"/>
      </w:rPr>
      <w:instrText xml:space="preserve">PAGE  </w:instrText>
    </w:r>
    <w:r>
      <w:fldChar w:fldCharType="separate"/>
    </w:r>
    <w:r>
      <w:rPr>
        <w:rStyle w:val="35"/>
      </w:rPr>
      <w:t>38</w:t>
    </w:r>
    <w:r>
      <w:fldChar w:fldCharType="end"/>
    </w:r>
  </w:p>
  <w:p>
    <w:pPr>
      <w:pStyle w:val="23"/>
      <w:framePr w:wrap="around" w:vAnchor="text" w:hAnchor="page" w:x="1314" w:y="-51"/>
      <w:rPr>
        <w:rStyle w:val="35"/>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jc w:val="center"/>
      <w:rPr>
        <w:rStyle w:val="35"/>
      </w:rPr>
    </w:pPr>
    <w:r>
      <w:fldChar w:fldCharType="begin"/>
    </w:r>
    <w:r>
      <w:rPr>
        <w:rStyle w:val="35"/>
      </w:rPr>
      <w:instrText xml:space="preserve">PAGE  </w:instrText>
    </w:r>
    <w:r>
      <w:fldChar w:fldCharType="separate"/>
    </w:r>
    <w:r>
      <w:rPr>
        <w:rStyle w:val="35"/>
      </w:rPr>
      <w:t>40</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jc w:val="center"/>
      <w:rPr>
        <w:rStyle w:val="35"/>
      </w:rPr>
    </w:pPr>
    <w:r>
      <w:fldChar w:fldCharType="begin"/>
    </w:r>
    <w:r>
      <w:rPr>
        <w:rStyle w:val="35"/>
      </w:rPr>
      <w:instrText xml:space="preserve">PAGE  </w:instrText>
    </w:r>
    <w:r>
      <w:fldChar w:fldCharType="separate"/>
    </w:r>
    <w:r>
      <w:rPr>
        <w:rStyle w:val="35"/>
      </w:rPr>
      <w:t>47</w:t>
    </w:r>
    <w:r>
      <w:fldChar w:fldCharType="end"/>
    </w:r>
  </w:p>
  <w:p>
    <w:pPr>
      <w:pStyle w:val="23"/>
      <w:framePr w:wrap="around" w:vAnchor="text" w:hAnchor="margin" w:xAlign="center" w:y="1"/>
      <w:rPr>
        <w:rStyle w:val="35"/>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jc w:val="center"/>
      <w:rPr>
        <w:rStyle w:val="35"/>
      </w:rPr>
    </w:pPr>
    <w:r>
      <w:fldChar w:fldCharType="begin"/>
    </w:r>
    <w:r>
      <w:rPr>
        <w:rStyle w:val="35"/>
      </w:rPr>
      <w:instrText xml:space="preserve"> PAGE </w:instrText>
    </w:r>
    <w:r>
      <w:fldChar w:fldCharType="separate"/>
    </w:r>
    <w:r>
      <w:rPr>
        <w:rStyle w:val="35"/>
      </w:rPr>
      <w:t>48</w:t>
    </w:r>
    <w:r>
      <w:fldChar w:fldCharType="end"/>
    </w:r>
  </w:p>
  <w:p>
    <w:pPr>
      <w:pStyle w:val="23"/>
      <w:framePr w:wrap="around" w:vAnchor="text" w:hAnchor="margin" w:xAlign="center" w:y="1"/>
      <w:rPr>
        <w:rStyle w:val="35"/>
      </w:rPr>
    </w:pPr>
  </w:p>
  <w:p>
    <w:pPr>
      <w:pStyle w:val="23"/>
      <w:jc w:val="center"/>
      <w:rPr>
        <w:rStyle w:val="35"/>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jc w:val="center"/>
      <w:rPr>
        <w:rStyle w:val="35"/>
      </w:rPr>
    </w:pPr>
    <w:r>
      <w:rPr>
        <w:rStyle w:val="35"/>
        <w:rFonts w:hint="eastAsia"/>
      </w:rPr>
      <w:t xml:space="preserve">  </w:t>
    </w:r>
    <w:r>
      <w:fldChar w:fldCharType="begin"/>
    </w:r>
    <w:r>
      <w:rPr>
        <w:rStyle w:val="35"/>
      </w:rPr>
      <w:instrText xml:space="preserve"> PAGE </w:instrText>
    </w:r>
    <w:r>
      <w:fldChar w:fldCharType="separate"/>
    </w:r>
    <w:r>
      <w:rPr>
        <w:rStyle w:val="35"/>
      </w:rPr>
      <w:t>54</w:t>
    </w:r>
    <w:r>
      <w:fldChar w:fldCharType="end"/>
    </w:r>
    <w:r>
      <w:rPr>
        <w:rStyle w:val="35"/>
        <w:rFonts w:hint="eastAsia"/>
      </w:rPr>
      <w:t xml:space="preserve">                        </w:t>
    </w:r>
  </w:p>
  <w:p>
    <w:pPr>
      <w:pStyle w:val="23"/>
      <w:framePr w:wrap="around" w:vAnchor="text" w:hAnchor="margin" w:xAlign="center" w:y="1"/>
      <w:rPr>
        <w:rStyle w:val="35"/>
      </w:rPr>
    </w:pPr>
  </w:p>
  <w:p>
    <w:pPr>
      <w:pStyle w:val="23"/>
      <w:jc w:val="center"/>
      <w:rPr>
        <w:rStyle w:val="35"/>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67FC3DE"/>
    <w:multiLevelType w:val="singleLevel"/>
    <w:tmpl w:val="F67FC3DE"/>
    <w:lvl w:ilvl="0" w:tentative="0">
      <w:start w:val="1"/>
      <w:numFmt w:val="decimal"/>
      <w:suff w:val="nothing"/>
      <w:lvlText w:val="%1、"/>
      <w:lvlJc w:val="left"/>
    </w:lvl>
  </w:abstractNum>
  <w:abstractNum w:abstractNumId="1">
    <w:nsid w:val="0000000A"/>
    <w:multiLevelType w:val="multilevel"/>
    <w:tmpl w:val="0000000A"/>
    <w:lvl w:ilvl="0" w:tentative="0">
      <w:start w:val="1"/>
      <w:numFmt w:val="chineseCountingThousand"/>
      <w:suff w:val="space"/>
      <w:lvlText w:val="第%1章"/>
      <w:lvlJc w:val="left"/>
      <w:pPr>
        <w:ind w:left="0" w:firstLine="0"/>
      </w:pPr>
      <w:rPr>
        <w:rFonts w:hint="eastAsia" w:ascii="隶书" w:eastAsia="隶书"/>
        <w:b/>
        <w:i w:val="0"/>
        <w:color w:val="000000"/>
        <w:sz w:val="36"/>
        <w14:shadow w14:blurRad="0" w14:dist="0" w14:dir="0" w14:sx="0" w14:sy="0" w14:kx="0" w14:ky="0" w14:algn="none">
          <w14:srgbClr w14:val="000000"/>
        </w14:shadow>
      </w:rPr>
    </w:lvl>
    <w:lvl w:ilvl="1" w:tentative="0">
      <w:start w:val="1"/>
      <w:numFmt w:val="chineseCountingThousand"/>
      <w:suff w:val="nothing"/>
      <w:lvlText w:val="%2."/>
      <w:lvlJc w:val="left"/>
      <w:pPr>
        <w:ind w:left="425" w:hanging="425"/>
      </w:pPr>
      <w:rPr>
        <w:rFonts w:hint="eastAsia"/>
      </w:rPr>
    </w:lvl>
    <w:lvl w:ilvl="2" w:tentative="0">
      <w:start w:val="1"/>
      <w:numFmt w:val="chineseCountingThousand"/>
      <w:suff w:val="nothing"/>
      <w:lvlText w:val="(%3)."/>
      <w:lvlJc w:val="left"/>
      <w:pPr>
        <w:ind w:left="0" w:firstLine="0"/>
      </w:pPr>
      <w:rPr>
        <w:rFonts w:hint="eastAsia" w:ascii="楷体_GB2312" w:eastAsia="楷体_GB2312"/>
      </w:rPr>
    </w:lvl>
    <w:lvl w:ilvl="3" w:tentative="0">
      <w:start w:val="1"/>
      <w:numFmt w:val="decimal"/>
      <w:pStyle w:val="6"/>
      <w:suff w:val="nothing"/>
      <w:lvlText w:val="%4."/>
      <w:lvlJc w:val="left"/>
      <w:pPr>
        <w:ind w:left="0" w:firstLine="0"/>
      </w:pPr>
      <w:rPr>
        <w:rFonts w:hint="eastAsia" w:ascii="宋体" w:eastAsia="宋体"/>
      </w:rPr>
    </w:lvl>
    <w:lvl w:ilvl="4" w:tentative="0">
      <w:start w:val="1"/>
      <w:numFmt w:val="decimal"/>
      <w:pStyle w:val="7"/>
      <w:suff w:val="nothing"/>
      <w:lvlText w:val="(%5)."/>
      <w:lvlJc w:val="left"/>
      <w:pPr>
        <w:ind w:left="0" w:firstLine="0"/>
      </w:pPr>
      <w:rPr>
        <w:rFonts w:hint="eastAsia" w:ascii="宋体" w:eastAsia="宋体"/>
      </w:rPr>
    </w:lvl>
    <w:lvl w:ilvl="5" w:tentative="0">
      <w:start w:val="1"/>
      <w:numFmt w:val="upperLetter"/>
      <w:pStyle w:val="9"/>
      <w:lvlText w:val="%6."/>
      <w:lvlJc w:val="left"/>
      <w:pPr>
        <w:tabs>
          <w:tab w:val="left" w:pos="0"/>
        </w:tabs>
        <w:ind w:left="0" w:firstLine="0"/>
      </w:pPr>
      <w:rPr>
        <w:rFonts w:hint="eastAsia" w:ascii="宋体" w:eastAsia="宋体"/>
      </w:rPr>
    </w:lvl>
    <w:lvl w:ilvl="6" w:tentative="0">
      <w:start w:val="1"/>
      <w:numFmt w:val="decimal"/>
      <w:pStyle w:val="10"/>
      <w:lvlText w:val="%7"/>
      <w:lvlJc w:val="left"/>
      <w:pPr>
        <w:tabs>
          <w:tab w:val="left" w:pos="0"/>
        </w:tabs>
        <w:ind w:left="0" w:firstLine="0"/>
      </w:pPr>
      <w:rPr>
        <w:rFonts w:hint="default" w:ascii="Times New Roman" w:hAnsi="Times New Roman"/>
      </w:rPr>
    </w:lvl>
    <w:lvl w:ilvl="7" w:tentative="0">
      <w:start w:val="1"/>
      <w:numFmt w:val="decimal"/>
      <w:pStyle w:val="11"/>
      <w:lvlText w:val="%8"/>
      <w:lvlJc w:val="left"/>
      <w:pPr>
        <w:tabs>
          <w:tab w:val="left" w:pos="0"/>
        </w:tabs>
        <w:ind w:left="0" w:firstLine="0"/>
      </w:pPr>
      <w:rPr>
        <w:rFonts w:hint="default" w:ascii="Times New Roman" w:hAnsi="Times New Roman"/>
      </w:rPr>
    </w:lvl>
    <w:lvl w:ilvl="8" w:tentative="0">
      <w:start w:val="1"/>
      <w:numFmt w:val="decimal"/>
      <w:pStyle w:val="12"/>
      <w:lvlText w:val="%9"/>
      <w:lvlJc w:val="left"/>
      <w:pPr>
        <w:tabs>
          <w:tab w:val="left" w:pos="0"/>
        </w:tabs>
        <w:ind w:left="0" w:firstLine="0"/>
      </w:pPr>
      <w:rPr>
        <w:rFonts w:hint="default" w:ascii="Times New Roman" w:hAnsi="Times New Roman"/>
      </w:rPr>
    </w:lvl>
  </w:abstractNum>
  <w:abstractNum w:abstractNumId="2">
    <w:nsid w:val="00000033"/>
    <w:multiLevelType w:val="multilevel"/>
    <w:tmpl w:val="00000033"/>
    <w:lvl w:ilvl="0" w:tentative="0">
      <w:start w:val="0"/>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pStyle w:val="5"/>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12E91B47"/>
    <w:multiLevelType w:val="multilevel"/>
    <w:tmpl w:val="12E91B47"/>
    <w:lvl w:ilvl="0" w:tentative="0">
      <w:start w:val="3"/>
      <w:numFmt w:val="decimal"/>
      <w:lvlText w:val="%1、"/>
      <w:lvlJc w:val="left"/>
      <w:pPr>
        <w:ind w:left="845" w:hanging="375"/>
      </w:pPr>
      <w:rPr>
        <w:rFonts w:hint="default"/>
      </w:rPr>
    </w:lvl>
    <w:lvl w:ilvl="1" w:tentative="0">
      <w:start w:val="1"/>
      <w:numFmt w:val="lowerLetter"/>
      <w:lvlText w:val="%2)"/>
      <w:lvlJc w:val="left"/>
      <w:pPr>
        <w:ind w:left="1310" w:hanging="420"/>
      </w:pPr>
    </w:lvl>
    <w:lvl w:ilvl="2" w:tentative="0">
      <w:start w:val="1"/>
      <w:numFmt w:val="lowerRoman"/>
      <w:lvlText w:val="%3."/>
      <w:lvlJc w:val="right"/>
      <w:pPr>
        <w:ind w:left="1730" w:hanging="420"/>
      </w:pPr>
    </w:lvl>
    <w:lvl w:ilvl="3" w:tentative="0">
      <w:start w:val="1"/>
      <w:numFmt w:val="decimal"/>
      <w:lvlText w:val="%4."/>
      <w:lvlJc w:val="left"/>
      <w:pPr>
        <w:ind w:left="2150" w:hanging="420"/>
      </w:pPr>
    </w:lvl>
    <w:lvl w:ilvl="4" w:tentative="0">
      <w:start w:val="1"/>
      <w:numFmt w:val="lowerLetter"/>
      <w:lvlText w:val="%5)"/>
      <w:lvlJc w:val="left"/>
      <w:pPr>
        <w:ind w:left="2570" w:hanging="420"/>
      </w:pPr>
    </w:lvl>
    <w:lvl w:ilvl="5" w:tentative="0">
      <w:start w:val="1"/>
      <w:numFmt w:val="lowerRoman"/>
      <w:lvlText w:val="%6."/>
      <w:lvlJc w:val="right"/>
      <w:pPr>
        <w:ind w:left="2990" w:hanging="420"/>
      </w:pPr>
    </w:lvl>
    <w:lvl w:ilvl="6" w:tentative="0">
      <w:start w:val="1"/>
      <w:numFmt w:val="decimal"/>
      <w:lvlText w:val="%7."/>
      <w:lvlJc w:val="left"/>
      <w:pPr>
        <w:ind w:left="3410" w:hanging="420"/>
      </w:pPr>
    </w:lvl>
    <w:lvl w:ilvl="7" w:tentative="0">
      <w:start w:val="1"/>
      <w:numFmt w:val="lowerLetter"/>
      <w:lvlText w:val="%8)"/>
      <w:lvlJc w:val="left"/>
      <w:pPr>
        <w:ind w:left="3830" w:hanging="420"/>
      </w:pPr>
    </w:lvl>
    <w:lvl w:ilvl="8" w:tentative="0">
      <w:start w:val="1"/>
      <w:numFmt w:val="lowerRoman"/>
      <w:lvlText w:val="%9."/>
      <w:lvlJc w:val="right"/>
      <w:pPr>
        <w:ind w:left="425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31C"/>
    <w:rsid w:val="000007CC"/>
    <w:rsid w:val="00003628"/>
    <w:rsid w:val="00006687"/>
    <w:rsid w:val="000075F3"/>
    <w:rsid w:val="0001002B"/>
    <w:rsid w:val="00010A57"/>
    <w:rsid w:val="000127E4"/>
    <w:rsid w:val="000138E3"/>
    <w:rsid w:val="000146A8"/>
    <w:rsid w:val="00014DDA"/>
    <w:rsid w:val="0001571B"/>
    <w:rsid w:val="00015E58"/>
    <w:rsid w:val="000169CE"/>
    <w:rsid w:val="00016A9B"/>
    <w:rsid w:val="00017532"/>
    <w:rsid w:val="000178C1"/>
    <w:rsid w:val="00017CDA"/>
    <w:rsid w:val="000209BC"/>
    <w:rsid w:val="00020A62"/>
    <w:rsid w:val="0002187F"/>
    <w:rsid w:val="00021994"/>
    <w:rsid w:val="000220BC"/>
    <w:rsid w:val="000232AF"/>
    <w:rsid w:val="000238C8"/>
    <w:rsid w:val="00023E36"/>
    <w:rsid w:val="00024576"/>
    <w:rsid w:val="00026048"/>
    <w:rsid w:val="000278AB"/>
    <w:rsid w:val="00027977"/>
    <w:rsid w:val="000279A9"/>
    <w:rsid w:val="0003154B"/>
    <w:rsid w:val="00032ACE"/>
    <w:rsid w:val="00033EB7"/>
    <w:rsid w:val="0003436F"/>
    <w:rsid w:val="00035D9A"/>
    <w:rsid w:val="0003712F"/>
    <w:rsid w:val="000374AF"/>
    <w:rsid w:val="00040D68"/>
    <w:rsid w:val="00041F8E"/>
    <w:rsid w:val="000421B4"/>
    <w:rsid w:val="00044D4F"/>
    <w:rsid w:val="00046689"/>
    <w:rsid w:val="0004771F"/>
    <w:rsid w:val="00050AE1"/>
    <w:rsid w:val="00051C5C"/>
    <w:rsid w:val="00051D41"/>
    <w:rsid w:val="00052113"/>
    <w:rsid w:val="00053369"/>
    <w:rsid w:val="0005359B"/>
    <w:rsid w:val="0005365A"/>
    <w:rsid w:val="000544CB"/>
    <w:rsid w:val="000557BE"/>
    <w:rsid w:val="000558A8"/>
    <w:rsid w:val="000570DE"/>
    <w:rsid w:val="000574F4"/>
    <w:rsid w:val="000577C2"/>
    <w:rsid w:val="00057A31"/>
    <w:rsid w:val="00060594"/>
    <w:rsid w:val="000607F4"/>
    <w:rsid w:val="00060900"/>
    <w:rsid w:val="000610D2"/>
    <w:rsid w:val="00062341"/>
    <w:rsid w:val="0006274B"/>
    <w:rsid w:val="00063142"/>
    <w:rsid w:val="00063516"/>
    <w:rsid w:val="000636B9"/>
    <w:rsid w:val="0006550E"/>
    <w:rsid w:val="00065934"/>
    <w:rsid w:val="00065FE3"/>
    <w:rsid w:val="000662E3"/>
    <w:rsid w:val="00066A4E"/>
    <w:rsid w:val="00067B6F"/>
    <w:rsid w:val="00070CB9"/>
    <w:rsid w:val="00070EC4"/>
    <w:rsid w:val="00071C90"/>
    <w:rsid w:val="00072E2D"/>
    <w:rsid w:val="00074717"/>
    <w:rsid w:val="00074EBF"/>
    <w:rsid w:val="00074EC6"/>
    <w:rsid w:val="00075219"/>
    <w:rsid w:val="00075B49"/>
    <w:rsid w:val="00075D6A"/>
    <w:rsid w:val="0007649D"/>
    <w:rsid w:val="00076ABA"/>
    <w:rsid w:val="00076F74"/>
    <w:rsid w:val="00077DF1"/>
    <w:rsid w:val="000808DC"/>
    <w:rsid w:val="00080BF5"/>
    <w:rsid w:val="0008152A"/>
    <w:rsid w:val="0008187B"/>
    <w:rsid w:val="00081B5F"/>
    <w:rsid w:val="00082C98"/>
    <w:rsid w:val="0008328A"/>
    <w:rsid w:val="000841B6"/>
    <w:rsid w:val="0008557A"/>
    <w:rsid w:val="00086777"/>
    <w:rsid w:val="00086E68"/>
    <w:rsid w:val="00087F7C"/>
    <w:rsid w:val="00090CEF"/>
    <w:rsid w:val="00091D27"/>
    <w:rsid w:val="000923E7"/>
    <w:rsid w:val="00092858"/>
    <w:rsid w:val="000940B6"/>
    <w:rsid w:val="00094958"/>
    <w:rsid w:val="00095473"/>
    <w:rsid w:val="000A2037"/>
    <w:rsid w:val="000A5145"/>
    <w:rsid w:val="000A5B4E"/>
    <w:rsid w:val="000A637E"/>
    <w:rsid w:val="000A7242"/>
    <w:rsid w:val="000B0117"/>
    <w:rsid w:val="000B01AD"/>
    <w:rsid w:val="000B0509"/>
    <w:rsid w:val="000B0E50"/>
    <w:rsid w:val="000B4089"/>
    <w:rsid w:val="000B4390"/>
    <w:rsid w:val="000B6043"/>
    <w:rsid w:val="000B66FB"/>
    <w:rsid w:val="000B6960"/>
    <w:rsid w:val="000B72D0"/>
    <w:rsid w:val="000C030F"/>
    <w:rsid w:val="000C059F"/>
    <w:rsid w:val="000C16F1"/>
    <w:rsid w:val="000C1CA0"/>
    <w:rsid w:val="000C393D"/>
    <w:rsid w:val="000C4089"/>
    <w:rsid w:val="000C6869"/>
    <w:rsid w:val="000D21C2"/>
    <w:rsid w:val="000D28F9"/>
    <w:rsid w:val="000D3D92"/>
    <w:rsid w:val="000D4D12"/>
    <w:rsid w:val="000D58D8"/>
    <w:rsid w:val="000D5C82"/>
    <w:rsid w:val="000D6528"/>
    <w:rsid w:val="000D7941"/>
    <w:rsid w:val="000D7BEB"/>
    <w:rsid w:val="000D7F4A"/>
    <w:rsid w:val="000E135B"/>
    <w:rsid w:val="000E2E15"/>
    <w:rsid w:val="000E3D47"/>
    <w:rsid w:val="000E4170"/>
    <w:rsid w:val="000E426A"/>
    <w:rsid w:val="000E4596"/>
    <w:rsid w:val="000E6050"/>
    <w:rsid w:val="000E6260"/>
    <w:rsid w:val="000E674A"/>
    <w:rsid w:val="000E73F8"/>
    <w:rsid w:val="000F2111"/>
    <w:rsid w:val="000F22AE"/>
    <w:rsid w:val="000F3C70"/>
    <w:rsid w:val="000F5021"/>
    <w:rsid w:val="000F56BB"/>
    <w:rsid w:val="000F683B"/>
    <w:rsid w:val="000F7CB1"/>
    <w:rsid w:val="000F7FB8"/>
    <w:rsid w:val="00100641"/>
    <w:rsid w:val="00100EC0"/>
    <w:rsid w:val="001018E1"/>
    <w:rsid w:val="00101D09"/>
    <w:rsid w:val="00104A7F"/>
    <w:rsid w:val="00104AB8"/>
    <w:rsid w:val="00105BFA"/>
    <w:rsid w:val="00105D8D"/>
    <w:rsid w:val="00106B78"/>
    <w:rsid w:val="00111835"/>
    <w:rsid w:val="00111AC0"/>
    <w:rsid w:val="001121D2"/>
    <w:rsid w:val="00112502"/>
    <w:rsid w:val="00112B79"/>
    <w:rsid w:val="001135CF"/>
    <w:rsid w:val="001136A0"/>
    <w:rsid w:val="001150C4"/>
    <w:rsid w:val="00115448"/>
    <w:rsid w:val="00115CBA"/>
    <w:rsid w:val="001176B4"/>
    <w:rsid w:val="00122DE0"/>
    <w:rsid w:val="00123AF7"/>
    <w:rsid w:val="001250A4"/>
    <w:rsid w:val="001251D2"/>
    <w:rsid w:val="001274D7"/>
    <w:rsid w:val="001305C0"/>
    <w:rsid w:val="00130873"/>
    <w:rsid w:val="00130C66"/>
    <w:rsid w:val="001355B8"/>
    <w:rsid w:val="00135C18"/>
    <w:rsid w:val="00136F54"/>
    <w:rsid w:val="001409A8"/>
    <w:rsid w:val="00140A13"/>
    <w:rsid w:val="00140F47"/>
    <w:rsid w:val="0014117B"/>
    <w:rsid w:val="0014235D"/>
    <w:rsid w:val="001425C9"/>
    <w:rsid w:val="0014430D"/>
    <w:rsid w:val="0014503E"/>
    <w:rsid w:val="001453B6"/>
    <w:rsid w:val="00145807"/>
    <w:rsid w:val="00145A2B"/>
    <w:rsid w:val="00151499"/>
    <w:rsid w:val="0015166F"/>
    <w:rsid w:val="00151D59"/>
    <w:rsid w:val="001535F5"/>
    <w:rsid w:val="001539A5"/>
    <w:rsid w:val="0015420E"/>
    <w:rsid w:val="00154737"/>
    <w:rsid w:val="00155481"/>
    <w:rsid w:val="00155770"/>
    <w:rsid w:val="0015612B"/>
    <w:rsid w:val="00157462"/>
    <w:rsid w:val="001620B6"/>
    <w:rsid w:val="00162625"/>
    <w:rsid w:val="00162D4B"/>
    <w:rsid w:val="00162DCB"/>
    <w:rsid w:val="001643B1"/>
    <w:rsid w:val="0016560B"/>
    <w:rsid w:val="00167172"/>
    <w:rsid w:val="001676A0"/>
    <w:rsid w:val="00167A73"/>
    <w:rsid w:val="00171B4D"/>
    <w:rsid w:val="00171F58"/>
    <w:rsid w:val="00172A27"/>
    <w:rsid w:val="00173815"/>
    <w:rsid w:val="00173E19"/>
    <w:rsid w:val="0017505F"/>
    <w:rsid w:val="00175F3F"/>
    <w:rsid w:val="001760B5"/>
    <w:rsid w:val="00176F7A"/>
    <w:rsid w:val="00176FFC"/>
    <w:rsid w:val="001772B9"/>
    <w:rsid w:val="00180F3B"/>
    <w:rsid w:val="0018131E"/>
    <w:rsid w:val="00182116"/>
    <w:rsid w:val="00182FCB"/>
    <w:rsid w:val="0018374C"/>
    <w:rsid w:val="00184192"/>
    <w:rsid w:val="001847C8"/>
    <w:rsid w:val="0018484E"/>
    <w:rsid w:val="00185E54"/>
    <w:rsid w:val="00185E8D"/>
    <w:rsid w:val="001861FB"/>
    <w:rsid w:val="00186E82"/>
    <w:rsid w:val="001870BD"/>
    <w:rsid w:val="00187553"/>
    <w:rsid w:val="00187C9F"/>
    <w:rsid w:val="00187E2A"/>
    <w:rsid w:val="00190214"/>
    <w:rsid w:val="00190D8C"/>
    <w:rsid w:val="00192017"/>
    <w:rsid w:val="00192A2D"/>
    <w:rsid w:val="0019496F"/>
    <w:rsid w:val="001A0F51"/>
    <w:rsid w:val="001A1326"/>
    <w:rsid w:val="001A1E4B"/>
    <w:rsid w:val="001A313E"/>
    <w:rsid w:val="001A3F3A"/>
    <w:rsid w:val="001A3F79"/>
    <w:rsid w:val="001A504D"/>
    <w:rsid w:val="001A509F"/>
    <w:rsid w:val="001A6092"/>
    <w:rsid w:val="001A609C"/>
    <w:rsid w:val="001A6299"/>
    <w:rsid w:val="001A7036"/>
    <w:rsid w:val="001B0E95"/>
    <w:rsid w:val="001B2E0C"/>
    <w:rsid w:val="001B4275"/>
    <w:rsid w:val="001B7F43"/>
    <w:rsid w:val="001C2716"/>
    <w:rsid w:val="001C29B3"/>
    <w:rsid w:val="001C2BB3"/>
    <w:rsid w:val="001C5BB8"/>
    <w:rsid w:val="001C79E2"/>
    <w:rsid w:val="001C7C93"/>
    <w:rsid w:val="001D1331"/>
    <w:rsid w:val="001D227C"/>
    <w:rsid w:val="001D3991"/>
    <w:rsid w:val="001D4CD2"/>
    <w:rsid w:val="001E0FB9"/>
    <w:rsid w:val="001E15D0"/>
    <w:rsid w:val="001E2EB7"/>
    <w:rsid w:val="001E5CDF"/>
    <w:rsid w:val="001E6733"/>
    <w:rsid w:val="001E6998"/>
    <w:rsid w:val="001E6A66"/>
    <w:rsid w:val="001E73A8"/>
    <w:rsid w:val="001F0D2F"/>
    <w:rsid w:val="001F0E5E"/>
    <w:rsid w:val="001F0ED3"/>
    <w:rsid w:val="001F1A4E"/>
    <w:rsid w:val="001F1A6C"/>
    <w:rsid w:val="001F436C"/>
    <w:rsid w:val="001F5024"/>
    <w:rsid w:val="001F5E11"/>
    <w:rsid w:val="001F5E49"/>
    <w:rsid w:val="001F6EF2"/>
    <w:rsid w:val="001F7354"/>
    <w:rsid w:val="001F7447"/>
    <w:rsid w:val="00201AEB"/>
    <w:rsid w:val="0020248A"/>
    <w:rsid w:val="0020248F"/>
    <w:rsid w:val="00202DE1"/>
    <w:rsid w:val="00203A58"/>
    <w:rsid w:val="00205264"/>
    <w:rsid w:val="00205890"/>
    <w:rsid w:val="00205CB2"/>
    <w:rsid w:val="00207434"/>
    <w:rsid w:val="00207CBF"/>
    <w:rsid w:val="00211548"/>
    <w:rsid w:val="00211D2A"/>
    <w:rsid w:val="0021309F"/>
    <w:rsid w:val="00213B3D"/>
    <w:rsid w:val="00213C9C"/>
    <w:rsid w:val="002156D5"/>
    <w:rsid w:val="00215998"/>
    <w:rsid w:val="00217D92"/>
    <w:rsid w:val="00220423"/>
    <w:rsid w:val="00220FD3"/>
    <w:rsid w:val="0022219B"/>
    <w:rsid w:val="00222CFC"/>
    <w:rsid w:val="002230F2"/>
    <w:rsid w:val="002239DD"/>
    <w:rsid w:val="00224AE6"/>
    <w:rsid w:val="002270FF"/>
    <w:rsid w:val="00230926"/>
    <w:rsid w:val="00230C79"/>
    <w:rsid w:val="00230E39"/>
    <w:rsid w:val="0023141C"/>
    <w:rsid w:val="002332B6"/>
    <w:rsid w:val="00233591"/>
    <w:rsid w:val="0023478D"/>
    <w:rsid w:val="00234CBD"/>
    <w:rsid w:val="00235F54"/>
    <w:rsid w:val="00236AE3"/>
    <w:rsid w:val="00241FCC"/>
    <w:rsid w:val="00241FFF"/>
    <w:rsid w:val="00242077"/>
    <w:rsid w:val="00242622"/>
    <w:rsid w:val="00242BD7"/>
    <w:rsid w:val="00242D6F"/>
    <w:rsid w:val="002441E2"/>
    <w:rsid w:val="00244FFB"/>
    <w:rsid w:val="002454B4"/>
    <w:rsid w:val="00245510"/>
    <w:rsid w:val="002455B2"/>
    <w:rsid w:val="0024585D"/>
    <w:rsid w:val="002468CF"/>
    <w:rsid w:val="002468F7"/>
    <w:rsid w:val="00246D25"/>
    <w:rsid w:val="00247180"/>
    <w:rsid w:val="00247E42"/>
    <w:rsid w:val="0025054D"/>
    <w:rsid w:val="00251B6B"/>
    <w:rsid w:val="0025274D"/>
    <w:rsid w:val="00254DFC"/>
    <w:rsid w:val="00254E16"/>
    <w:rsid w:val="0025567D"/>
    <w:rsid w:val="002603F6"/>
    <w:rsid w:val="00260981"/>
    <w:rsid w:val="0026115F"/>
    <w:rsid w:val="00261739"/>
    <w:rsid w:val="002623B6"/>
    <w:rsid w:val="00262CB0"/>
    <w:rsid w:val="0026362E"/>
    <w:rsid w:val="00266E6A"/>
    <w:rsid w:val="00271F7A"/>
    <w:rsid w:val="00274034"/>
    <w:rsid w:val="0027435E"/>
    <w:rsid w:val="0027488D"/>
    <w:rsid w:val="00274F2E"/>
    <w:rsid w:val="00276163"/>
    <w:rsid w:val="00277088"/>
    <w:rsid w:val="002771C6"/>
    <w:rsid w:val="00280E27"/>
    <w:rsid w:val="002813FE"/>
    <w:rsid w:val="00281DA6"/>
    <w:rsid w:val="0028306A"/>
    <w:rsid w:val="00283267"/>
    <w:rsid w:val="0028385B"/>
    <w:rsid w:val="00284161"/>
    <w:rsid w:val="0028589B"/>
    <w:rsid w:val="00286216"/>
    <w:rsid w:val="00290212"/>
    <w:rsid w:val="00291780"/>
    <w:rsid w:val="00291FFF"/>
    <w:rsid w:val="002929B3"/>
    <w:rsid w:val="00297B41"/>
    <w:rsid w:val="002A11C2"/>
    <w:rsid w:val="002A12DC"/>
    <w:rsid w:val="002A1718"/>
    <w:rsid w:val="002A17CD"/>
    <w:rsid w:val="002A1830"/>
    <w:rsid w:val="002A20F1"/>
    <w:rsid w:val="002A4B3B"/>
    <w:rsid w:val="002A52AA"/>
    <w:rsid w:val="002A7B42"/>
    <w:rsid w:val="002B12E3"/>
    <w:rsid w:val="002B14EF"/>
    <w:rsid w:val="002B3089"/>
    <w:rsid w:val="002B3851"/>
    <w:rsid w:val="002B4AB0"/>
    <w:rsid w:val="002B5508"/>
    <w:rsid w:val="002B5E63"/>
    <w:rsid w:val="002B7DBE"/>
    <w:rsid w:val="002C0D6C"/>
    <w:rsid w:val="002C3883"/>
    <w:rsid w:val="002C3D4D"/>
    <w:rsid w:val="002C5C92"/>
    <w:rsid w:val="002C72E0"/>
    <w:rsid w:val="002C7526"/>
    <w:rsid w:val="002D0EFF"/>
    <w:rsid w:val="002D12E2"/>
    <w:rsid w:val="002D1AA9"/>
    <w:rsid w:val="002D22A7"/>
    <w:rsid w:val="002D280B"/>
    <w:rsid w:val="002D34A1"/>
    <w:rsid w:val="002D355F"/>
    <w:rsid w:val="002D5457"/>
    <w:rsid w:val="002D5DE1"/>
    <w:rsid w:val="002D75F0"/>
    <w:rsid w:val="002E0137"/>
    <w:rsid w:val="002E1A24"/>
    <w:rsid w:val="002E4D91"/>
    <w:rsid w:val="002E52E8"/>
    <w:rsid w:val="002E5A32"/>
    <w:rsid w:val="002E626B"/>
    <w:rsid w:val="002E70A2"/>
    <w:rsid w:val="002E79DD"/>
    <w:rsid w:val="002F25A8"/>
    <w:rsid w:val="002F3A6D"/>
    <w:rsid w:val="002F4561"/>
    <w:rsid w:val="002F5575"/>
    <w:rsid w:val="002F59A8"/>
    <w:rsid w:val="002F5B88"/>
    <w:rsid w:val="002F6B75"/>
    <w:rsid w:val="002F6E84"/>
    <w:rsid w:val="002F77E4"/>
    <w:rsid w:val="0030003D"/>
    <w:rsid w:val="0030023E"/>
    <w:rsid w:val="00300633"/>
    <w:rsid w:val="003008A0"/>
    <w:rsid w:val="00302598"/>
    <w:rsid w:val="00302AA7"/>
    <w:rsid w:val="00303601"/>
    <w:rsid w:val="00303BBB"/>
    <w:rsid w:val="00304761"/>
    <w:rsid w:val="003055A1"/>
    <w:rsid w:val="0030586A"/>
    <w:rsid w:val="0030627A"/>
    <w:rsid w:val="00306DD7"/>
    <w:rsid w:val="0030756D"/>
    <w:rsid w:val="00307F03"/>
    <w:rsid w:val="00310948"/>
    <w:rsid w:val="00311474"/>
    <w:rsid w:val="00313443"/>
    <w:rsid w:val="00313548"/>
    <w:rsid w:val="00315464"/>
    <w:rsid w:val="00315CCB"/>
    <w:rsid w:val="003178BE"/>
    <w:rsid w:val="003207AC"/>
    <w:rsid w:val="00320DDF"/>
    <w:rsid w:val="00320F00"/>
    <w:rsid w:val="003233A5"/>
    <w:rsid w:val="00324519"/>
    <w:rsid w:val="0032598F"/>
    <w:rsid w:val="00326D0B"/>
    <w:rsid w:val="0032711E"/>
    <w:rsid w:val="003275F6"/>
    <w:rsid w:val="00327704"/>
    <w:rsid w:val="00330C9E"/>
    <w:rsid w:val="00331743"/>
    <w:rsid w:val="0033189E"/>
    <w:rsid w:val="0033298F"/>
    <w:rsid w:val="00332F9A"/>
    <w:rsid w:val="003330D9"/>
    <w:rsid w:val="00333877"/>
    <w:rsid w:val="003352EE"/>
    <w:rsid w:val="00336CC1"/>
    <w:rsid w:val="00337201"/>
    <w:rsid w:val="00340067"/>
    <w:rsid w:val="00342455"/>
    <w:rsid w:val="00343D81"/>
    <w:rsid w:val="00344F5F"/>
    <w:rsid w:val="00345575"/>
    <w:rsid w:val="0034621B"/>
    <w:rsid w:val="0034688D"/>
    <w:rsid w:val="00347DC4"/>
    <w:rsid w:val="00347F52"/>
    <w:rsid w:val="00351528"/>
    <w:rsid w:val="00351B0E"/>
    <w:rsid w:val="003523E8"/>
    <w:rsid w:val="00353D31"/>
    <w:rsid w:val="003540D3"/>
    <w:rsid w:val="0035623A"/>
    <w:rsid w:val="00356B46"/>
    <w:rsid w:val="00356B72"/>
    <w:rsid w:val="00357664"/>
    <w:rsid w:val="00360E9F"/>
    <w:rsid w:val="0036148C"/>
    <w:rsid w:val="00362409"/>
    <w:rsid w:val="00362595"/>
    <w:rsid w:val="00362FE3"/>
    <w:rsid w:val="003633C3"/>
    <w:rsid w:val="00363670"/>
    <w:rsid w:val="0036371A"/>
    <w:rsid w:val="00365F3E"/>
    <w:rsid w:val="0036623A"/>
    <w:rsid w:val="0036649C"/>
    <w:rsid w:val="00370746"/>
    <w:rsid w:val="00370E19"/>
    <w:rsid w:val="003715E9"/>
    <w:rsid w:val="0037201C"/>
    <w:rsid w:val="00373F4D"/>
    <w:rsid w:val="003748DB"/>
    <w:rsid w:val="00374AFA"/>
    <w:rsid w:val="0037525F"/>
    <w:rsid w:val="003753B1"/>
    <w:rsid w:val="00375680"/>
    <w:rsid w:val="00375D1B"/>
    <w:rsid w:val="0037753E"/>
    <w:rsid w:val="00381C7E"/>
    <w:rsid w:val="00382E6E"/>
    <w:rsid w:val="0038477D"/>
    <w:rsid w:val="0038481A"/>
    <w:rsid w:val="00384DEF"/>
    <w:rsid w:val="003853D3"/>
    <w:rsid w:val="00385CDB"/>
    <w:rsid w:val="00385DE7"/>
    <w:rsid w:val="00387603"/>
    <w:rsid w:val="0038799D"/>
    <w:rsid w:val="00390159"/>
    <w:rsid w:val="00390441"/>
    <w:rsid w:val="0039142E"/>
    <w:rsid w:val="00392416"/>
    <w:rsid w:val="00394C55"/>
    <w:rsid w:val="00395FA7"/>
    <w:rsid w:val="0039696F"/>
    <w:rsid w:val="00397361"/>
    <w:rsid w:val="00397E38"/>
    <w:rsid w:val="003A0265"/>
    <w:rsid w:val="003A1C0B"/>
    <w:rsid w:val="003A2B1F"/>
    <w:rsid w:val="003A30BC"/>
    <w:rsid w:val="003A396D"/>
    <w:rsid w:val="003A44C0"/>
    <w:rsid w:val="003A6065"/>
    <w:rsid w:val="003A65C5"/>
    <w:rsid w:val="003B1C2D"/>
    <w:rsid w:val="003B3B19"/>
    <w:rsid w:val="003B52A5"/>
    <w:rsid w:val="003B5610"/>
    <w:rsid w:val="003B5870"/>
    <w:rsid w:val="003B58D7"/>
    <w:rsid w:val="003B64F7"/>
    <w:rsid w:val="003B7A6B"/>
    <w:rsid w:val="003C095B"/>
    <w:rsid w:val="003C0F59"/>
    <w:rsid w:val="003C0FA6"/>
    <w:rsid w:val="003C184F"/>
    <w:rsid w:val="003C18EB"/>
    <w:rsid w:val="003C19BF"/>
    <w:rsid w:val="003C1A1B"/>
    <w:rsid w:val="003C2632"/>
    <w:rsid w:val="003C326E"/>
    <w:rsid w:val="003C49FD"/>
    <w:rsid w:val="003C62AD"/>
    <w:rsid w:val="003C6DB6"/>
    <w:rsid w:val="003C72E0"/>
    <w:rsid w:val="003D0C4D"/>
    <w:rsid w:val="003D1503"/>
    <w:rsid w:val="003D175E"/>
    <w:rsid w:val="003D2AE5"/>
    <w:rsid w:val="003D2E79"/>
    <w:rsid w:val="003D2E8B"/>
    <w:rsid w:val="003D459A"/>
    <w:rsid w:val="003D4FCB"/>
    <w:rsid w:val="003D536C"/>
    <w:rsid w:val="003D5582"/>
    <w:rsid w:val="003D59D8"/>
    <w:rsid w:val="003D6D19"/>
    <w:rsid w:val="003E225A"/>
    <w:rsid w:val="003E2553"/>
    <w:rsid w:val="003E36A7"/>
    <w:rsid w:val="003E371B"/>
    <w:rsid w:val="003E3F61"/>
    <w:rsid w:val="003E4314"/>
    <w:rsid w:val="003E4C7A"/>
    <w:rsid w:val="003E6885"/>
    <w:rsid w:val="003F2004"/>
    <w:rsid w:val="003F2620"/>
    <w:rsid w:val="003F38A1"/>
    <w:rsid w:val="003F3C38"/>
    <w:rsid w:val="003F4340"/>
    <w:rsid w:val="003F5759"/>
    <w:rsid w:val="003F57E5"/>
    <w:rsid w:val="003F5D13"/>
    <w:rsid w:val="003F6E9C"/>
    <w:rsid w:val="003F73DD"/>
    <w:rsid w:val="003F7CFD"/>
    <w:rsid w:val="003F7D0D"/>
    <w:rsid w:val="00403353"/>
    <w:rsid w:val="004046EC"/>
    <w:rsid w:val="00405261"/>
    <w:rsid w:val="00407606"/>
    <w:rsid w:val="004104A7"/>
    <w:rsid w:val="00410967"/>
    <w:rsid w:val="004116B1"/>
    <w:rsid w:val="00412384"/>
    <w:rsid w:val="004131FB"/>
    <w:rsid w:val="0041478E"/>
    <w:rsid w:val="00414A75"/>
    <w:rsid w:val="004173E3"/>
    <w:rsid w:val="00417556"/>
    <w:rsid w:val="00420BEE"/>
    <w:rsid w:val="00421964"/>
    <w:rsid w:val="00421FAA"/>
    <w:rsid w:val="00422A80"/>
    <w:rsid w:val="0042354B"/>
    <w:rsid w:val="00423CDE"/>
    <w:rsid w:val="0042410D"/>
    <w:rsid w:val="0042428F"/>
    <w:rsid w:val="0042648E"/>
    <w:rsid w:val="00426813"/>
    <w:rsid w:val="004271B3"/>
    <w:rsid w:val="00427A6C"/>
    <w:rsid w:val="0043122C"/>
    <w:rsid w:val="00433DC1"/>
    <w:rsid w:val="004343E0"/>
    <w:rsid w:val="0043554E"/>
    <w:rsid w:val="00435AED"/>
    <w:rsid w:val="00436204"/>
    <w:rsid w:val="00436879"/>
    <w:rsid w:val="0043709E"/>
    <w:rsid w:val="00440741"/>
    <w:rsid w:val="004408DB"/>
    <w:rsid w:val="00442EE8"/>
    <w:rsid w:val="00443577"/>
    <w:rsid w:val="00443841"/>
    <w:rsid w:val="00443858"/>
    <w:rsid w:val="00444005"/>
    <w:rsid w:val="00445CE3"/>
    <w:rsid w:val="00446436"/>
    <w:rsid w:val="00447121"/>
    <w:rsid w:val="00447449"/>
    <w:rsid w:val="00451C1D"/>
    <w:rsid w:val="00452381"/>
    <w:rsid w:val="00452540"/>
    <w:rsid w:val="00452AAE"/>
    <w:rsid w:val="0045337B"/>
    <w:rsid w:val="004541FF"/>
    <w:rsid w:val="00455E8C"/>
    <w:rsid w:val="00455F96"/>
    <w:rsid w:val="0045661F"/>
    <w:rsid w:val="00456962"/>
    <w:rsid w:val="00456B9C"/>
    <w:rsid w:val="00457758"/>
    <w:rsid w:val="004579E0"/>
    <w:rsid w:val="00457A09"/>
    <w:rsid w:val="00460693"/>
    <w:rsid w:val="0046148C"/>
    <w:rsid w:val="00463814"/>
    <w:rsid w:val="004638B4"/>
    <w:rsid w:val="00463C12"/>
    <w:rsid w:val="00464CB3"/>
    <w:rsid w:val="004655E4"/>
    <w:rsid w:val="00466597"/>
    <w:rsid w:val="004678CF"/>
    <w:rsid w:val="004703BC"/>
    <w:rsid w:val="00470885"/>
    <w:rsid w:val="0047100A"/>
    <w:rsid w:val="00471427"/>
    <w:rsid w:val="00471A3A"/>
    <w:rsid w:val="00471A3C"/>
    <w:rsid w:val="00471CDB"/>
    <w:rsid w:val="00472206"/>
    <w:rsid w:val="00473FB5"/>
    <w:rsid w:val="004745BC"/>
    <w:rsid w:val="00474D1E"/>
    <w:rsid w:val="00474FE1"/>
    <w:rsid w:val="00477DF8"/>
    <w:rsid w:val="0048052A"/>
    <w:rsid w:val="00480D74"/>
    <w:rsid w:val="004815F5"/>
    <w:rsid w:val="00481F2A"/>
    <w:rsid w:val="00484568"/>
    <w:rsid w:val="00485A2F"/>
    <w:rsid w:val="00485D57"/>
    <w:rsid w:val="00485D9E"/>
    <w:rsid w:val="004909E9"/>
    <w:rsid w:val="004918D9"/>
    <w:rsid w:val="00492145"/>
    <w:rsid w:val="004938A4"/>
    <w:rsid w:val="00493F95"/>
    <w:rsid w:val="00494F80"/>
    <w:rsid w:val="00495094"/>
    <w:rsid w:val="00495381"/>
    <w:rsid w:val="004972AE"/>
    <w:rsid w:val="004A0AF9"/>
    <w:rsid w:val="004A0FD7"/>
    <w:rsid w:val="004A18BE"/>
    <w:rsid w:val="004A19B7"/>
    <w:rsid w:val="004A209B"/>
    <w:rsid w:val="004A2390"/>
    <w:rsid w:val="004A26AA"/>
    <w:rsid w:val="004A2A02"/>
    <w:rsid w:val="004A3AC9"/>
    <w:rsid w:val="004A41AD"/>
    <w:rsid w:val="004A5042"/>
    <w:rsid w:val="004A5467"/>
    <w:rsid w:val="004A6F80"/>
    <w:rsid w:val="004A6FB1"/>
    <w:rsid w:val="004B0393"/>
    <w:rsid w:val="004B470B"/>
    <w:rsid w:val="004B6667"/>
    <w:rsid w:val="004B79C5"/>
    <w:rsid w:val="004C0B2F"/>
    <w:rsid w:val="004C20FD"/>
    <w:rsid w:val="004C2A72"/>
    <w:rsid w:val="004C32E2"/>
    <w:rsid w:val="004C3CFC"/>
    <w:rsid w:val="004C3FE8"/>
    <w:rsid w:val="004C4A46"/>
    <w:rsid w:val="004C6D6E"/>
    <w:rsid w:val="004C735B"/>
    <w:rsid w:val="004D013F"/>
    <w:rsid w:val="004D0D2D"/>
    <w:rsid w:val="004D1E9F"/>
    <w:rsid w:val="004D4570"/>
    <w:rsid w:val="004D5C4D"/>
    <w:rsid w:val="004D620F"/>
    <w:rsid w:val="004D7057"/>
    <w:rsid w:val="004E0081"/>
    <w:rsid w:val="004E010D"/>
    <w:rsid w:val="004E0F76"/>
    <w:rsid w:val="004E1DED"/>
    <w:rsid w:val="004E21D4"/>
    <w:rsid w:val="004E249B"/>
    <w:rsid w:val="004E2BA0"/>
    <w:rsid w:val="004E2C3D"/>
    <w:rsid w:val="004E3037"/>
    <w:rsid w:val="004E37A6"/>
    <w:rsid w:val="004E39AF"/>
    <w:rsid w:val="004E62D8"/>
    <w:rsid w:val="004E6D87"/>
    <w:rsid w:val="004E7CA4"/>
    <w:rsid w:val="004E7CBE"/>
    <w:rsid w:val="004F0AB9"/>
    <w:rsid w:val="004F287C"/>
    <w:rsid w:val="004F3C0A"/>
    <w:rsid w:val="004F4E64"/>
    <w:rsid w:val="004F5E75"/>
    <w:rsid w:val="004F65B9"/>
    <w:rsid w:val="004F741C"/>
    <w:rsid w:val="005012A0"/>
    <w:rsid w:val="00501F8A"/>
    <w:rsid w:val="00502140"/>
    <w:rsid w:val="005025C0"/>
    <w:rsid w:val="00502B41"/>
    <w:rsid w:val="005035B3"/>
    <w:rsid w:val="00504177"/>
    <w:rsid w:val="005050FA"/>
    <w:rsid w:val="005052F1"/>
    <w:rsid w:val="0050568F"/>
    <w:rsid w:val="00505E73"/>
    <w:rsid w:val="00510BA8"/>
    <w:rsid w:val="00512625"/>
    <w:rsid w:val="00514834"/>
    <w:rsid w:val="00514DBA"/>
    <w:rsid w:val="005163DC"/>
    <w:rsid w:val="00516738"/>
    <w:rsid w:val="005167AC"/>
    <w:rsid w:val="00520E0C"/>
    <w:rsid w:val="005221CA"/>
    <w:rsid w:val="00522B73"/>
    <w:rsid w:val="00522D30"/>
    <w:rsid w:val="005230C9"/>
    <w:rsid w:val="00523BFA"/>
    <w:rsid w:val="00525921"/>
    <w:rsid w:val="00526BB9"/>
    <w:rsid w:val="00526F49"/>
    <w:rsid w:val="0052708F"/>
    <w:rsid w:val="0052746F"/>
    <w:rsid w:val="005277E7"/>
    <w:rsid w:val="00527B82"/>
    <w:rsid w:val="0053095C"/>
    <w:rsid w:val="00531E35"/>
    <w:rsid w:val="00532266"/>
    <w:rsid w:val="005322B8"/>
    <w:rsid w:val="005322E3"/>
    <w:rsid w:val="00535025"/>
    <w:rsid w:val="005367D0"/>
    <w:rsid w:val="00537993"/>
    <w:rsid w:val="00537D7E"/>
    <w:rsid w:val="00540A4C"/>
    <w:rsid w:val="005411F5"/>
    <w:rsid w:val="00541F2D"/>
    <w:rsid w:val="00545989"/>
    <w:rsid w:val="00545D56"/>
    <w:rsid w:val="00545E23"/>
    <w:rsid w:val="00545F5D"/>
    <w:rsid w:val="005474DB"/>
    <w:rsid w:val="005508C9"/>
    <w:rsid w:val="00550E2A"/>
    <w:rsid w:val="005529E7"/>
    <w:rsid w:val="00552A94"/>
    <w:rsid w:val="00552E95"/>
    <w:rsid w:val="005538BB"/>
    <w:rsid w:val="00555316"/>
    <w:rsid w:val="00556A68"/>
    <w:rsid w:val="00556D17"/>
    <w:rsid w:val="00557A4B"/>
    <w:rsid w:val="005610EA"/>
    <w:rsid w:val="00563325"/>
    <w:rsid w:val="00563E06"/>
    <w:rsid w:val="005646CD"/>
    <w:rsid w:val="005652B8"/>
    <w:rsid w:val="005659B5"/>
    <w:rsid w:val="00565A45"/>
    <w:rsid w:val="0056785C"/>
    <w:rsid w:val="00567B46"/>
    <w:rsid w:val="00571726"/>
    <w:rsid w:val="00571FFB"/>
    <w:rsid w:val="005721EA"/>
    <w:rsid w:val="005726DF"/>
    <w:rsid w:val="00572AC4"/>
    <w:rsid w:val="005742A1"/>
    <w:rsid w:val="00574F9A"/>
    <w:rsid w:val="00576070"/>
    <w:rsid w:val="005761A1"/>
    <w:rsid w:val="00576578"/>
    <w:rsid w:val="00576933"/>
    <w:rsid w:val="00576A5E"/>
    <w:rsid w:val="00576C2F"/>
    <w:rsid w:val="00576E84"/>
    <w:rsid w:val="00577895"/>
    <w:rsid w:val="00580098"/>
    <w:rsid w:val="005815DB"/>
    <w:rsid w:val="00582CED"/>
    <w:rsid w:val="00583FC3"/>
    <w:rsid w:val="00583FC5"/>
    <w:rsid w:val="0058440E"/>
    <w:rsid w:val="005845CC"/>
    <w:rsid w:val="00585103"/>
    <w:rsid w:val="0058514E"/>
    <w:rsid w:val="00585B37"/>
    <w:rsid w:val="00585CF6"/>
    <w:rsid w:val="005861DD"/>
    <w:rsid w:val="005864D8"/>
    <w:rsid w:val="00591B45"/>
    <w:rsid w:val="00593802"/>
    <w:rsid w:val="00593BC8"/>
    <w:rsid w:val="005940B5"/>
    <w:rsid w:val="00594E5A"/>
    <w:rsid w:val="00595A33"/>
    <w:rsid w:val="00596C3B"/>
    <w:rsid w:val="00596FEF"/>
    <w:rsid w:val="00597169"/>
    <w:rsid w:val="005A08B7"/>
    <w:rsid w:val="005A1495"/>
    <w:rsid w:val="005A1927"/>
    <w:rsid w:val="005A2992"/>
    <w:rsid w:val="005A36AA"/>
    <w:rsid w:val="005A6DC4"/>
    <w:rsid w:val="005A7CE2"/>
    <w:rsid w:val="005B2720"/>
    <w:rsid w:val="005B2AE3"/>
    <w:rsid w:val="005B41CE"/>
    <w:rsid w:val="005B48A1"/>
    <w:rsid w:val="005B4AD6"/>
    <w:rsid w:val="005B4BC3"/>
    <w:rsid w:val="005B4EB1"/>
    <w:rsid w:val="005B5A39"/>
    <w:rsid w:val="005B5AD1"/>
    <w:rsid w:val="005B5D0C"/>
    <w:rsid w:val="005B690D"/>
    <w:rsid w:val="005B6DFB"/>
    <w:rsid w:val="005B7786"/>
    <w:rsid w:val="005C02E2"/>
    <w:rsid w:val="005C0A52"/>
    <w:rsid w:val="005C13DD"/>
    <w:rsid w:val="005C148E"/>
    <w:rsid w:val="005C1E60"/>
    <w:rsid w:val="005C1EE2"/>
    <w:rsid w:val="005C2358"/>
    <w:rsid w:val="005C2720"/>
    <w:rsid w:val="005C27F6"/>
    <w:rsid w:val="005C2DC4"/>
    <w:rsid w:val="005C3F93"/>
    <w:rsid w:val="005C470B"/>
    <w:rsid w:val="005C5037"/>
    <w:rsid w:val="005C529A"/>
    <w:rsid w:val="005C714F"/>
    <w:rsid w:val="005C71AB"/>
    <w:rsid w:val="005C7AF9"/>
    <w:rsid w:val="005D0830"/>
    <w:rsid w:val="005D10FB"/>
    <w:rsid w:val="005D1FCC"/>
    <w:rsid w:val="005D20AD"/>
    <w:rsid w:val="005D24D8"/>
    <w:rsid w:val="005D2DA1"/>
    <w:rsid w:val="005D35CC"/>
    <w:rsid w:val="005D4010"/>
    <w:rsid w:val="005D4A94"/>
    <w:rsid w:val="005D4D35"/>
    <w:rsid w:val="005D50A6"/>
    <w:rsid w:val="005D70D9"/>
    <w:rsid w:val="005D7383"/>
    <w:rsid w:val="005D7560"/>
    <w:rsid w:val="005E013C"/>
    <w:rsid w:val="005E0E70"/>
    <w:rsid w:val="005E19FE"/>
    <w:rsid w:val="005E2527"/>
    <w:rsid w:val="005E2F4C"/>
    <w:rsid w:val="005E354A"/>
    <w:rsid w:val="005E35C0"/>
    <w:rsid w:val="005E3A2D"/>
    <w:rsid w:val="005E68A5"/>
    <w:rsid w:val="005E6D91"/>
    <w:rsid w:val="005E7D81"/>
    <w:rsid w:val="005F0A40"/>
    <w:rsid w:val="005F1D94"/>
    <w:rsid w:val="005F2ABB"/>
    <w:rsid w:val="005F2EB5"/>
    <w:rsid w:val="005F3430"/>
    <w:rsid w:val="005F4855"/>
    <w:rsid w:val="005F4EE2"/>
    <w:rsid w:val="005F4FA9"/>
    <w:rsid w:val="005F540D"/>
    <w:rsid w:val="005F6041"/>
    <w:rsid w:val="005F60A3"/>
    <w:rsid w:val="005F66C7"/>
    <w:rsid w:val="005F72CD"/>
    <w:rsid w:val="005F776A"/>
    <w:rsid w:val="006001C0"/>
    <w:rsid w:val="00601795"/>
    <w:rsid w:val="006017D5"/>
    <w:rsid w:val="00602C97"/>
    <w:rsid w:val="006035AA"/>
    <w:rsid w:val="006052C3"/>
    <w:rsid w:val="00605A91"/>
    <w:rsid w:val="00606BC4"/>
    <w:rsid w:val="0060799F"/>
    <w:rsid w:val="00610A40"/>
    <w:rsid w:val="00610A45"/>
    <w:rsid w:val="00611AD8"/>
    <w:rsid w:val="00612728"/>
    <w:rsid w:val="00613656"/>
    <w:rsid w:val="00613B00"/>
    <w:rsid w:val="00613BE7"/>
    <w:rsid w:val="0061416A"/>
    <w:rsid w:val="00616452"/>
    <w:rsid w:val="00617199"/>
    <w:rsid w:val="006172F3"/>
    <w:rsid w:val="00617B12"/>
    <w:rsid w:val="00620606"/>
    <w:rsid w:val="006207E6"/>
    <w:rsid w:val="006211C7"/>
    <w:rsid w:val="00621554"/>
    <w:rsid w:val="006224FB"/>
    <w:rsid w:val="00622FB0"/>
    <w:rsid w:val="00622FEF"/>
    <w:rsid w:val="0062478E"/>
    <w:rsid w:val="006248CE"/>
    <w:rsid w:val="00624A5D"/>
    <w:rsid w:val="00624C96"/>
    <w:rsid w:val="00625ACC"/>
    <w:rsid w:val="00630122"/>
    <w:rsid w:val="00630393"/>
    <w:rsid w:val="00631714"/>
    <w:rsid w:val="006322BC"/>
    <w:rsid w:val="006322E9"/>
    <w:rsid w:val="006346D9"/>
    <w:rsid w:val="00636070"/>
    <w:rsid w:val="00640BF5"/>
    <w:rsid w:val="00640D78"/>
    <w:rsid w:val="00642542"/>
    <w:rsid w:val="00643353"/>
    <w:rsid w:val="00643480"/>
    <w:rsid w:val="006452E4"/>
    <w:rsid w:val="006461CA"/>
    <w:rsid w:val="00646717"/>
    <w:rsid w:val="00647732"/>
    <w:rsid w:val="00650389"/>
    <w:rsid w:val="00651BF2"/>
    <w:rsid w:val="00652FDB"/>
    <w:rsid w:val="00653153"/>
    <w:rsid w:val="00653214"/>
    <w:rsid w:val="00654A57"/>
    <w:rsid w:val="00654F6E"/>
    <w:rsid w:val="006553AD"/>
    <w:rsid w:val="00655FEA"/>
    <w:rsid w:val="00656D7B"/>
    <w:rsid w:val="006577E8"/>
    <w:rsid w:val="00661373"/>
    <w:rsid w:val="00661484"/>
    <w:rsid w:val="00661A00"/>
    <w:rsid w:val="00662B93"/>
    <w:rsid w:val="0066422D"/>
    <w:rsid w:val="00664ACA"/>
    <w:rsid w:val="00664D18"/>
    <w:rsid w:val="00665683"/>
    <w:rsid w:val="00665B13"/>
    <w:rsid w:val="00670095"/>
    <w:rsid w:val="00670285"/>
    <w:rsid w:val="00670679"/>
    <w:rsid w:val="00671897"/>
    <w:rsid w:val="00673075"/>
    <w:rsid w:val="00674E46"/>
    <w:rsid w:val="00675995"/>
    <w:rsid w:val="00677C78"/>
    <w:rsid w:val="00680363"/>
    <w:rsid w:val="00680728"/>
    <w:rsid w:val="00680CF7"/>
    <w:rsid w:val="00681DF1"/>
    <w:rsid w:val="00681EB7"/>
    <w:rsid w:val="006830E7"/>
    <w:rsid w:val="006831CD"/>
    <w:rsid w:val="00683CCA"/>
    <w:rsid w:val="00684CAF"/>
    <w:rsid w:val="006906AA"/>
    <w:rsid w:val="0069157E"/>
    <w:rsid w:val="00694E57"/>
    <w:rsid w:val="00695D5C"/>
    <w:rsid w:val="006A1B52"/>
    <w:rsid w:val="006A1D21"/>
    <w:rsid w:val="006A354D"/>
    <w:rsid w:val="006A495B"/>
    <w:rsid w:val="006A5391"/>
    <w:rsid w:val="006A541F"/>
    <w:rsid w:val="006A5D1E"/>
    <w:rsid w:val="006A617C"/>
    <w:rsid w:val="006A6A98"/>
    <w:rsid w:val="006A6C2C"/>
    <w:rsid w:val="006A6C4E"/>
    <w:rsid w:val="006A71A0"/>
    <w:rsid w:val="006A76B4"/>
    <w:rsid w:val="006A7C4C"/>
    <w:rsid w:val="006B06BC"/>
    <w:rsid w:val="006B0F13"/>
    <w:rsid w:val="006B12DB"/>
    <w:rsid w:val="006B147F"/>
    <w:rsid w:val="006B14F2"/>
    <w:rsid w:val="006B1CEC"/>
    <w:rsid w:val="006B3BC7"/>
    <w:rsid w:val="006B3F9D"/>
    <w:rsid w:val="006B406C"/>
    <w:rsid w:val="006B4766"/>
    <w:rsid w:val="006B4AAF"/>
    <w:rsid w:val="006B641A"/>
    <w:rsid w:val="006B75C6"/>
    <w:rsid w:val="006B7B8E"/>
    <w:rsid w:val="006C0159"/>
    <w:rsid w:val="006C08A1"/>
    <w:rsid w:val="006C1C5E"/>
    <w:rsid w:val="006C36EB"/>
    <w:rsid w:val="006C5F35"/>
    <w:rsid w:val="006C5FE9"/>
    <w:rsid w:val="006C6997"/>
    <w:rsid w:val="006D1930"/>
    <w:rsid w:val="006D1F42"/>
    <w:rsid w:val="006D2A36"/>
    <w:rsid w:val="006D3E2D"/>
    <w:rsid w:val="006D406F"/>
    <w:rsid w:val="006D4694"/>
    <w:rsid w:val="006D47F0"/>
    <w:rsid w:val="006D48F6"/>
    <w:rsid w:val="006D4D03"/>
    <w:rsid w:val="006D5B44"/>
    <w:rsid w:val="006D67C1"/>
    <w:rsid w:val="006D74C4"/>
    <w:rsid w:val="006E1C16"/>
    <w:rsid w:val="006E1EEA"/>
    <w:rsid w:val="006E2A8E"/>
    <w:rsid w:val="006E3E41"/>
    <w:rsid w:val="006E483C"/>
    <w:rsid w:val="006E4BCE"/>
    <w:rsid w:val="006E5D3B"/>
    <w:rsid w:val="006E68D6"/>
    <w:rsid w:val="006E6FEB"/>
    <w:rsid w:val="006E704D"/>
    <w:rsid w:val="006E7788"/>
    <w:rsid w:val="006E7C09"/>
    <w:rsid w:val="006F27F2"/>
    <w:rsid w:val="006F3528"/>
    <w:rsid w:val="006F3A0F"/>
    <w:rsid w:val="006F4220"/>
    <w:rsid w:val="006F527F"/>
    <w:rsid w:val="006F578F"/>
    <w:rsid w:val="006F5F9C"/>
    <w:rsid w:val="0070151D"/>
    <w:rsid w:val="00702417"/>
    <w:rsid w:val="0070445E"/>
    <w:rsid w:val="00704B02"/>
    <w:rsid w:val="00707408"/>
    <w:rsid w:val="00707544"/>
    <w:rsid w:val="00710572"/>
    <w:rsid w:val="00710C5E"/>
    <w:rsid w:val="00711323"/>
    <w:rsid w:val="00711649"/>
    <w:rsid w:val="00711F20"/>
    <w:rsid w:val="0071207B"/>
    <w:rsid w:val="00712DE9"/>
    <w:rsid w:val="0071389A"/>
    <w:rsid w:val="00715C11"/>
    <w:rsid w:val="00715D6A"/>
    <w:rsid w:val="00716196"/>
    <w:rsid w:val="00716933"/>
    <w:rsid w:val="00720A58"/>
    <w:rsid w:val="007220CC"/>
    <w:rsid w:val="007229CF"/>
    <w:rsid w:val="00726C5B"/>
    <w:rsid w:val="00727324"/>
    <w:rsid w:val="00727A3E"/>
    <w:rsid w:val="00733D68"/>
    <w:rsid w:val="00734266"/>
    <w:rsid w:val="00735414"/>
    <w:rsid w:val="00737BB9"/>
    <w:rsid w:val="0074096E"/>
    <w:rsid w:val="00740DD4"/>
    <w:rsid w:val="007421D5"/>
    <w:rsid w:val="00742710"/>
    <w:rsid w:val="00744005"/>
    <w:rsid w:val="00744BD9"/>
    <w:rsid w:val="00745866"/>
    <w:rsid w:val="00745996"/>
    <w:rsid w:val="00745EA4"/>
    <w:rsid w:val="007464C2"/>
    <w:rsid w:val="00746571"/>
    <w:rsid w:val="00746D96"/>
    <w:rsid w:val="00746EF9"/>
    <w:rsid w:val="00747F01"/>
    <w:rsid w:val="00752974"/>
    <w:rsid w:val="007542D6"/>
    <w:rsid w:val="00754D89"/>
    <w:rsid w:val="007579A5"/>
    <w:rsid w:val="00757D8B"/>
    <w:rsid w:val="007602AE"/>
    <w:rsid w:val="00760A9B"/>
    <w:rsid w:val="00760BED"/>
    <w:rsid w:val="007637A1"/>
    <w:rsid w:val="00763D57"/>
    <w:rsid w:val="007643B7"/>
    <w:rsid w:val="00764C14"/>
    <w:rsid w:val="007658DD"/>
    <w:rsid w:val="00765A3C"/>
    <w:rsid w:val="00765C99"/>
    <w:rsid w:val="00766295"/>
    <w:rsid w:val="00772090"/>
    <w:rsid w:val="0077244A"/>
    <w:rsid w:val="00772DD5"/>
    <w:rsid w:val="00775164"/>
    <w:rsid w:val="007754A5"/>
    <w:rsid w:val="007767C5"/>
    <w:rsid w:val="00776828"/>
    <w:rsid w:val="00780F25"/>
    <w:rsid w:val="00781E2E"/>
    <w:rsid w:val="00784185"/>
    <w:rsid w:val="00784D2C"/>
    <w:rsid w:val="00785114"/>
    <w:rsid w:val="00785ACA"/>
    <w:rsid w:val="00787527"/>
    <w:rsid w:val="00787EC2"/>
    <w:rsid w:val="00791762"/>
    <w:rsid w:val="00791944"/>
    <w:rsid w:val="00792754"/>
    <w:rsid w:val="007927DA"/>
    <w:rsid w:val="007948FA"/>
    <w:rsid w:val="007954F4"/>
    <w:rsid w:val="007957F9"/>
    <w:rsid w:val="0079669E"/>
    <w:rsid w:val="00797B3D"/>
    <w:rsid w:val="007A4EF3"/>
    <w:rsid w:val="007A5503"/>
    <w:rsid w:val="007A629F"/>
    <w:rsid w:val="007A63A7"/>
    <w:rsid w:val="007A640E"/>
    <w:rsid w:val="007B09EF"/>
    <w:rsid w:val="007B1578"/>
    <w:rsid w:val="007B1B6F"/>
    <w:rsid w:val="007B272D"/>
    <w:rsid w:val="007B44AB"/>
    <w:rsid w:val="007B5F27"/>
    <w:rsid w:val="007C0381"/>
    <w:rsid w:val="007C0AA9"/>
    <w:rsid w:val="007C1523"/>
    <w:rsid w:val="007C2C3E"/>
    <w:rsid w:val="007C2F91"/>
    <w:rsid w:val="007C353B"/>
    <w:rsid w:val="007C4790"/>
    <w:rsid w:val="007C4D53"/>
    <w:rsid w:val="007C4DBE"/>
    <w:rsid w:val="007C5008"/>
    <w:rsid w:val="007C6106"/>
    <w:rsid w:val="007C735B"/>
    <w:rsid w:val="007C7A9C"/>
    <w:rsid w:val="007D0709"/>
    <w:rsid w:val="007D0B08"/>
    <w:rsid w:val="007D3259"/>
    <w:rsid w:val="007D3645"/>
    <w:rsid w:val="007D4A8A"/>
    <w:rsid w:val="007D66CB"/>
    <w:rsid w:val="007D70A6"/>
    <w:rsid w:val="007E09E4"/>
    <w:rsid w:val="007E1356"/>
    <w:rsid w:val="007E28DA"/>
    <w:rsid w:val="007E2A75"/>
    <w:rsid w:val="007E5196"/>
    <w:rsid w:val="007E526F"/>
    <w:rsid w:val="007E553B"/>
    <w:rsid w:val="007E5B9B"/>
    <w:rsid w:val="007E662B"/>
    <w:rsid w:val="007E7E11"/>
    <w:rsid w:val="007F1F51"/>
    <w:rsid w:val="007F4222"/>
    <w:rsid w:val="007F670D"/>
    <w:rsid w:val="007F76B6"/>
    <w:rsid w:val="008014DF"/>
    <w:rsid w:val="00801B5A"/>
    <w:rsid w:val="00802E91"/>
    <w:rsid w:val="008061BA"/>
    <w:rsid w:val="00806E2D"/>
    <w:rsid w:val="0081057D"/>
    <w:rsid w:val="008107E1"/>
    <w:rsid w:val="008108A5"/>
    <w:rsid w:val="00811199"/>
    <w:rsid w:val="00811EAF"/>
    <w:rsid w:val="00812AC6"/>
    <w:rsid w:val="0081456D"/>
    <w:rsid w:val="0081459F"/>
    <w:rsid w:val="008149CB"/>
    <w:rsid w:val="00814D29"/>
    <w:rsid w:val="00816688"/>
    <w:rsid w:val="00816960"/>
    <w:rsid w:val="008208E1"/>
    <w:rsid w:val="008230D6"/>
    <w:rsid w:val="008233C5"/>
    <w:rsid w:val="008253D8"/>
    <w:rsid w:val="0082624C"/>
    <w:rsid w:val="00827592"/>
    <w:rsid w:val="00827975"/>
    <w:rsid w:val="00831686"/>
    <w:rsid w:val="00831812"/>
    <w:rsid w:val="00831964"/>
    <w:rsid w:val="00832F6D"/>
    <w:rsid w:val="00833E67"/>
    <w:rsid w:val="00834656"/>
    <w:rsid w:val="0083491F"/>
    <w:rsid w:val="00834D39"/>
    <w:rsid w:val="00834E66"/>
    <w:rsid w:val="008350E0"/>
    <w:rsid w:val="0083556A"/>
    <w:rsid w:val="00840EF0"/>
    <w:rsid w:val="0084141A"/>
    <w:rsid w:val="0084238A"/>
    <w:rsid w:val="00842D33"/>
    <w:rsid w:val="00843EAB"/>
    <w:rsid w:val="00844032"/>
    <w:rsid w:val="00844B13"/>
    <w:rsid w:val="008473B6"/>
    <w:rsid w:val="008474B3"/>
    <w:rsid w:val="00847C4D"/>
    <w:rsid w:val="00853892"/>
    <w:rsid w:val="00853F7C"/>
    <w:rsid w:val="00854087"/>
    <w:rsid w:val="00854179"/>
    <w:rsid w:val="008543CA"/>
    <w:rsid w:val="008551A4"/>
    <w:rsid w:val="00855396"/>
    <w:rsid w:val="008574E4"/>
    <w:rsid w:val="00857DCB"/>
    <w:rsid w:val="00857E8A"/>
    <w:rsid w:val="0086172E"/>
    <w:rsid w:val="0086261F"/>
    <w:rsid w:val="008630F6"/>
    <w:rsid w:val="008639EE"/>
    <w:rsid w:val="00864297"/>
    <w:rsid w:val="00864958"/>
    <w:rsid w:val="00864F59"/>
    <w:rsid w:val="00864FBD"/>
    <w:rsid w:val="00865600"/>
    <w:rsid w:val="00866427"/>
    <w:rsid w:val="0086643A"/>
    <w:rsid w:val="00866C0A"/>
    <w:rsid w:val="00867F44"/>
    <w:rsid w:val="00870C53"/>
    <w:rsid w:val="00870D8F"/>
    <w:rsid w:val="00871664"/>
    <w:rsid w:val="0087188A"/>
    <w:rsid w:val="00872272"/>
    <w:rsid w:val="008723F7"/>
    <w:rsid w:val="00872C2E"/>
    <w:rsid w:val="008736D2"/>
    <w:rsid w:val="00873C78"/>
    <w:rsid w:val="008749C5"/>
    <w:rsid w:val="00874D44"/>
    <w:rsid w:val="008759EB"/>
    <w:rsid w:val="00876462"/>
    <w:rsid w:val="008776C5"/>
    <w:rsid w:val="008776E8"/>
    <w:rsid w:val="0088095E"/>
    <w:rsid w:val="00880DC8"/>
    <w:rsid w:val="00883635"/>
    <w:rsid w:val="0088459D"/>
    <w:rsid w:val="008845C6"/>
    <w:rsid w:val="00884803"/>
    <w:rsid w:val="008873C9"/>
    <w:rsid w:val="00887B0E"/>
    <w:rsid w:val="008900E9"/>
    <w:rsid w:val="008908BB"/>
    <w:rsid w:val="00892B10"/>
    <w:rsid w:val="008942C1"/>
    <w:rsid w:val="00895146"/>
    <w:rsid w:val="00896278"/>
    <w:rsid w:val="0089642A"/>
    <w:rsid w:val="00896E5A"/>
    <w:rsid w:val="008A125D"/>
    <w:rsid w:val="008A3AC2"/>
    <w:rsid w:val="008A416B"/>
    <w:rsid w:val="008A542C"/>
    <w:rsid w:val="008A6EBD"/>
    <w:rsid w:val="008A78F6"/>
    <w:rsid w:val="008A7C1E"/>
    <w:rsid w:val="008B1CBA"/>
    <w:rsid w:val="008B2351"/>
    <w:rsid w:val="008B6CA3"/>
    <w:rsid w:val="008C12E0"/>
    <w:rsid w:val="008C13FD"/>
    <w:rsid w:val="008C1493"/>
    <w:rsid w:val="008C14CF"/>
    <w:rsid w:val="008C1632"/>
    <w:rsid w:val="008C328B"/>
    <w:rsid w:val="008C3DEA"/>
    <w:rsid w:val="008C51ED"/>
    <w:rsid w:val="008C63B0"/>
    <w:rsid w:val="008C6B80"/>
    <w:rsid w:val="008C6D12"/>
    <w:rsid w:val="008C7A7E"/>
    <w:rsid w:val="008C7D36"/>
    <w:rsid w:val="008D0550"/>
    <w:rsid w:val="008D10CC"/>
    <w:rsid w:val="008D1FFA"/>
    <w:rsid w:val="008D2BE7"/>
    <w:rsid w:val="008D2BEC"/>
    <w:rsid w:val="008D2C76"/>
    <w:rsid w:val="008D31B6"/>
    <w:rsid w:val="008D3393"/>
    <w:rsid w:val="008D3F99"/>
    <w:rsid w:val="008D478C"/>
    <w:rsid w:val="008D5121"/>
    <w:rsid w:val="008D5BE4"/>
    <w:rsid w:val="008D65E5"/>
    <w:rsid w:val="008D73B4"/>
    <w:rsid w:val="008E1F8A"/>
    <w:rsid w:val="008E22B4"/>
    <w:rsid w:val="008E3183"/>
    <w:rsid w:val="008E3D78"/>
    <w:rsid w:val="008E3E5E"/>
    <w:rsid w:val="008E3E63"/>
    <w:rsid w:val="008E41F1"/>
    <w:rsid w:val="008E55F7"/>
    <w:rsid w:val="008E5948"/>
    <w:rsid w:val="008E5EFF"/>
    <w:rsid w:val="008E63DB"/>
    <w:rsid w:val="008F12F6"/>
    <w:rsid w:val="008F1BAB"/>
    <w:rsid w:val="008F1C4F"/>
    <w:rsid w:val="008F1C76"/>
    <w:rsid w:val="008F22D2"/>
    <w:rsid w:val="008F39AD"/>
    <w:rsid w:val="008F43CE"/>
    <w:rsid w:val="008F45B8"/>
    <w:rsid w:val="008F4A29"/>
    <w:rsid w:val="008F6778"/>
    <w:rsid w:val="008F6B17"/>
    <w:rsid w:val="008F6ED9"/>
    <w:rsid w:val="008F7D3C"/>
    <w:rsid w:val="0090061B"/>
    <w:rsid w:val="00900D87"/>
    <w:rsid w:val="0090110E"/>
    <w:rsid w:val="00901B4D"/>
    <w:rsid w:val="00902668"/>
    <w:rsid w:val="009028E9"/>
    <w:rsid w:val="009046BC"/>
    <w:rsid w:val="00904A4C"/>
    <w:rsid w:val="00904CE1"/>
    <w:rsid w:val="0090600E"/>
    <w:rsid w:val="009066AA"/>
    <w:rsid w:val="009073E5"/>
    <w:rsid w:val="00910F80"/>
    <w:rsid w:val="00911EAA"/>
    <w:rsid w:val="00912BC1"/>
    <w:rsid w:val="0091370E"/>
    <w:rsid w:val="009137C0"/>
    <w:rsid w:val="00915645"/>
    <w:rsid w:val="009162DC"/>
    <w:rsid w:val="00917AE2"/>
    <w:rsid w:val="009203A3"/>
    <w:rsid w:val="00920655"/>
    <w:rsid w:val="00921A3A"/>
    <w:rsid w:val="00922718"/>
    <w:rsid w:val="009235AA"/>
    <w:rsid w:val="00923997"/>
    <w:rsid w:val="009246B9"/>
    <w:rsid w:val="009279E7"/>
    <w:rsid w:val="00930396"/>
    <w:rsid w:val="009306BC"/>
    <w:rsid w:val="00931CD1"/>
    <w:rsid w:val="00932176"/>
    <w:rsid w:val="0093358F"/>
    <w:rsid w:val="00934033"/>
    <w:rsid w:val="009341AD"/>
    <w:rsid w:val="00935B9F"/>
    <w:rsid w:val="00935ED9"/>
    <w:rsid w:val="009362D4"/>
    <w:rsid w:val="00936A98"/>
    <w:rsid w:val="009371E6"/>
    <w:rsid w:val="00940A4E"/>
    <w:rsid w:val="00941979"/>
    <w:rsid w:val="00941C8C"/>
    <w:rsid w:val="009436A8"/>
    <w:rsid w:val="00944184"/>
    <w:rsid w:val="00945975"/>
    <w:rsid w:val="009465C4"/>
    <w:rsid w:val="009471CD"/>
    <w:rsid w:val="00947663"/>
    <w:rsid w:val="00947986"/>
    <w:rsid w:val="00947AD7"/>
    <w:rsid w:val="00947D95"/>
    <w:rsid w:val="0095337D"/>
    <w:rsid w:val="009544F9"/>
    <w:rsid w:val="0095537B"/>
    <w:rsid w:val="00956054"/>
    <w:rsid w:val="00956D2F"/>
    <w:rsid w:val="00956D3B"/>
    <w:rsid w:val="00956DCC"/>
    <w:rsid w:val="0095714C"/>
    <w:rsid w:val="009574A8"/>
    <w:rsid w:val="00957A93"/>
    <w:rsid w:val="00960B15"/>
    <w:rsid w:val="00960C41"/>
    <w:rsid w:val="00961EBC"/>
    <w:rsid w:val="00962157"/>
    <w:rsid w:val="009621F1"/>
    <w:rsid w:val="00962E6A"/>
    <w:rsid w:val="0096526E"/>
    <w:rsid w:val="00965F39"/>
    <w:rsid w:val="00966107"/>
    <w:rsid w:val="00971853"/>
    <w:rsid w:val="009718CC"/>
    <w:rsid w:val="00971CAB"/>
    <w:rsid w:val="00971D24"/>
    <w:rsid w:val="00972938"/>
    <w:rsid w:val="00972ED9"/>
    <w:rsid w:val="009758EB"/>
    <w:rsid w:val="009766DD"/>
    <w:rsid w:val="00976C8C"/>
    <w:rsid w:val="0097711A"/>
    <w:rsid w:val="00977134"/>
    <w:rsid w:val="009775A1"/>
    <w:rsid w:val="00977C9B"/>
    <w:rsid w:val="009806B6"/>
    <w:rsid w:val="009812B4"/>
    <w:rsid w:val="00981D65"/>
    <w:rsid w:val="0098268F"/>
    <w:rsid w:val="00982F43"/>
    <w:rsid w:val="00983945"/>
    <w:rsid w:val="009840C9"/>
    <w:rsid w:val="00985CED"/>
    <w:rsid w:val="00987E3E"/>
    <w:rsid w:val="00990C73"/>
    <w:rsid w:val="009910C0"/>
    <w:rsid w:val="00991762"/>
    <w:rsid w:val="00993AF5"/>
    <w:rsid w:val="009946C6"/>
    <w:rsid w:val="00994944"/>
    <w:rsid w:val="009959B4"/>
    <w:rsid w:val="009969B0"/>
    <w:rsid w:val="009A03C0"/>
    <w:rsid w:val="009A0773"/>
    <w:rsid w:val="009A0A5C"/>
    <w:rsid w:val="009A3AF9"/>
    <w:rsid w:val="009A3E96"/>
    <w:rsid w:val="009A5FCE"/>
    <w:rsid w:val="009A635F"/>
    <w:rsid w:val="009A7B08"/>
    <w:rsid w:val="009A7B4C"/>
    <w:rsid w:val="009B013E"/>
    <w:rsid w:val="009B01ED"/>
    <w:rsid w:val="009B08E1"/>
    <w:rsid w:val="009B0D79"/>
    <w:rsid w:val="009B327F"/>
    <w:rsid w:val="009B4145"/>
    <w:rsid w:val="009B4855"/>
    <w:rsid w:val="009B5E06"/>
    <w:rsid w:val="009B60EF"/>
    <w:rsid w:val="009C0792"/>
    <w:rsid w:val="009C0CFE"/>
    <w:rsid w:val="009C115A"/>
    <w:rsid w:val="009C1F97"/>
    <w:rsid w:val="009C2133"/>
    <w:rsid w:val="009C313A"/>
    <w:rsid w:val="009C387B"/>
    <w:rsid w:val="009C4057"/>
    <w:rsid w:val="009C597F"/>
    <w:rsid w:val="009C5FCB"/>
    <w:rsid w:val="009C7073"/>
    <w:rsid w:val="009D061B"/>
    <w:rsid w:val="009D29DC"/>
    <w:rsid w:val="009D2C84"/>
    <w:rsid w:val="009D33DA"/>
    <w:rsid w:val="009D3505"/>
    <w:rsid w:val="009D3BA6"/>
    <w:rsid w:val="009D40DF"/>
    <w:rsid w:val="009D6643"/>
    <w:rsid w:val="009D7049"/>
    <w:rsid w:val="009D7584"/>
    <w:rsid w:val="009D7B4A"/>
    <w:rsid w:val="009D7F02"/>
    <w:rsid w:val="009E033A"/>
    <w:rsid w:val="009E0845"/>
    <w:rsid w:val="009E128D"/>
    <w:rsid w:val="009E16F4"/>
    <w:rsid w:val="009E2318"/>
    <w:rsid w:val="009E2EE7"/>
    <w:rsid w:val="009E3A83"/>
    <w:rsid w:val="009E3AB6"/>
    <w:rsid w:val="009E43FC"/>
    <w:rsid w:val="009E5534"/>
    <w:rsid w:val="009E5569"/>
    <w:rsid w:val="009E68B3"/>
    <w:rsid w:val="009E6BF6"/>
    <w:rsid w:val="009E71F0"/>
    <w:rsid w:val="009F13DE"/>
    <w:rsid w:val="009F1FBE"/>
    <w:rsid w:val="009F30E8"/>
    <w:rsid w:val="009F3152"/>
    <w:rsid w:val="009F3AE9"/>
    <w:rsid w:val="009F56A1"/>
    <w:rsid w:val="009F6CC7"/>
    <w:rsid w:val="009F7160"/>
    <w:rsid w:val="009F7473"/>
    <w:rsid w:val="00A01EBD"/>
    <w:rsid w:val="00A02C8C"/>
    <w:rsid w:val="00A03A80"/>
    <w:rsid w:val="00A0440F"/>
    <w:rsid w:val="00A06016"/>
    <w:rsid w:val="00A06AC6"/>
    <w:rsid w:val="00A06BC1"/>
    <w:rsid w:val="00A07100"/>
    <w:rsid w:val="00A07F6E"/>
    <w:rsid w:val="00A10241"/>
    <w:rsid w:val="00A112DD"/>
    <w:rsid w:val="00A119E4"/>
    <w:rsid w:val="00A12D78"/>
    <w:rsid w:val="00A1325A"/>
    <w:rsid w:val="00A137F6"/>
    <w:rsid w:val="00A15161"/>
    <w:rsid w:val="00A159A5"/>
    <w:rsid w:val="00A16097"/>
    <w:rsid w:val="00A163CB"/>
    <w:rsid w:val="00A20EA1"/>
    <w:rsid w:val="00A21194"/>
    <w:rsid w:val="00A24598"/>
    <w:rsid w:val="00A278E9"/>
    <w:rsid w:val="00A2792E"/>
    <w:rsid w:val="00A31348"/>
    <w:rsid w:val="00A33A47"/>
    <w:rsid w:val="00A34888"/>
    <w:rsid w:val="00A35A4C"/>
    <w:rsid w:val="00A35C28"/>
    <w:rsid w:val="00A36C3A"/>
    <w:rsid w:val="00A40616"/>
    <w:rsid w:val="00A41727"/>
    <w:rsid w:val="00A41EE9"/>
    <w:rsid w:val="00A433B3"/>
    <w:rsid w:val="00A45A32"/>
    <w:rsid w:val="00A4616F"/>
    <w:rsid w:val="00A466FE"/>
    <w:rsid w:val="00A46BC6"/>
    <w:rsid w:val="00A47367"/>
    <w:rsid w:val="00A514ED"/>
    <w:rsid w:val="00A5209F"/>
    <w:rsid w:val="00A52478"/>
    <w:rsid w:val="00A52631"/>
    <w:rsid w:val="00A52AF0"/>
    <w:rsid w:val="00A53DEE"/>
    <w:rsid w:val="00A5726B"/>
    <w:rsid w:val="00A57A44"/>
    <w:rsid w:val="00A6052C"/>
    <w:rsid w:val="00A60698"/>
    <w:rsid w:val="00A60A19"/>
    <w:rsid w:val="00A60EAA"/>
    <w:rsid w:val="00A60EEF"/>
    <w:rsid w:val="00A61928"/>
    <w:rsid w:val="00A61C61"/>
    <w:rsid w:val="00A62F6B"/>
    <w:rsid w:val="00A644DE"/>
    <w:rsid w:val="00A66112"/>
    <w:rsid w:val="00A67212"/>
    <w:rsid w:val="00A67703"/>
    <w:rsid w:val="00A71217"/>
    <w:rsid w:val="00A71501"/>
    <w:rsid w:val="00A719A3"/>
    <w:rsid w:val="00A73223"/>
    <w:rsid w:val="00A747FC"/>
    <w:rsid w:val="00A74B6F"/>
    <w:rsid w:val="00A74C07"/>
    <w:rsid w:val="00A74C18"/>
    <w:rsid w:val="00A7565D"/>
    <w:rsid w:val="00A756E6"/>
    <w:rsid w:val="00A75DE3"/>
    <w:rsid w:val="00A7680E"/>
    <w:rsid w:val="00A77201"/>
    <w:rsid w:val="00A772F0"/>
    <w:rsid w:val="00A77EFB"/>
    <w:rsid w:val="00A8037C"/>
    <w:rsid w:val="00A814B9"/>
    <w:rsid w:val="00A822A6"/>
    <w:rsid w:val="00A826FE"/>
    <w:rsid w:val="00A843A7"/>
    <w:rsid w:val="00A84B80"/>
    <w:rsid w:val="00A86FCA"/>
    <w:rsid w:val="00A870E6"/>
    <w:rsid w:val="00A8723C"/>
    <w:rsid w:val="00A8758F"/>
    <w:rsid w:val="00A87E07"/>
    <w:rsid w:val="00A90A83"/>
    <w:rsid w:val="00A90D51"/>
    <w:rsid w:val="00A914BE"/>
    <w:rsid w:val="00A923C4"/>
    <w:rsid w:val="00A92EC7"/>
    <w:rsid w:val="00A93F05"/>
    <w:rsid w:val="00A94967"/>
    <w:rsid w:val="00A96023"/>
    <w:rsid w:val="00AA1C84"/>
    <w:rsid w:val="00AA3230"/>
    <w:rsid w:val="00AA329C"/>
    <w:rsid w:val="00AA36E5"/>
    <w:rsid w:val="00AA549B"/>
    <w:rsid w:val="00AA61B7"/>
    <w:rsid w:val="00AA6363"/>
    <w:rsid w:val="00AA6D04"/>
    <w:rsid w:val="00AA781D"/>
    <w:rsid w:val="00AB0431"/>
    <w:rsid w:val="00AB05A3"/>
    <w:rsid w:val="00AB0E5C"/>
    <w:rsid w:val="00AB2712"/>
    <w:rsid w:val="00AB31DF"/>
    <w:rsid w:val="00AB3209"/>
    <w:rsid w:val="00AB3581"/>
    <w:rsid w:val="00AB42C7"/>
    <w:rsid w:val="00AB5A35"/>
    <w:rsid w:val="00AB6BC4"/>
    <w:rsid w:val="00AB7C78"/>
    <w:rsid w:val="00AC01F0"/>
    <w:rsid w:val="00AC0236"/>
    <w:rsid w:val="00AC1240"/>
    <w:rsid w:val="00AC127B"/>
    <w:rsid w:val="00AC19E0"/>
    <w:rsid w:val="00AC2687"/>
    <w:rsid w:val="00AC7B37"/>
    <w:rsid w:val="00AD04CF"/>
    <w:rsid w:val="00AD06F7"/>
    <w:rsid w:val="00AD07C4"/>
    <w:rsid w:val="00AD0957"/>
    <w:rsid w:val="00AD21EF"/>
    <w:rsid w:val="00AD2BDC"/>
    <w:rsid w:val="00AD3EF9"/>
    <w:rsid w:val="00AD5224"/>
    <w:rsid w:val="00AD69CA"/>
    <w:rsid w:val="00AE03FF"/>
    <w:rsid w:val="00AE0764"/>
    <w:rsid w:val="00AE173F"/>
    <w:rsid w:val="00AE2424"/>
    <w:rsid w:val="00AE34FE"/>
    <w:rsid w:val="00AE4451"/>
    <w:rsid w:val="00AE47E3"/>
    <w:rsid w:val="00AE4E07"/>
    <w:rsid w:val="00AE5673"/>
    <w:rsid w:val="00AE6469"/>
    <w:rsid w:val="00AF040E"/>
    <w:rsid w:val="00AF12A0"/>
    <w:rsid w:val="00AF247C"/>
    <w:rsid w:val="00AF336F"/>
    <w:rsid w:val="00AF3731"/>
    <w:rsid w:val="00AF5932"/>
    <w:rsid w:val="00AF5B48"/>
    <w:rsid w:val="00AF5DF4"/>
    <w:rsid w:val="00AF60D0"/>
    <w:rsid w:val="00B0142C"/>
    <w:rsid w:val="00B01F42"/>
    <w:rsid w:val="00B03A12"/>
    <w:rsid w:val="00B043C9"/>
    <w:rsid w:val="00B0451A"/>
    <w:rsid w:val="00B04917"/>
    <w:rsid w:val="00B0574C"/>
    <w:rsid w:val="00B05BD6"/>
    <w:rsid w:val="00B06040"/>
    <w:rsid w:val="00B1010A"/>
    <w:rsid w:val="00B11402"/>
    <w:rsid w:val="00B114DA"/>
    <w:rsid w:val="00B12063"/>
    <w:rsid w:val="00B12A42"/>
    <w:rsid w:val="00B12FD2"/>
    <w:rsid w:val="00B13593"/>
    <w:rsid w:val="00B13C0C"/>
    <w:rsid w:val="00B14471"/>
    <w:rsid w:val="00B151C8"/>
    <w:rsid w:val="00B15800"/>
    <w:rsid w:val="00B15B71"/>
    <w:rsid w:val="00B1641E"/>
    <w:rsid w:val="00B16F2C"/>
    <w:rsid w:val="00B20C31"/>
    <w:rsid w:val="00B21A0C"/>
    <w:rsid w:val="00B21D6D"/>
    <w:rsid w:val="00B224CB"/>
    <w:rsid w:val="00B24398"/>
    <w:rsid w:val="00B2541B"/>
    <w:rsid w:val="00B2648C"/>
    <w:rsid w:val="00B27B37"/>
    <w:rsid w:val="00B313B5"/>
    <w:rsid w:val="00B3365C"/>
    <w:rsid w:val="00B33C10"/>
    <w:rsid w:val="00B34617"/>
    <w:rsid w:val="00B351A9"/>
    <w:rsid w:val="00B360F6"/>
    <w:rsid w:val="00B367D5"/>
    <w:rsid w:val="00B369D0"/>
    <w:rsid w:val="00B37471"/>
    <w:rsid w:val="00B37D38"/>
    <w:rsid w:val="00B40CCE"/>
    <w:rsid w:val="00B413CE"/>
    <w:rsid w:val="00B41DB4"/>
    <w:rsid w:val="00B42000"/>
    <w:rsid w:val="00B43223"/>
    <w:rsid w:val="00B45120"/>
    <w:rsid w:val="00B454CA"/>
    <w:rsid w:val="00B45910"/>
    <w:rsid w:val="00B5022D"/>
    <w:rsid w:val="00B51488"/>
    <w:rsid w:val="00B51CB4"/>
    <w:rsid w:val="00B52A82"/>
    <w:rsid w:val="00B531CB"/>
    <w:rsid w:val="00B56A76"/>
    <w:rsid w:val="00B56C79"/>
    <w:rsid w:val="00B56F9D"/>
    <w:rsid w:val="00B57E59"/>
    <w:rsid w:val="00B60EB7"/>
    <w:rsid w:val="00B60F04"/>
    <w:rsid w:val="00B61789"/>
    <w:rsid w:val="00B61CC2"/>
    <w:rsid w:val="00B620A9"/>
    <w:rsid w:val="00B622A4"/>
    <w:rsid w:val="00B63925"/>
    <w:rsid w:val="00B65473"/>
    <w:rsid w:val="00B67041"/>
    <w:rsid w:val="00B67467"/>
    <w:rsid w:val="00B712BC"/>
    <w:rsid w:val="00B713AB"/>
    <w:rsid w:val="00B7161C"/>
    <w:rsid w:val="00B72C0A"/>
    <w:rsid w:val="00B73535"/>
    <w:rsid w:val="00B73DEB"/>
    <w:rsid w:val="00B74899"/>
    <w:rsid w:val="00B75050"/>
    <w:rsid w:val="00B76B31"/>
    <w:rsid w:val="00B8093E"/>
    <w:rsid w:val="00B814FB"/>
    <w:rsid w:val="00B829E2"/>
    <w:rsid w:val="00B82B76"/>
    <w:rsid w:val="00B82EC8"/>
    <w:rsid w:val="00B8333D"/>
    <w:rsid w:val="00B84477"/>
    <w:rsid w:val="00B85D8E"/>
    <w:rsid w:val="00B9010A"/>
    <w:rsid w:val="00B90955"/>
    <w:rsid w:val="00B9107E"/>
    <w:rsid w:val="00B91FD7"/>
    <w:rsid w:val="00B92F84"/>
    <w:rsid w:val="00B93BAF"/>
    <w:rsid w:val="00B942D7"/>
    <w:rsid w:val="00B96B62"/>
    <w:rsid w:val="00B97FB4"/>
    <w:rsid w:val="00BA3C4C"/>
    <w:rsid w:val="00BA74C8"/>
    <w:rsid w:val="00BA7B3F"/>
    <w:rsid w:val="00BA7E6E"/>
    <w:rsid w:val="00BB15EB"/>
    <w:rsid w:val="00BB27E5"/>
    <w:rsid w:val="00BB2DB9"/>
    <w:rsid w:val="00BB4390"/>
    <w:rsid w:val="00BB4433"/>
    <w:rsid w:val="00BB45CF"/>
    <w:rsid w:val="00BB49A7"/>
    <w:rsid w:val="00BB5AB4"/>
    <w:rsid w:val="00BB613C"/>
    <w:rsid w:val="00BB65C5"/>
    <w:rsid w:val="00BB79F7"/>
    <w:rsid w:val="00BC020A"/>
    <w:rsid w:val="00BC1486"/>
    <w:rsid w:val="00BC1E51"/>
    <w:rsid w:val="00BC293B"/>
    <w:rsid w:val="00BC360A"/>
    <w:rsid w:val="00BC4D60"/>
    <w:rsid w:val="00BC7B02"/>
    <w:rsid w:val="00BD013C"/>
    <w:rsid w:val="00BD06CD"/>
    <w:rsid w:val="00BD0990"/>
    <w:rsid w:val="00BD1999"/>
    <w:rsid w:val="00BD2EFF"/>
    <w:rsid w:val="00BD3A81"/>
    <w:rsid w:val="00BD42FB"/>
    <w:rsid w:val="00BD4F8F"/>
    <w:rsid w:val="00BD5864"/>
    <w:rsid w:val="00BD68CB"/>
    <w:rsid w:val="00BD7227"/>
    <w:rsid w:val="00BD7415"/>
    <w:rsid w:val="00BE120A"/>
    <w:rsid w:val="00BE2BE3"/>
    <w:rsid w:val="00BE4706"/>
    <w:rsid w:val="00BE4870"/>
    <w:rsid w:val="00BE5062"/>
    <w:rsid w:val="00BF01AB"/>
    <w:rsid w:val="00BF29E9"/>
    <w:rsid w:val="00BF2A59"/>
    <w:rsid w:val="00BF2A78"/>
    <w:rsid w:val="00BF365A"/>
    <w:rsid w:val="00BF4588"/>
    <w:rsid w:val="00BF50B1"/>
    <w:rsid w:val="00BF7832"/>
    <w:rsid w:val="00C014D9"/>
    <w:rsid w:val="00C023B0"/>
    <w:rsid w:val="00C0252E"/>
    <w:rsid w:val="00C02C69"/>
    <w:rsid w:val="00C03518"/>
    <w:rsid w:val="00C039BD"/>
    <w:rsid w:val="00C054D0"/>
    <w:rsid w:val="00C064E6"/>
    <w:rsid w:val="00C07CC2"/>
    <w:rsid w:val="00C1034B"/>
    <w:rsid w:val="00C1077A"/>
    <w:rsid w:val="00C10FC8"/>
    <w:rsid w:val="00C140FD"/>
    <w:rsid w:val="00C153B6"/>
    <w:rsid w:val="00C16DCA"/>
    <w:rsid w:val="00C2044B"/>
    <w:rsid w:val="00C20BEA"/>
    <w:rsid w:val="00C229D3"/>
    <w:rsid w:val="00C22D08"/>
    <w:rsid w:val="00C24EA3"/>
    <w:rsid w:val="00C2604E"/>
    <w:rsid w:val="00C268EC"/>
    <w:rsid w:val="00C27275"/>
    <w:rsid w:val="00C274F7"/>
    <w:rsid w:val="00C27712"/>
    <w:rsid w:val="00C30727"/>
    <w:rsid w:val="00C31C1B"/>
    <w:rsid w:val="00C32FF8"/>
    <w:rsid w:val="00C33E09"/>
    <w:rsid w:val="00C357BE"/>
    <w:rsid w:val="00C36A61"/>
    <w:rsid w:val="00C36DDD"/>
    <w:rsid w:val="00C40A3A"/>
    <w:rsid w:val="00C41113"/>
    <w:rsid w:val="00C4131F"/>
    <w:rsid w:val="00C43850"/>
    <w:rsid w:val="00C46557"/>
    <w:rsid w:val="00C46870"/>
    <w:rsid w:val="00C472F5"/>
    <w:rsid w:val="00C47D8A"/>
    <w:rsid w:val="00C51D04"/>
    <w:rsid w:val="00C51D39"/>
    <w:rsid w:val="00C53614"/>
    <w:rsid w:val="00C53A28"/>
    <w:rsid w:val="00C5446E"/>
    <w:rsid w:val="00C54898"/>
    <w:rsid w:val="00C55793"/>
    <w:rsid w:val="00C568AD"/>
    <w:rsid w:val="00C5716A"/>
    <w:rsid w:val="00C574A4"/>
    <w:rsid w:val="00C5799D"/>
    <w:rsid w:val="00C57E77"/>
    <w:rsid w:val="00C60E8F"/>
    <w:rsid w:val="00C62F46"/>
    <w:rsid w:val="00C64520"/>
    <w:rsid w:val="00C6495A"/>
    <w:rsid w:val="00C66464"/>
    <w:rsid w:val="00C66562"/>
    <w:rsid w:val="00C66EED"/>
    <w:rsid w:val="00C7007D"/>
    <w:rsid w:val="00C7031B"/>
    <w:rsid w:val="00C71594"/>
    <w:rsid w:val="00C725A8"/>
    <w:rsid w:val="00C730C1"/>
    <w:rsid w:val="00C747D1"/>
    <w:rsid w:val="00C75060"/>
    <w:rsid w:val="00C778CE"/>
    <w:rsid w:val="00C8007C"/>
    <w:rsid w:val="00C80D68"/>
    <w:rsid w:val="00C816D4"/>
    <w:rsid w:val="00C823B4"/>
    <w:rsid w:val="00C8280A"/>
    <w:rsid w:val="00C83408"/>
    <w:rsid w:val="00C836AD"/>
    <w:rsid w:val="00C836D8"/>
    <w:rsid w:val="00C83CC5"/>
    <w:rsid w:val="00C85604"/>
    <w:rsid w:val="00C858A5"/>
    <w:rsid w:val="00C86945"/>
    <w:rsid w:val="00C87603"/>
    <w:rsid w:val="00C87CB0"/>
    <w:rsid w:val="00C91793"/>
    <w:rsid w:val="00C91D42"/>
    <w:rsid w:val="00C922D8"/>
    <w:rsid w:val="00C92E2A"/>
    <w:rsid w:val="00C94263"/>
    <w:rsid w:val="00C94EA4"/>
    <w:rsid w:val="00C95D83"/>
    <w:rsid w:val="00C9613A"/>
    <w:rsid w:val="00C969D4"/>
    <w:rsid w:val="00C96E00"/>
    <w:rsid w:val="00CA087C"/>
    <w:rsid w:val="00CA0C46"/>
    <w:rsid w:val="00CA163B"/>
    <w:rsid w:val="00CA1B02"/>
    <w:rsid w:val="00CA1C15"/>
    <w:rsid w:val="00CA27CA"/>
    <w:rsid w:val="00CA28B6"/>
    <w:rsid w:val="00CA3658"/>
    <w:rsid w:val="00CA3BAE"/>
    <w:rsid w:val="00CA3EFB"/>
    <w:rsid w:val="00CA460B"/>
    <w:rsid w:val="00CA4AD9"/>
    <w:rsid w:val="00CA59B8"/>
    <w:rsid w:val="00CB0B59"/>
    <w:rsid w:val="00CB1886"/>
    <w:rsid w:val="00CB3110"/>
    <w:rsid w:val="00CB58A9"/>
    <w:rsid w:val="00CB678C"/>
    <w:rsid w:val="00CB77AC"/>
    <w:rsid w:val="00CC0D74"/>
    <w:rsid w:val="00CC0F72"/>
    <w:rsid w:val="00CC19DC"/>
    <w:rsid w:val="00CC2179"/>
    <w:rsid w:val="00CC2BD4"/>
    <w:rsid w:val="00CC3DDE"/>
    <w:rsid w:val="00CC3FA3"/>
    <w:rsid w:val="00CC433A"/>
    <w:rsid w:val="00CC4BB9"/>
    <w:rsid w:val="00CC4D5F"/>
    <w:rsid w:val="00CC5F1D"/>
    <w:rsid w:val="00CC6022"/>
    <w:rsid w:val="00CC6841"/>
    <w:rsid w:val="00CD0B3D"/>
    <w:rsid w:val="00CD0EFA"/>
    <w:rsid w:val="00CD1325"/>
    <w:rsid w:val="00CD2140"/>
    <w:rsid w:val="00CD34E5"/>
    <w:rsid w:val="00CD375C"/>
    <w:rsid w:val="00CD3F21"/>
    <w:rsid w:val="00CD409A"/>
    <w:rsid w:val="00CD5A49"/>
    <w:rsid w:val="00CD6314"/>
    <w:rsid w:val="00CE05B8"/>
    <w:rsid w:val="00CE1214"/>
    <w:rsid w:val="00CE3CDA"/>
    <w:rsid w:val="00CE61FA"/>
    <w:rsid w:val="00CE6A97"/>
    <w:rsid w:val="00CE6DA4"/>
    <w:rsid w:val="00CE7609"/>
    <w:rsid w:val="00CE7630"/>
    <w:rsid w:val="00CE7C17"/>
    <w:rsid w:val="00CF0630"/>
    <w:rsid w:val="00CF1628"/>
    <w:rsid w:val="00CF1A94"/>
    <w:rsid w:val="00CF1CE2"/>
    <w:rsid w:val="00CF2F70"/>
    <w:rsid w:val="00CF6BAA"/>
    <w:rsid w:val="00CF6C31"/>
    <w:rsid w:val="00CF7253"/>
    <w:rsid w:val="00CF7ADA"/>
    <w:rsid w:val="00D00768"/>
    <w:rsid w:val="00D00C66"/>
    <w:rsid w:val="00D0133D"/>
    <w:rsid w:val="00D01515"/>
    <w:rsid w:val="00D0279D"/>
    <w:rsid w:val="00D02AA4"/>
    <w:rsid w:val="00D02C67"/>
    <w:rsid w:val="00D033B6"/>
    <w:rsid w:val="00D03FD2"/>
    <w:rsid w:val="00D043EB"/>
    <w:rsid w:val="00D06E63"/>
    <w:rsid w:val="00D07524"/>
    <w:rsid w:val="00D1261B"/>
    <w:rsid w:val="00D130A3"/>
    <w:rsid w:val="00D130FB"/>
    <w:rsid w:val="00D13BA4"/>
    <w:rsid w:val="00D14C3F"/>
    <w:rsid w:val="00D15843"/>
    <w:rsid w:val="00D16094"/>
    <w:rsid w:val="00D165F8"/>
    <w:rsid w:val="00D16CE3"/>
    <w:rsid w:val="00D173EF"/>
    <w:rsid w:val="00D20490"/>
    <w:rsid w:val="00D20C61"/>
    <w:rsid w:val="00D21C2E"/>
    <w:rsid w:val="00D22653"/>
    <w:rsid w:val="00D23B5F"/>
    <w:rsid w:val="00D25570"/>
    <w:rsid w:val="00D27DD0"/>
    <w:rsid w:val="00D30007"/>
    <w:rsid w:val="00D3073D"/>
    <w:rsid w:val="00D3084B"/>
    <w:rsid w:val="00D3153C"/>
    <w:rsid w:val="00D33144"/>
    <w:rsid w:val="00D33680"/>
    <w:rsid w:val="00D33901"/>
    <w:rsid w:val="00D3424A"/>
    <w:rsid w:val="00D348BA"/>
    <w:rsid w:val="00D35F5E"/>
    <w:rsid w:val="00D36130"/>
    <w:rsid w:val="00D40168"/>
    <w:rsid w:val="00D40312"/>
    <w:rsid w:val="00D40F10"/>
    <w:rsid w:val="00D4107A"/>
    <w:rsid w:val="00D41FE8"/>
    <w:rsid w:val="00D428E7"/>
    <w:rsid w:val="00D43100"/>
    <w:rsid w:val="00D436AD"/>
    <w:rsid w:val="00D442CD"/>
    <w:rsid w:val="00D44A2B"/>
    <w:rsid w:val="00D45512"/>
    <w:rsid w:val="00D45678"/>
    <w:rsid w:val="00D45D88"/>
    <w:rsid w:val="00D462F0"/>
    <w:rsid w:val="00D465EF"/>
    <w:rsid w:val="00D47670"/>
    <w:rsid w:val="00D5137C"/>
    <w:rsid w:val="00D519C7"/>
    <w:rsid w:val="00D52A48"/>
    <w:rsid w:val="00D54DAD"/>
    <w:rsid w:val="00D56351"/>
    <w:rsid w:val="00D612E1"/>
    <w:rsid w:val="00D616A1"/>
    <w:rsid w:val="00D62249"/>
    <w:rsid w:val="00D626EF"/>
    <w:rsid w:val="00D63674"/>
    <w:rsid w:val="00D64042"/>
    <w:rsid w:val="00D6420B"/>
    <w:rsid w:val="00D648EB"/>
    <w:rsid w:val="00D64E3C"/>
    <w:rsid w:val="00D654E2"/>
    <w:rsid w:val="00D66182"/>
    <w:rsid w:val="00D66BFA"/>
    <w:rsid w:val="00D6775D"/>
    <w:rsid w:val="00D67B6A"/>
    <w:rsid w:val="00D71888"/>
    <w:rsid w:val="00D723CB"/>
    <w:rsid w:val="00D755C8"/>
    <w:rsid w:val="00D7584E"/>
    <w:rsid w:val="00D76F2E"/>
    <w:rsid w:val="00D77A69"/>
    <w:rsid w:val="00D808BC"/>
    <w:rsid w:val="00D81BC7"/>
    <w:rsid w:val="00D82693"/>
    <w:rsid w:val="00D83789"/>
    <w:rsid w:val="00D83BCC"/>
    <w:rsid w:val="00D8625E"/>
    <w:rsid w:val="00D86649"/>
    <w:rsid w:val="00D870C0"/>
    <w:rsid w:val="00D905F1"/>
    <w:rsid w:val="00D909E4"/>
    <w:rsid w:val="00D90B9B"/>
    <w:rsid w:val="00D91280"/>
    <w:rsid w:val="00D915A5"/>
    <w:rsid w:val="00D93079"/>
    <w:rsid w:val="00D94BB5"/>
    <w:rsid w:val="00D95020"/>
    <w:rsid w:val="00D95929"/>
    <w:rsid w:val="00D96FB0"/>
    <w:rsid w:val="00D9745A"/>
    <w:rsid w:val="00D97DB8"/>
    <w:rsid w:val="00DA0E31"/>
    <w:rsid w:val="00DA22C2"/>
    <w:rsid w:val="00DA4A4B"/>
    <w:rsid w:val="00DA5031"/>
    <w:rsid w:val="00DA78EF"/>
    <w:rsid w:val="00DA7E94"/>
    <w:rsid w:val="00DB05FE"/>
    <w:rsid w:val="00DB178E"/>
    <w:rsid w:val="00DB1DB3"/>
    <w:rsid w:val="00DB2DD8"/>
    <w:rsid w:val="00DB39DA"/>
    <w:rsid w:val="00DB4665"/>
    <w:rsid w:val="00DB74BE"/>
    <w:rsid w:val="00DB75FF"/>
    <w:rsid w:val="00DB7C4F"/>
    <w:rsid w:val="00DB7CD5"/>
    <w:rsid w:val="00DB7F2B"/>
    <w:rsid w:val="00DC157C"/>
    <w:rsid w:val="00DC310E"/>
    <w:rsid w:val="00DC3C6F"/>
    <w:rsid w:val="00DC5162"/>
    <w:rsid w:val="00DC5E7D"/>
    <w:rsid w:val="00DC605D"/>
    <w:rsid w:val="00DC62E4"/>
    <w:rsid w:val="00DC6874"/>
    <w:rsid w:val="00DD1722"/>
    <w:rsid w:val="00DD21E0"/>
    <w:rsid w:val="00DD27E1"/>
    <w:rsid w:val="00DD3F17"/>
    <w:rsid w:val="00DD5340"/>
    <w:rsid w:val="00DD755E"/>
    <w:rsid w:val="00DD7954"/>
    <w:rsid w:val="00DE0CBC"/>
    <w:rsid w:val="00DE1EFF"/>
    <w:rsid w:val="00DE28E1"/>
    <w:rsid w:val="00DE48A8"/>
    <w:rsid w:val="00DE4A84"/>
    <w:rsid w:val="00DE4E7A"/>
    <w:rsid w:val="00DE5F92"/>
    <w:rsid w:val="00DE7720"/>
    <w:rsid w:val="00DF0199"/>
    <w:rsid w:val="00DF08BF"/>
    <w:rsid w:val="00DF14D8"/>
    <w:rsid w:val="00DF19FB"/>
    <w:rsid w:val="00DF286A"/>
    <w:rsid w:val="00DF2D95"/>
    <w:rsid w:val="00DF6B83"/>
    <w:rsid w:val="00E01FA3"/>
    <w:rsid w:val="00E027F9"/>
    <w:rsid w:val="00E02958"/>
    <w:rsid w:val="00E036E5"/>
    <w:rsid w:val="00E03974"/>
    <w:rsid w:val="00E03F8B"/>
    <w:rsid w:val="00E0417B"/>
    <w:rsid w:val="00E042C9"/>
    <w:rsid w:val="00E054A9"/>
    <w:rsid w:val="00E06B1E"/>
    <w:rsid w:val="00E06CD2"/>
    <w:rsid w:val="00E06D51"/>
    <w:rsid w:val="00E07270"/>
    <w:rsid w:val="00E07C78"/>
    <w:rsid w:val="00E10B30"/>
    <w:rsid w:val="00E10FFD"/>
    <w:rsid w:val="00E11C22"/>
    <w:rsid w:val="00E12496"/>
    <w:rsid w:val="00E1343B"/>
    <w:rsid w:val="00E1373C"/>
    <w:rsid w:val="00E13ABC"/>
    <w:rsid w:val="00E1470F"/>
    <w:rsid w:val="00E14EA9"/>
    <w:rsid w:val="00E15CFC"/>
    <w:rsid w:val="00E15E31"/>
    <w:rsid w:val="00E20F81"/>
    <w:rsid w:val="00E20FAF"/>
    <w:rsid w:val="00E21619"/>
    <w:rsid w:val="00E21F14"/>
    <w:rsid w:val="00E22E71"/>
    <w:rsid w:val="00E2384A"/>
    <w:rsid w:val="00E23F9E"/>
    <w:rsid w:val="00E25545"/>
    <w:rsid w:val="00E25F0B"/>
    <w:rsid w:val="00E25FDE"/>
    <w:rsid w:val="00E2648A"/>
    <w:rsid w:val="00E266A0"/>
    <w:rsid w:val="00E271DA"/>
    <w:rsid w:val="00E2754E"/>
    <w:rsid w:val="00E3240F"/>
    <w:rsid w:val="00E32707"/>
    <w:rsid w:val="00E32E4F"/>
    <w:rsid w:val="00E33F69"/>
    <w:rsid w:val="00E34927"/>
    <w:rsid w:val="00E351E7"/>
    <w:rsid w:val="00E36E2B"/>
    <w:rsid w:val="00E40E3E"/>
    <w:rsid w:val="00E411BC"/>
    <w:rsid w:val="00E420A4"/>
    <w:rsid w:val="00E43327"/>
    <w:rsid w:val="00E44225"/>
    <w:rsid w:val="00E44667"/>
    <w:rsid w:val="00E446B5"/>
    <w:rsid w:val="00E44760"/>
    <w:rsid w:val="00E45C7A"/>
    <w:rsid w:val="00E4623C"/>
    <w:rsid w:val="00E47F17"/>
    <w:rsid w:val="00E50178"/>
    <w:rsid w:val="00E50E13"/>
    <w:rsid w:val="00E53555"/>
    <w:rsid w:val="00E5492D"/>
    <w:rsid w:val="00E5542E"/>
    <w:rsid w:val="00E5756B"/>
    <w:rsid w:val="00E6020D"/>
    <w:rsid w:val="00E60A9B"/>
    <w:rsid w:val="00E60D4D"/>
    <w:rsid w:val="00E6155A"/>
    <w:rsid w:val="00E61B72"/>
    <w:rsid w:val="00E63BE8"/>
    <w:rsid w:val="00E64DB0"/>
    <w:rsid w:val="00E655A6"/>
    <w:rsid w:val="00E65BC8"/>
    <w:rsid w:val="00E65D16"/>
    <w:rsid w:val="00E65DC9"/>
    <w:rsid w:val="00E65F0C"/>
    <w:rsid w:val="00E668EF"/>
    <w:rsid w:val="00E67023"/>
    <w:rsid w:val="00E67949"/>
    <w:rsid w:val="00E7023C"/>
    <w:rsid w:val="00E70DC4"/>
    <w:rsid w:val="00E71810"/>
    <w:rsid w:val="00E7197B"/>
    <w:rsid w:val="00E7225B"/>
    <w:rsid w:val="00E72A32"/>
    <w:rsid w:val="00E7320A"/>
    <w:rsid w:val="00E73446"/>
    <w:rsid w:val="00E7508D"/>
    <w:rsid w:val="00E761A9"/>
    <w:rsid w:val="00E76594"/>
    <w:rsid w:val="00E770B6"/>
    <w:rsid w:val="00E80A90"/>
    <w:rsid w:val="00E824C3"/>
    <w:rsid w:val="00E853F7"/>
    <w:rsid w:val="00E85E6C"/>
    <w:rsid w:val="00E866CD"/>
    <w:rsid w:val="00E86D86"/>
    <w:rsid w:val="00E86EA5"/>
    <w:rsid w:val="00E87138"/>
    <w:rsid w:val="00E8735C"/>
    <w:rsid w:val="00E8744E"/>
    <w:rsid w:val="00E878AC"/>
    <w:rsid w:val="00E9004D"/>
    <w:rsid w:val="00E905E8"/>
    <w:rsid w:val="00E9367A"/>
    <w:rsid w:val="00E939BE"/>
    <w:rsid w:val="00E95A24"/>
    <w:rsid w:val="00E96E33"/>
    <w:rsid w:val="00EA042B"/>
    <w:rsid w:val="00EA1CC6"/>
    <w:rsid w:val="00EA2F2A"/>
    <w:rsid w:val="00EA3625"/>
    <w:rsid w:val="00EA4A3D"/>
    <w:rsid w:val="00EA5076"/>
    <w:rsid w:val="00EA5A54"/>
    <w:rsid w:val="00EA5BCF"/>
    <w:rsid w:val="00EA6861"/>
    <w:rsid w:val="00EA6B45"/>
    <w:rsid w:val="00EA7886"/>
    <w:rsid w:val="00EA7AF8"/>
    <w:rsid w:val="00EB04FA"/>
    <w:rsid w:val="00EB05C9"/>
    <w:rsid w:val="00EB0D97"/>
    <w:rsid w:val="00EB1280"/>
    <w:rsid w:val="00EB3D55"/>
    <w:rsid w:val="00EB4778"/>
    <w:rsid w:val="00EB4AAA"/>
    <w:rsid w:val="00EB4E78"/>
    <w:rsid w:val="00EB5406"/>
    <w:rsid w:val="00EB5859"/>
    <w:rsid w:val="00EB65E7"/>
    <w:rsid w:val="00EB6A20"/>
    <w:rsid w:val="00EB7130"/>
    <w:rsid w:val="00EC0299"/>
    <w:rsid w:val="00EC03FF"/>
    <w:rsid w:val="00EC19DE"/>
    <w:rsid w:val="00EC1F10"/>
    <w:rsid w:val="00EC690E"/>
    <w:rsid w:val="00EC7C54"/>
    <w:rsid w:val="00ED0B49"/>
    <w:rsid w:val="00ED2015"/>
    <w:rsid w:val="00ED33D6"/>
    <w:rsid w:val="00ED4786"/>
    <w:rsid w:val="00ED5E63"/>
    <w:rsid w:val="00ED5FAF"/>
    <w:rsid w:val="00EE040A"/>
    <w:rsid w:val="00EE078E"/>
    <w:rsid w:val="00EE116E"/>
    <w:rsid w:val="00EE3098"/>
    <w:rsid w:val="00EE4E54"/>
    <w:rsid w:val="00EE50B9"/>
    <w:rsid w:val="00EE610E"/>
    <w:rsid w:val="00EE66EE"/>
    <w:rsid w:val="00EE6B6D"/>
    <w:rsid w:val="00EF10E5"/>
    <w:rsid w:val="00EF39EE"/>
    <w:rsid w:val="00EF3C21"/>
    <w:rsid w:val="00EF3E6C"/>
    <w:rsid w:val="00EF3FD9"/>
    <w:rsid w:val="00EF4EE1"/>
    <w:rsid w:val="00EF509D"/>
    <w:rsid w:val="00EF5F5B"/>
    <w:rsid w:val="00F01026"/>
    <w:rsid w:val="00F01326"/>
    <w:rsid w:val="00F03671"/>
    <w:rsid w:val="00F038CE"/>
    <w:rsid w:val="00F06300"/>
    <w:rsid w:val="00F10743"/>
    <w:rsid w:val="00F12398"/>
    <w:rsid w:val="00F12707"/>
    <w:rsid w:val="00F1363F"/>
    <w:rsid w:val="00F16DC1"/>
    <w:rsid w:val="00F16F62"/>
    <w:rsid w:val="00F1708B"/>
    <w:rsid w:val="00F17969"/>
    <w:rsid w:val="00F17BD4"/>
    <w:rsid w:val="00F20A26"/>
    <w:rsid w:val="00F21F58"/>
    <w:rsid w:val="00F22406"/>
    <w:rsid w:val="00F234C3"/>
    <w:rsid w:val="00F23B13"/>
    <w:rsid w:val="00F2554C"/>
    <w:rsid w:val="00F2606A"/>
    <w:rsid w:val="00F261F0"/>
    <w:rsid w:val="00F271F2"/>
    <w:rsid w:val="00F2770C"/>
    <w:rsid w:val="00F31FFD"/>
    <w:rsid w:val="00F32A5A"/>
    <w:rsid w:val="00F330E5"/>
    <w:rsid w:val="00F3388A"/>
    <w:rsid w:val="00F33A5E"/>
    <w:rsid w:val="00F33EE9"/>
    <w:rsid w:val="00F340B0"/>
    <w:rsid w:val="00F34745"/>
    <w:rsid w:val="00F35817"/>
    <w:rsid w:val="00F371EC"/>
    <w:rsid w:val="00F37667"/>
    <w:rsid w:val="00F4003D"/>
    <w:rsid w:val="00F41A0E"/>
    <w:rsid w:val="00F42DDE"/>
    <w:rsid w:val="00F430A5"/>
    <w:rsid w:val="00F442FF"/>
    <w:rsid w:val="00F44D7B"/>
    <w:rsid w:val="00F45F4F"/>
    <w:rsid w:val="00F4774E"/>
    <w:rsid w:val="00F47996"/>
    <w:rsid w:val="00F50817"/>
    <w:rsid w:val="00F53B78"/>
    <w:rsid w:val="00F53E43"/>
    <w:rsid w:val="00F5422B"/>
    <w:rsid w:val="00F546E8"/>
    <w:rsid w:val="00F55686"/>
    <w:rsid w:val="00F56FE0"/>
    <w:rsid w:val="00F60063"/>
    <w:rsid w:val="00F60281"/>
    <w:rsid w:val="00F607AE"/>
    <w:rsid w:val="00F60D7F"/>
    <w:rsid w:val="00F60F55"/>
    <w:rsid w:val="00F60F83"/>
    <w:rsid w:val="00F61183"/>
    <w:rsid w:val="00F6313B"/>
    <w:rsid w:val="00F63292"/>
    <w:rsid w:val="00F652D3"/>
    <w:rsid w:val="00F65AAB"/>
    <w:rsid w:val="00F708EE"/>
    <w:rsid w:val="00F70ACD"/>
    <w:rsid w:val="00F71FDB"/>
    <w:rsid w:val="00F759F4"/>
    <w:rsid w:val="00F75C1F"/>
    <w:rsid w:val="00F76198"/>
    <w:rsid w:val="00F765A3"/>
    <w:rsid w:val="00F7663D"/>
    <w:rsid w:val="00F766FD"/>
    <w:rsid w:val="00F77654"/>
    <w:rsid w:val="00F777BB"/>
    <w:rsid w:val="00F7782B"/>
    <w:rsid w:val="00F77BA9"/>
    <w:rsid w:val="00F80111"/>
    <w:rsid w:val="00F818CF"/>
    <w:rsid w:val="00F83290"/>
    <w:rsid w:val="00F8394E"/>
    <w:rsid w:val="00F83EE4"/>
    <w:rsid w:val="00F84CD3"/>
    <w:rsid w:val="00F853E7"/>
    <w:rsid w:val="00F87C55"/>
    <w:rsid w:val="00F90D54"/>
    <w:rsid w:val="00F91903"/>
    <w:rsid w:val="00F919DC"/>
    <w:rsid w:val="00F931C6"/>
    <w:rsid w:val="00F940B6"/>
    <w:rsid w:val="00F96307"/>
    <w:rsid w:val="00F973FD"/>
    <w:rsid w:val="00FA0D35"/>
    <w:rsid w:val="00FA14CD"/>
    <w:rsid w:val="00FA17C4"/>
    <w:rsid w:val="00FA18BA"/>
    <w:rsid w:val="00FA1C6C"/>
    <w:rsid w:val="00FA21CA"/>
    <w:rsid w:val="00FA29DF"/>
    <w:rsid w:val="00FA52AB"/>
    <w:rsid w:val="00FA5651"/>
    <w:rsid w:val="00FA6284"/>
    <w:rsid w:val="00FA6941"/>
    <w:rsid w:val="00FA78B1"/>
    <w:rsid w:val="00FB0406"/>
    <w:rsid w:val="00FB0ACE"/>
    <w:rsid w:val="00FB0BAE"/>
    <w:rsid w:val="00FB1733"/>
    <w:rsid w:val="00FB267F"/>
    <w:rsid w:val="00FB2B76"/>
    <w:rsid w:val="00FB3401"/>
    <w:rsid w:val="00FB4313"/>
    <w:rsid w:val="00FB5621"/>
    <w:rsid w:val="00FB5FD2"/>
    <w:rsid w:val="00FB7E0B"/>
    <w:rsid w:val="00FC14DC"/>
    <w:rsid w:val="00FC14FB"/>
    <w:rsid w:val="00FC26FE"/>
    <w:rsid w:val="00FC2A2B"/>
    <w:rsid w:val="00FC2A96"/>
    <w:rsid w:val="00FC4038"/>
    <w:rsid w:val="00FC449D"/>
    <w:rsid w:val="00FC5251"/>
    <w:rsid w:val="00FC5522"/>
    <w:rsid w:val="00FC5993"/>
    <w:rsid w:val="00FC5EF2"/>
    <w:rsid w:val="00FC6668"/>
    <w:rsid w:val="00FC69D7"/>
    <w:rsid w:val="00FC6DD0"/>
    <w:rsid w:val="00FC728D"/>
    <w:rsid w:val="00FC7D53"/>
    <w:rsid w:val="00FD097A"/>
    <w:rsid w:val="00FD178B"/>
    <w:rsid w:val="00FD193E"/>
    <w:rsid w:val="00FD1DB2"/>
    <w:rsid w:val="00FD2C91"/>
    <w:rsid w:val="00FD2F59"/>
    <w:rsid w:val="00FD3E9C"/>
    <w:rsid w:val="00FD3F58"/>
    <w:rsid w:val="00FD4018"/>
    <w:rsid w:val="00FD7172"/>
    <w:rsid w:val="00FD73BC"/>
    <w:rsid w:val="00FD76AC"/>
    <w:rsid w:val="00FE01DB"/>
    <w:rsid w:val="00FE17D3"/>
    <w:rsid w:val="00FE19B1"/>
    <w:rsid w:val="00FE59A6"/>
    <w:rsid w:val="00FE5CF5"/>
    <w:rsid w:val="00FE60E1"/>
    <w:rsid w:val="00FE6619"/>
    <w:rsid w:val="00FE6AA2"/>
    <w:rsid w:val="00FE6DCF"/>
    <w:rsid w:val="00FE6FB1"/>
    <w:rsid w:val="00FE7584"/>
    <w:rsid w:val="00FE761D"/>
    <w:rsid w:val="00FF0EB1"/>
    <w:rsid w:val="00FF18DD"/>
    <w:rsid w:val="00FF1EC1"/>
    <w:rsid w:val="00FF3E4E"/>
    <w:rsid w:val="00FF449D"/>
    <w:rsid w:val="00FF47E4"/>
    <w:rsid w:val="00FF4C49"/>
    <w:rsid w:val="00FF53AE"/>
    <w:rsid w:val="01421187"/>
    <w:rsid w:val="01555A83"/>
    <w:rsid w:val="0188492F"/>
    <w:rsid w:val="01AD613D"/>
    <w:rsid w:val="01B37E46"/>
    <w:rsid w:val="020D4E8E"/>
    <w:rsid w:val="0259583F"/>
    <w:rsid w:val="02650BBE"/>
    <w:rsid w:val="02692060"/>
    <w:rsid w:val="02B610A7"/>
    <w:rsid w:val="02C05B82"/>
    <w:rsid w:val="02C42BAE"/>
    <w:rsid w:val="02E2122E"/>
    <w:rsid w:val="02FB73D9"/>
    <w:rsid w:val="02FC3488"/>
    <w:rsid w:val="03043E98"/>
    <w:rsid w:val="03235C13"/>
    <w:rsid w:val="034147C5"/>
    <w:rsid w:val="034C26C8"/>
    <w:rsid w:val="03A24298"/>
    <w:rsid w:val="03B515CD"/>
    <w:rsid w:val="03C63982"/>
    <w:rsid w:val="03DF6CF4"/>
    <w:rsid w:val="03EB302B"/>
    <w:rsid w:val="04440310"/>
    <w:rsid w:val="045131F3"/>
    <w:rsid w:val="047D5F5E"/>
    <w:rsid w:val="04A04AD8"/>
    <w:rsid w:val="04B02B63"/>
    <w:rsid w:val="0512322B"/>
    <w:rsid w:val="05601DCE"/>
    <w:rsid w:val="056D28DA"/>
    <w:rsid w:val="05841E8F"/>
    <w:rsid w:val="058A74F2"/>
    <w:rsid w:val="05C20114"/>
    <w:rsid w:val="05FB4796"/>
    <w:rsid w:val="06221ABD"/>
    <w:rsid w:val="064548C6"/>
    <w:rsid w:val="06C904C7"/>
    <w:rsid w:val="06CF7AC1"/>
    <w:rsid w:val="06D664BC"/>
    <w:rsid w:val="077021BD"/>
    <w:rsid w:val="07780C75"/>
    <w:rsid w:val="077E6D90"/>
    <w:rsid w:val="078367D0"/>
    <w:rsid w:val="078B0FD7"/>
    <w:rsid w:val="07C313E3"/>
    <w:rsid w:val="07E03AC7"/>
    <w:rsid w:val="07F0330D"/>
    <w:rsid w:val="082011FC"/>
    <w:rsid w:val="08287914"/>
    <w:rsid w:val="08D1562E"/>
    <w:rsid w:val="08E862D7"/>
    <w:rsid w:val="08F34EDA"/>
    <w:rsid w:val="09030989"/>
    <w:rsid w:val="095839AA"/>
    <w:rsid w:val="0977162F"/>
    <w:rsid w:val="0A6F7872"/>
    <w:rsid w:val="0AE07D43"/>
    <w:rsid w:val="0AE93383"/>
    <w:rsid w:val="0BBB39BB"/>
    <w:rsid w:val="0BEB0BFF"/>
    <w:rsid w:val="0C1C5C73"/>
    <w:rsid w:val="0C3D1B25"/>
    <w:rsid w:val="0C7D46AA"/>
    <w:rsid w:val="0C836407"/>
    <w:rsid w:val="0C964FAC"/>
    <w:rsid w:val="0C9955B1"/>
    <w:rsid w:val="0CB47EF9"/>
    <w:rsid w:val="0CC171C3"/>
    <w:rsid w:val="0D32036F"/>
    <w:rsid w:val="0D564C9E"/>
    <w:rsid w:val="0D685FB5"/>
    <w:rsid w:val="0D695D07"/>
    <w:rsid w:val="0DA629A0"/>
    <w:rsid w:val="0DAC553C"/>
    <w:rsid w:val="0DCB7912"/>
    <w:rsid w:val="0E057DCD"/>
    <w:rsid w:val="0EB41C53"/>
    <w:rsid w:val="0EDA6AA6"/>
    <w:rsid w:val="0EFC777A"/>
    <w:rsid w:val="0F202A07"/>
    <w:rsid w:val="0F616D1B"/>
    <w:rsid w:val="0FEF09BE"/>
    <w:rsid w:val="0FFC37A2"/>
    <w:rsid w:val="10445549"/>
    <w:rsid w:val="1063181A"/>
    <w:rsid w:val="10690C2D"/>
    <w:rsid w:val="109709C4"/>
    <w:rsid w:val="10FE5294"/>
    <w:rsid w:val="110908B6"/>
    <w:rsid w:val="11413C1D"/>
    <w:rsid w:val="114E5B7A"/>
    <w:rsid w:val="11782E94"/>
    <w:rsid w:val="11905F28"/>
    <w:rsid w:val="11C04633"/>
    <w:rsid w:val="11C34E0A"/>
    <w:rsid w:val="11CD4AAA"/>
    <w:rsid w:val="1225714B"/>
    <w:rsid w:val="126E5CC4"/>
    <w:rsid w:val="128F7B72"/>
    <w:rsid w:val="12D57B4B"/>
    <w:rsid w:val="1333244D"/>
    <w:rsid w:val="13823BFA"/>
    <w:rsid w:val="13896CDE"/>
    <w:rsid w:val="13AC6B77"/>
    <w:rsid w:val="13B17BED"/>
    <w:rsid w:val="13CB7DDB"/>
    <w:rsid w:val="13CF268D"/>
    <w:rsid w:val="13F02B69"/>
    <w:rsid w:val="143F2A31"/>
    <w:rsid w:val="14621D3B"/>
    <w:rsid w:val="150B3AB6"/>
    <w:rsid w:val="15185DE6"/>
    <w:rsid w:val="154A4BCF"/>
    <w:rsid w:val="15746EEA"/>
    <w:rsid w:val="15900E7C"/>
    <w:rsid w:val="15B44A3A"/>
    <w:rsid w:val="15C36D02"/>
    <w:rsid w:val="1606637F"/>
    <w:rsid w:val="16350F32"/>
    <w:rsid w:val="164B569F"/>
    <w:rsid w:val="16572873"/>
    <w:rsid w:val="16703D03"/>
    <w:rsid w:val="16763D11"/>
    <w:rsid w:val="167C41DC"/>
    <w:rsid w:val="1688762A"/>
    <w:rsid w:val="16B13744"/>
    <w:rsid w:val="17727C01"/>
    <w:rsid w:val="17AB6524"/>
    <w:rsid w:val="17B90A07"/>
    <w:rsid w:val="17E669D9"/>
    <w:rsid w:val="180A7B45"/>
    <w:rsid w:val="18196DEE"/>
    <w:rsid w:val="183D0441"/>
    <w:rsid w:val="185962E0"/>
    <w:rsid w:val="18AF2F86"/>
    <w:rsid w:val="18C06807"/>
    <w:rsid w:val="18C902BC"/>
    <w:rsid w:val="191039E2"/>
    <w:rsid w:val="195B6470"/>
    <w:rsid w:val="1A3B1439"/>
    <w:rsid w:val="1A511FD6"/>
    <w:rsid w:val="1A527334"/>
    <w:rsid w:val="1A954FC5"/>
    <w:rsid w:val="1A9F1129"/>
    <w:rsid w:val="1B1B7DFD"/>
    <w:rsid w:val="1B2416C5"/>
    <w:rsid w:val="1B2A2545"/>
    <w:rsid w:val="1B350842"/>
    <w:rsid w:val="1B3745B9"/>
    <w:rsid w:val="1B5374C3"/>
    <w:rsid w:val="1B8D09D9"/>
    <w:rsid w:val="1C2C2AAE"/>
    <w:rsid w:val="1C345BB1"/>
    <w:rsid w:val="1C5B0156"/>
    <w:rsid w:val="1C6A76A2"/>
    <w:rsid w:val="1C9E1990"/>
    <w:rsid w:val="1CC66081"/>
    <w:rsid w:val="1D913622"/>
    <w:rsid w:val="1DA33226"/>
    <w:rsid w:val="1DCB7289"/>
    <w:rsid w:val="1EB35C63"/>
    <w:rsid w:val="1EB9247E"/>
    <w:rsid w:val="1EC60463"/>
    <w:rsid w:val="1EDA53ED"/>
    <w:rsid w:val="1EEB149B"/>
    <w:rsid w:val="1F0820A1"/>
    <w:rsid w:val="1F57441B"/>
    <w:rsid w:val="1F994B0B"/>
    <w:rsid w:val="20327F34"/>
    <w:rsid w:val="20597609"/>
    <w:rsid w:val="208B15D3"/>
    <w:rsid w:val="20D5160F"/>
    <w:rsid w:val="2106479A"/>
    <w:rsid w:val="2108761B"/>
    <w:rsid w:val="21147CB4"/>
    <w:rsid w:val="21A142E1"/>
    <w:rsid w:val="21CF1F04"/>
    <w:rsid w:val="21E14EFF"/>
    <w:rsid w:val="22141206"/>
    <w:rsid w:val="2218702C"/>
    <w:rsid w:val="22483A2E"/>
    <w:rsid w:val="225D50DD"/>
    <w:rsid w:val="2298599D"/>
    <w:rsid w:val="22A22F0E"/>
    <w:rsid w:val="22DD20A1"/>
    <w:rsid w:val="23306A85"/>
    <w:rsid w:val="233F7A86"/>
    <w:rsid w:val="23F10C49"/>
    <w:rsid w:val="23F22E19"/>
    <w:rsid w:val="24141244"/>
    <w:rsid w:val="242A6D50"/>
    <w:rsid w:val="24656D9F"/>
    <w:rsid w:val="246E0D90"/>
    <w:rsid w:val="24813B4F"/>
    <w:rsid w:val="2483176E"/>
    <w:rsid w:val="24DA1630"/>
    <w:rsid w:val="24FF7BD2"/>
    <w:rsid w:val="25030558"/>
    <w:rsid w:val="256B5319"/>
    <w:rsid w:val="259256F5"/>
    <w:rsid w:val="25A41E4B"/>
    <w:rsid w:val="25DD2E52"/>
    <w:rsid w:val="25F03801"/>
    <w:rsid w:val="25F71ABC"/>
    <w:rsid w:val="25F86609"/>
    <w:rsid w:val="26931713"/>
    <w:rsid w:val="269A23E6"/>
    <w:rsid w:val="26AB7FCD"/>
    <w:rsid w:val="26BD5B66"/>
    <w:rsid w:val="270D5EE3"/>
    <w:rsid w:val="2791451B"/>
    <w:rsid w:val="280604F7"/>
    <w:rsid w:val="28541FA8"/>
    <w:rsid w:val="28AC59FF"/>
    <w:rsid w:val="28E04927"/>
    <w:rsid w:val="28E9158A"/>
    <w:rsid w:val="28EC6D5F"/>
    <w:rsid w:val="29184EB9"/>
    <w:rsid w:val="2934414A"/>
    <w:rsid w:val="29570335"/>
    <w:rsid w:val="29570675"/>
    <w:rsid w:val="297C092A"/>
    <w:rsid w:val="2A184C45"/>
    <w:rsid w:val="2A681E26"/>
    <w:rsid w:val="2AB31E90"/>
    <w:rsid w:val="2AC1600F"/>
    <w:rsid w:val="2ACA4643"/>
    <w:rsid w:val="2AE34F80"/>
    <w:rsid w:val="2B3000EC"/>
    <w:rsid w:val="2B713914"/>
    <w:rsid w:val="2BB47688"/>
    <w:rsid w:val="2BC7436F"/>
    <w:rsid w:val="2C2C3A9D"/>
    <w:rsid w:val="2C745876"/>
    <w:rsid w:val="2CA83D44"/>
    <w:rsid w:val="2CB75C5B"/>
    <w:rsid w:val="2D0D28C5"/>
    <w:rsid w:val="2D1619EE"/>
    <w:rsid w:val="2D1F4A3D"/>
    <w:rsid w:val="2DAF2561"/>
    <w:rsid w:val="2DBC289C"/>
    <w:rsid w:val="2E541E5D"/>
    <w:rsid w:val="2EB33F88"/>
    <w:rsid w:val="2EBC5AE0"/>
    <w:rsid w:val="2ED539C1"/>
    <w:rsid w:val="2FC20952"/>
    <w:rsid w:val="3048428D"/>
    <w:rsid w:val="30AF736B"/>
    <w:rsid w:val="30C64312"/>
    <w:rsid w:val="30CF4F10"/>
    <w:rsid w:val="30E76726"/>
    <w:rsid w:val="31254D98"/>
    <w:rsid w:val="313C61AF"/>
    <w:rsid w:val="318A273B"/>
    <w:rsid w:val="31AC2736"/>
    <w:rsid w:val="31BC6A4D"/>
    <w:rsid w:val="31BF0204"/>
    <w:rsid w:val="32311949"/>
    <w:rsid w:val="324B5C21"/>
    <w:rsid w:val="32A71824"/>
    <w:rsid w:val="330C3E0A"/>
    <w:rsid w:val="332A1023"/>
    <w:rsid w:val="335150DD"/>
    <w:rsid w:val="335E6A1E"/>
    <w:rsid w:val="3389306E"/>
    <w:rsid w:val="339112B4"/>
    <w:rsid w:val="339552F1"/>
    <w:rsid w:val="339831F3"/>
    <w:rsid w:val="33BB61A5"/>
    <w:rsid w:val="33DA49A9"/>
    <w:rsid w:val="347E6ABD"/>
    <w:rsid w:val="349833D6"/>
    <w:rsid w:val="35115103"/>
    <w:rsid w:val="355845ED"/>
    <w:rsid w:val="358E669F"/>
    <w:rsid w:val="35A63010"/>
    <w:rsid w:val="35B22363"/>
    <w:rsid w:val="35C010E8"/>
    <w:rsid w:val="36084506"/>
    <w:rsid w:val="36235117"/>
    <w:rsid w:val="36670E9B"/>
    <w:rsid w:val="36A878CD"/>
    <w:rsid w:val="36CA5B55"/>
    <w:rsid w:val="36F21BBC"/>
    <w:rsid w:val="372330A1"/>
    <w:rsid w:val="381E27CB"/>
    <w:rsid w:val="382C55E0"/>
    <w:rsid w:val="38377E1A"/>
    <w:rsid w:val="38542B8F"/>
    <w:rsid w:val="38594B3A"/>
    <w:rsid w:val="386A0646"/>
    <w:rsid w:val="389E16F7"/>
    <w:rsid w:val="38A5437F"/>
    <w:rsid w:val="38C16069"/>
    <w:rsid w:val="38ED407E"/>
    <w:rsid w:val="39017963"/>
    <w:rsid w:val="390671B5"/>
    <w:rsid w:val="39395AC5"/>
    <w:rsid w:val="39613FAD"/>
    <w:rsid w:val="396670BA"/>
    <w:rsid w:val="39E224F7"/>
    <w:rsid w:val="39F90A26"/>
    <w:rsid w:val="39FA495D"/>
    <w:rsid w:val="3A642EEE"/>
    <w:rsid w:val="3A8125B4"/>
    <w:rsid w:val="3A98798D"/>
    <w:rsid w:val="3AC10F76"/>
    <w:rsid w:val="3B037108"/>
    <w:rsid w:val="3B2145E0"/>
    <w:rsid w:val="3B820492"/>
    <w:rsid w:val="3BA21182"/>
    <w:rsid w:val="3BC82F5D"/>
    <w:rsid w:val="3BD305AE"/>
    <w:rsid w:val="3BED096F"/>
    <w:rsid w:val="3C1A5994"/>
    <w:rsid w:val="3C6165BA"/>
    <w:rsid w:val="3C871EF7"/>
    <w:rsid w:val="3CCB3740"/>
    <w:rsid w:val="3CCE4265"/>
    <w:rsid w:val="3CEE197B"/>
    <w:rsid w:val="3D300271"/>
    <w:rsid w:val="3D632200"/>
    <w:rsid w:val="3D733AB0"/>
    <w:rsid w:val="3DB64B73"/>
    <w:rsid w:val="3DF35FF7"/>
    <w:rsid w:val="3E11005E"/>
    <w:rsid w:val="3E25558F"/>
    <w:rsid w:val="3E267699"/>
    <w:rsid w:val="3E521176"/>
    <w:rsid w:val="3E5F2CD1"/>
    <w:rsid w:val="3E646904"/>
    <w:rsid w:val="3E8E4C42"/>
    <w:rsid w:val="3EAC02C2"/>
    <w:rsid w:val="3EAC2EBB"/>
    <w:rsid w:val="3EFE5685"/>
    <w:rsid w:val="3F0547F1"/>
    <w:rsid w:val="3F3560D6"/>
    <w:rsid w:val="3F4B674B"/>
    <w:rsid w:val="3F6D42F2"/>
    <w:rsid w:val="3FA72715"/>
    <w:rsid w:val="3FB5648A"/>
    <w:rsid w:val="3FEF42DE"/>
    <w:rsid w:val="40013FEE"/>
    <w:rsid w:val="407531DF"/>
    <w:rsid w:val="40797C61"/>
    <w:rsid w:val="41267932"/>
    <w:rsid w:val="41A36B2C"/>
    <w:rsid w:val="41A606AB"/>
    <w:rsid w:val="41C665B3"/>
    <w:rsid w:val="41F574EF"/>
    <w:rsid w:val="420A4CB6"/>
    <w:rsid w:val="42201CEE"/>
    <w:rsid w:val="42577F47"/>
    <w:rsid w:val="426A63D4"/>
    <w:rsid w:val="42852F7C"/>
    <w:rsid w:val="42B20A35"/>
    <w:rsid w:val="42D26AA1"/>
    <w:rsid w:val="42FF6D06"/>
    <w:rsid w:val="43114EBB"/>
    <w:rsid w:val="432956FA"/>
    <w:rsid w:val="43383929"/>
    <w:rsid w:val="43A00101"/>
    <w:rsid w:val="43B45E99"/>
    <w:rsid w:val="44035752"/>
    <w:rsid w:val="44386306"/>
    <w:rsid w:val="447440D1"/>
    <w:rsid w:val="44AE7924"/>
    <w:rsid w:val="44B2397C"/>
    <w:rsid w:val="44CB35A3"/>
    <w:rsid w:val="44E3583B"/>
    <w:rsid w:val="45003969"/>
    <w:rsid w:val="453673BC"/>
    <w:rsid w:val="45485320"/>
    <w:rsid w:val="45EE0504"/>
    <w:rsid w:val="45FF64B3"/>
    <w:rsid w:val="468415B6"/>
    <w:rsid w:val="46963792"/>
    <w:rsid w:val="469B34A9"/>
    <w:rsid w:val="46DE2E39"/>
    <w:rsid w:val="46E66E37"/>
    <w:rsid w:val="4762774F"/>
    <w:rsid w:val="47B6117B"/>
    <w:rsid w:val="4816145F"/>
    <w:rsid w:val="483029BA"/>
    <w:rsid w:val="486E2FD5"/>
    <w:rsid w:val="48704003"/>
    <w:rsid w:val="487B5F72"/>
    <w:rsid w:val="489B740B"/>
    <w:rsid w:val="489D6F03"/>
    <w:rsid w:val="48B2667F"/>
    <w:rsid w:val="48BA02A0"/>
    <w:rsid w:val="48C10F48"/>
    <w:rsid w:val="48ED6DA1"/>
    <w:rsid w:val="48EE3DDA"/>
    <w:rsid w:val="49895747"/>
    <w:rsid w:val="499F39F6"/>
    <w:rsid w:val="49B11B54"/>
    <w:rsid w:val="4A202696"/>
    <w:rsid w:val="4A476CE2"/>
    <w:rsid w:val="4A5D4C28"/>
    <w:rsid w:val="4AF30E8F"/>
    <w:rsid w:val="4B0D4F4F"/>
    <w:rsid w:val="4B1B4FF0"/>
    <w:rsid w:val="4B6F747B"/>
    <w:rsid w:val="4BA1130F"/>
    <w:rsid w:val="4BEE5A4A"/>
    <w:rsid w:val="4C2704D6"/>
    <w:rsid w:val="4C424DCB"/>
    <w:rsid w:val="4CFA12D3"/>
    <w:rsid w:val="4D33238A"/>
    <w:rsid w:val="4D3F34C4"/>
    <w:rsid w:val="4D7E683C"/>
    <w:rsid w:val="4D804383"/>
    <w:rsid w:val="4D961DD5"/>
    <w:rsid w:val="4DA50446"/>
    <w:rsid w:val="4E2D27BF"/>
    <w:rsid w:val="4E7941E3"/>
    <w:rsid w:val="4EA21E4F"/>
    <w:rsid w:val="4EDB6781"/>
    <w:rsid w:val="4F071B74"/>
    <w:rsid w:val="4F306CDD"/>
    <w:rsid w:val="4F443527"/>
    <w:rsid w:val="4F462D73"/>
    <w:rsid w:val="4FA227D0"/>
    <w:rsid w:val="4FD35DEE"/>
    <w:rsid w:val="4FDB0149"/>
    <w:rsid w:val="50373B43"/>
    <w:rsid w:val="508768D2"/>
    <w:rsid w:val="50B420E5"/>
    <w:rsid w:val="50E65630"/>
    <w:rsid w:val="510876B9"/>
    <w:rsid w:val="51803769"/>
    <w:rsid w:val="51A04031"/>
    <w:rsid w:val="51B7229D"/>
    <w:rsid w:val="521176F0"/>
    <w:rsid w:val="52192B94"/>
    <w:rsid w:val="52232B32"/>
    <w:rsid w:val="522526F8"/>
    <w:rsid w:val="526E2E48"/>
    <w:rsid w:val="529B0709"/>
    <w:rsid w:val="529B4F95"/>
    <w:rsid w:val="52F26D4B"/>
    <w:rsid w:val="537B7EBC"/>
    <w:rsid w:val="53852171"/>
    <w:rsid w:val="53B94F3B"/>
    <w:rsid w:val="53CD599D"/>
    <w:rsid w:val="53D01365"/>
    <w:rsid w:val="542C63F0"/>
    <w:rsid w:val="5457231E"/>
    <w:rsid w:val="54632401"/>
    <w:rsid w:val="546D6331"/>
    <w:rsid w:val="54B464F7"/>
    <w:rsid w:val="54EB385C"/>
    <w:rsid w:val="55177B12"/>
    <w:rsid w:val="555C10E6"/>
    <w:rsid w:val="555E332C"/>
    <w:rsid w:val="556011AE"/>
    <w:rsid w:val="55AE223F"/>
    <w:rsid w:val="55C651DA"/>
    <w:rsid w:val="563B4E3A"/>
    <w:rsid w:val="563B7D79"/>
    <w:rsid w:val="5646069E"/>
    <w:rsid w:val="56613132"/>
    <w:rsid w:val="56970DD7"/>
    <w:rsid w:val="56FC4DA7"/>
    <w:rsid w:val="57223312"/>
    <w:rsid w:val="57225F23"/>
    <w:rsid w:val="572B6779"/>
    <w:rsid w:val="57426891"/>
    <w:rsid w:val="57615F57"/>
    <w:rsid w:val="57784D71"/>
    <w:rsid w:val="579A4D6E"/>
    <w:rsid w:val="579B65FC"/>
    <w:rsid w:val="57DB6913"/>
    <w:rsid w:val="588975A2"/>
    <w:rsid w:val="58B63F5A"/>
    <w:rsid w:val="58C41636"/>
    <w:rsid w:val="58CD4B7E"/>
    <w:rsid w:val="58CD624B"/>
    <w:rsid w:val="5A0418AC"/>
    <w:rsid w:val="5A0D49B6"/>
    <w:rsid w:val="5A37087E"/>
    <w:rsid w:val="5A6B6380"/>
    <w:rsid w:val="5AD4676F"/>
    <w:rsid w:val="5B0218BD"/>
    <w:rsid w:val="5B037967"/>
    <w:rsid w:val="5B6B08C4"/>
    <w:rsid w:val="5B8D674C"/>
    <w:rsid w:val="5B9D47D8"/>
    <w:rsid w:val="5C1A3785"/>
    <w:rsid w:val="5C4B0991"/>
    <w:rsid w:val="5C571885"/>
    <w:rsid w:val="5C8F0894"/>
    <w:rsid w:val="5C9F583B"/>
    <w:rsid w:val="5CC114B6"/>
    <w:rsid w:val="5CCF6498"/>
    <w:rsid w:val="5CD82279"/>
    <w:rsid w:val="5D4D4F5E"/>
    <w:rsid w:val="5D70247C"/>
    <w:rsid w:val="5D923F3B"/>
    <w:rsid w:val="5DA0798E"/>
    <w:rsid w:val="5DFA2BC2"/>
    <w:rsid w:val="5E1748A8"/>
    <w:rsid w:val="5E225AE9"/>
    <w:rsid w:val="5E7A3557"/>
    <w:rsid w:val="5E9702A6"/>
    <w:rsid w:val="5EE97491"/>
    <w:rsid w:val="5EFF764D"/>
    <w:rsid w:val="5F627FC1"/>
    <w:rsid w:val="5F6B6138"/>
    <w:rsid w:val="5F892579"/>
    <w:rsid w:val="600639B4"/>
    <w:rsid w:val="603A2EFF"/>
    <w:rsid w:val="604B1BD5"/>
    <w:rsid w:val="605C772C"/>
    <w:rsid w:val="60A05966"/>
    <w:rsid w:val="60A41E6E"/>
    <w:rsid w:val="60CF037A"/>
    <w:rsid w:val="613A1A22"/>
    <w:rsid w:val="61581610"/>
    <w:rsid w:val="61CF7D4E"/>
    <w:rsid w:val="61DD1A37"/>
    <w:rsid w:val="61EF700B"/>
    <w:rsid w:val="61F052DE"/>
    <w:rsid w:val="621534B0"/>
    <w:rsid w:val="62767DCF"/>
    <w:rsid w:val="62AA6F9F"/>
    <w:rsid w:val="62EB37BA"/>
    <w:rsid w:val="632747E0"/>
    <w:rsid w:val="636E0FF0"/>
    <w:rsid w:val="63AF45B6"/>
    <w:rsid w:val="63D2169D"/>
    <w:rsid w:val="6417015E"/>
    <w:rsid w:val="64241866"/>
    <w:rsid w:val="64396F5A"/>
    <w:rsid w:val="64AC4E72"/>
    <w:rsid w:val="64E74790"/>
    <w:rsid w:val="654E6031"/>
    <w:rsid w:val="656B31E0"/>
    <w:rsid w:val="6577602A"/>
    <w:rsid w:val="65C54CEF"/>
    <w:rsid w:val="660431E7"/>
    <w:rsid w:val="660C69A7"/>
    <w:rsid w:val="66346736"/>
    <w:rsid w:val="66C733C8"/>
    <w:rsid w:val="66E650A6"/>
    <w:rsid w:val="670C31C5"/>
    <w:rsid w:val="67190736"/>
    <w:rsid w:val="67390C9E"/>
    <w:rsid w:val="69593972"/>
    <w:rsid w:val="6A0C144B"/>
    <w:rsid w:val="6A1B51AB"/>
    <w:rsid w:val="6A2C0B47"/>
    <w:rsid w:val="6A5451E2"/>
    <w:rsid w:val="6A84579F"/>
    <w:rsid w:val="6ABB11CB"/>
    <w:rsid w:val="6AC4685D"/>
    <w:rsid w:val="6AC570AD"/>
    <w:rsid w:val="6ADB3B18"/>
    <w:rsid w:val="6B0400BC"/>
    <w:rsid w:val="6B15680D"/>
    <w:rsid w:val="6B213007"/>
    <w:rsid w:val="6B557F6D"/>
    <w:rsid w:val="6B692947"/>
    <w:rsid w:val="6B7C19C3"/>
    <w:rsid w:val="6B816B7C"/>
    <w:rsid w:val="6B8732B3"/>
    <w:rsid w:val="6B8A5B9A"/>
    <w:rsid w:val="6B9670CB"/>
    <w:rsid w:val="6BC23105"/>
    <w:rsid w:val="6BE316AF"/>
    <w:rsid w:val="6BEB1538"/>
    <w:rsid w:val="6C084384"/>
    <w:rsid w:val="6C1C2F6A"/>
    <w:rsid w:val="6C2F7685"/>
    <w:rsid w:val="6C595E91"/>
    <w:rsid w:val="6C73715C"/>
    <w:rsid w:val="6CA0722A"/>
    <w:rsid w:val="6D0936F8"/>
    <w:rsid w:val="6D142ED6"/>
    <w:rsid w:val="6D22782B"/>
    <w:rsid w:val="6D824E63"/>
    <w:rsid w:val="6DCB6A81"/>
    <w:rsid w:val="6DD52E0F"/>
    <w:rsid w:val="6E582B05"/>
    <w:rsid w:val="6EC00EDA"/>
    <w:rsid w:val="6EC529E4"/>
    <w:rsid w:val="6EE20A28"/>
    <w:rsid w:val="6F6B564B"/>
    <w:rsid w:val="6F913014"/>
    <w:rsid w:val="6FC81F88"/>
    <w:rsid w:val="705C611A"/>
    <w:rsid w:val="705E699E"/>
    <w:rsid w:val="70B02D5B"/>
    <w:rsid w:val="70CE362B"/>
    <w:rsid w:val="70FC4743"/>
    <w:rsid w:val="71307F3A"/>
    <w:rsid w:val="71484F77"/>
    <w:rsid w:val="715378FD"/>
    <w:rsid w:val="71CA2701"/>
    <w:rsid w:val="71E3495A"/>
    <w:rsid w:val="72241E83"/>
    <w:rsid w:val="72CB2AD3"/>
    <w:rsid w:val="73037F1A"/>
    <w:rsid w:val="73353F3B"/>
    <w:rsid w:val="73607849"/>
    <w:rsid w:val="738F7F4B"/>
    <w:rsid w:val="73AC6508"/>
    <w:rsid w:val="73AE052C"/>
    <w:rsid w:val="740D54D7"/>
    <w:rsid w:val="741544AD"/>
    <w:rsid w:val="747A59CC"/>
    <w:rsid w:val="74DA023C"/>
    <w:rsid w:val="74E5766A"/>
    <w:rsid w:val="7524027F"/>
    <w:rsid w:val="75666216"/>
    <w:rsid w:val="75815178"/>
    <w:rsid w:val="759F5AD2"/>
    <w:rsid w:val="75C548CA"/>
    <w:rsid w:val="76042EB0"/>
    <w:rsid w:val="7697166F"/>
    <w:rsid w:val="76B60654"/>
    <w:rsid w:val="76C47188"/>
    <w:rsid w:val="76FB52ED"/>
    <w:rsid w:val="775A64BB"/>
    <w:rsid w:val="777507F4"/>
    <w:rsid w:val="777A608B"/>
    <w:rsid w:val="78257B7B"/>
    <w:rsid w:val="783072A3"/>
    <w:rsid w:val="7868037C"/>
    <w:rsid w:val="78EC209E"/>
    <w:rsid w:val="797E524E"/>
    <w:rsid w:val="799C4F18"/>
    <w:rsid w:val="79B56E51"/>
    <w:rsid w:val="79C31985"/>
    <w:rsid w:val="79EA5479"/>
    <w:rsid w:val="7A565E0A"/>
    <w:rsid w:val="7A84427B"/>
    <w:rsid w:val="7AF761AB"/>
    <w:rsid w:val="7AFB2E5A"/>
    <w:rsid w:val="7B0343CA"/>
    <w:rsid w:val="7B1D4917"/>
    <w:rsid w:val="7B9B69D9"/>
    <w:rsid w:val="7BDE0C51"/>
    <w:rsid w:val="7C2F452D"/>
    <w:rsid w:val="7C366182"/>
    <w:rsid w:val="7C7A071A"/>
    <w:rsid w:val="7C861960"/>
    <w:rsid w:val="7CA824FB"/>
    <w:rsid w:val="7D080A8E"/>
    <w:rsid w:val="7D490130"/>
    <w:rsid w:val="7D5E4162"/>
    <w:rsid w:val="7DB2357C"/>
    <w:rsid w:val="7DE73A83"/>
    <w:rsid w:val="7DF068BB"/>
    <w:rsid w:val="7DF724C7"/>
    <w:rsid w:val="7E962C9D"/>
    <w:rsid w:val="7EB360B1"/>
    <w:rsid w:val="7F0C2432"/>
    <w:rsid w:val="7F3C7CD8"/>
    <w:rsid w:val="7FE33B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9"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qFormat="1"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45"/>
    <w:qFormat/>
    <w:uiPriority w:val="0"/>
    <w:pPr>
      <w:keepNext/>
      <w:jc w:val="center"/>
      <w:outlineLvl w:val="0"/>
    </w:pPr>
    <w:rPr>
      <w:sz w:val="28"/>
      <w:szCs w:val="20"/>
    </w:rPr>
  </w:style>
  <w:style w:type="paragraph" w:styleId="4">
    <w:name w:val="heading 2"/>
    <w:basedOn w:val="1"/>
    <w:next w:val="1"/>
    <w:link w:val="42"/>
    <w:qFormat/>
    <w:uiPriority w:val="0"/>
    <w:pPr>
      <w:keepNext/>
      <w:keepLines/>
      <w:autoSpaceDE w:val="0"/>
      <w:autoSpaceDN w:val="0"/>
      <w:adjustRightInd w:val="0"/>
      <w:spacing w:before="120" w:after="120"/>
      <w:textAlignment w:val="baseline"/>
      <w:outlineLvl w:val="1"/>
    </w:pPr>
    <w:rPr>
      <w:rFonts w:ascii="宋体" w:hAnsi="Arial" w:eastAsia="楷体_GB2312"/>
      <w:b/>
      <w:kern w:val="24"/>
      <w:sz w:val="24"/>
      <w:szCs w:val="20"/>
    </w:rPr>
  </w:style>
  <w:style w:type="paragraph" w:styleId="5">
    <w:name w:val="heading 3"/>
    <w:basedOn w:val="1"/>
    <w:next w:val="1"/>
    <w:qFormat/>
    <w:uiPriority w:val="9"/>
    <w:pPr>
      <w:numPr>
        <w:ilvl w:val="2"/>
        <w:numId w:val="1"/>
      </w:numPr>
      <w:autoSpaceDE w:val="0"/>
      <w:autoSpaceDN w:val="0"/>
      <w:adjustRightInd w:val="0"/>
      <w:spacing w:before="120" w:after="120"/>
      <w:textAlignment w:val="baseline"/>
      <w:outlineLvl w:val="2"/>
    </w:pPr>
    <w:rPr>
      <w:rFonts w:ascii="宋体" w:hAnsi="Impact" w:eastAsia="楷体_GB2312"/>
      <w:b/>
      <w:kern w:val="24"/>
      <w:sz w:val="24"/>
      <w:szCs w:val="20"/>
    </w:rPr>
  </w:style>
  <w:style w:type="paragraph" w:styleId="6">
    <w:name w:val="heading 4"/>
    <w:basedOn w:val="1"/>
    <w:next w:val="1"/>
    <w:qFormat/>
    <w:uiPriority w:val="0"/>
    <w:pPr>
      <w:numPr>
        <w:ilvl w:val="3"/>
        <w:numId w:val="2"/>
      </w:numPr>
      <w:autoSpaceDE w:val="0"/>
      <w:autoSpaceDN w:val="0"/>
      <w:adjustRightInd w:val="0"/>
      <w:spacing w:before="120" w:after="120"/>
      <w:textAlignment w:val="baseline"/>
      <w:outlineLvl w:val="3"/>
    </w:pPr>
    <w:rPr>
      <w:rFonts w:ascii="宋体" w:hAnsi="Arial" w:eastAsia="楷体_GB2312"/>
      <w:b/>
      <w:kern w:val="24"/>
      <w:sz w:val="24"/>
      <w:szCs w:val="20"/>
    </w:rPr>
  </w:style>
  <w:style w:type="paragraph" w:styleId="7">
    <w:name w:val="heading 5"/>
    <w:basedOn w:val="1"/>
    <w:next w:val="8"/>
    <w:qFormat/>
    <w:uiPriority w:val="0"/>
    <w:pPr>
      <w:keepNext/>
      <w:keepLines/>
      <w:numPr>
        <w:ilvl w:val="4"/>
        <w:numId w:val="2"/>
      </w:numPr>
      <w:spacing w:before="60" w:after="60"/>
      <w:outlineLvl w:val="4"/>
    </w:pPr>
    <w:rPr>
      <w:rFonts w:ascii="宋体" w:hAnsi="Impact" w:eastAsia="楷体_GB2312"/>
      <w:b/>
      <w:sz w:val="24"/>
      <w:szCs w:val="20"/>
    </w:rPr>
  </w:style>
  <w:style w:type="paragraph" w:styleId="9">
    <w:name w:val="heading 6"/>
    <w:basedOn w:val="1"/>
    <w:next w:val="1"/>
    <w:qFormat/>
    <w:uiPriority w:val="0"/>
    <w:pPr>
      <w:keepNext/>
      <w:keepLines/>
      <w:numPr>
        <w:ilvl w:val="5"/>
        <w:numId w:val="2"/>
      </w:numPr>
      <w:autoSpaceDE w:val="0"/>
      <w:autoSpaceDN w:val="0"/>
      <w:adjustRightInd w:val="0"/>
      <w:spacing w:before="120" w:after="64" w:line="317" w:lineRule="auto"/>
      <w:textAlignment w:val="baseline"/>
      <w:outlineLvl w:val="5"/>
    </w:pPr>
    <w:rPr>
      <w:rFonts w:ascii="Arial" w:hAnsi="Arial" w:eastAsia="楷体_GB2312"/>
      <w:b/>
      <w:kern w:val="24"/>
      <w:sz w:val="24"/>
      <w:szCs w:val="20"/>
    </w:rPr>
  </w:style>
  <w:style w:type="paragraph" w:styleId="10">
    <w:name w:val="heading 7"/>
    <w:basedOn w:val="1"/>
    <w:next w:val="1"/>
    <w:qFormat/>
    <w:uiPriority w:val="9"/>
    <w:pPr>
      <w:keepNext/>
      <w:keepLines/>
      <w:numPr>
        <w:ilvl w:val="6"/>
        <w:numId w:val="2"/>
      </w:numPr>
      <w:autoSpaceDE w:val="0"/>
      <w:autoSpaceDN w:val="0"/>
      <w:adjustRightInd w:val="0"/>
      <w:spacing w:before="240" w:after="64" w:line="319" w:lineRule="auto"/>
      <w:textAlignment w:val="baseline"/>
      <w:outlineLvl w:val="6"/>
    </w:pPr>
    <w:rPr>
      <w:rFonts w:ascii="宋体" w:hAnsi="Impact" w:eastAsia="楷体_GB2312"/>
      <w:b/>
      <w:kern w:val="24"/>
      <w:sz w:val="24"/>
      <w:szCs w:val="20"/>
    </w:rPr>
  </w:style>
  <w:style w:type="paragraph" w:styleId="11">
    <w:name w:val="heading 8"/>
    <w:basedOn w:val="1"/>
    <w:next w:val="1"/>
    <w:qFormat/>
    <w:uiPriority w:val="0"/>
    <w:pPr>
      <w:keepNext/>
      <w:keepLines/>
      <w:numPr>
        <w:ilvl w:val="7"/>
        <w:numId w:val="2"/>
      </w:numPr>
      <w:autoSpaceDE w:val="0"/>
      <w:autoSpaceDN w:val="0"/>
      <w:adjustRightInd w:val="0"/>
      <w:spacing w:before="240" w:after="64" w:line="319" w:lineRule="auto"/>
      <w:textAlignment w:val="baseline"/>
      <w:outlineLvl w:val="7"/>
    </w:pPr>
    <w:rPr>
      <w:rFonts w:ascii="Arial" w:hAnsi="Arial" w:eastAsia="黑体"/>
      <w:kern w:val="24"/>
      <w:sz w:val="24"/>
      <w:szCs w:val="20"/>
    </w:rPr>
  </w:style>
  <w:style w:type="paragraph" w:styleId="12">
    <w:name w:val="heading 9"/>
    <w:basedOn w:val="1"/>
    <w:next w:val="1"/>
    <w:qFormat/>
    <w:uiPriority w:val="0"/>
    <w:pPr>
      <w:keepNext/>
      <w:keepLines/>
      <w:numPr>
        <w:ilvl w:val="8"/>
        <w:numId w:val="2"/>
      </w:numPr>
      <w:autoSpaceDE w:val="0"/>
      <w:autoSpaceDN w:val="0"/>
      <w:adjustRightInd w:val="0"/>
      <w:spacing w:before="240" w:after="64" w:line="319" w:lineRule="auto"/>
      <w:textAlignment w:val="baseline"/>
      <w:outlineLvl w:val="8"/>
    </w:pPr>
    <w:rPr>
      <w:rFonts w:ascii="Arial" w:hAnsi="Arial" w:eastAsia="黑体"/>
      <w:kern w:val="24"/>
      <w:szCs w:val="20"/>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正文 首行缩进:  2 字符"/>
    <w:basedOn w:val="1"/>
    <w:qFormat/>
    <w:uiPriority w:val="0"/>
    <w:pPr>
      <w:adjustRightInd w:val="0"/>
      <w:snapToGrid w:val="0"/>
      <w:ind w:firstLine="579" w:firstLineChars="200"/>
    </w:pPr>
    <w:rPr>
      <w:rFonts w:cs="宋体"/>
      <w:sz w:val="28"/>
      <w:szCs w:val="20"/>
    </w:rPr>
  </w:style>
  <w:style w:type="paragraph" w:styleId="8">
    <w:name w:val="Normal Indent"/>
    <w:basedOn w:val="1"/>
    <w:link w:val="59"/>
    <w:qFormat/>
    <w:uiPriority w:val="0"/>
    <w:pPr>
      <w:ind w:firstLine="420"/>
    </w:pPr>
  </w:style>
  <w:style w:type="paragraph" w:styleId="13">
    <w:name w:val="List 3"/>
    <w:basedOn w:val="1"/>
    <w:qFormat/>
    <w:uiPriority w:val="0"/>
    <w:pPr>
      <w:ind w:left="100" w:leftChars="400" w:hanging="200" w:hangingChars="200"/>
    </w:pPr>
  </w:style>
  <w:style w:type="paragraph" w:styleId="14">
    <w:name w:val="Note Heading"/>
    <w:basedOn w:val="1"/>
    <w:next w:val="1"/>
    <w:qFormat/>
    <w:uiPriority w:val="0"/>
    <w:pPr>
      <w:jc w:val="center"/>
    </w:pPr>
    <w:rPr>
      <w:szCs w:val="20"/>
    </w:rPr>
  </w:style>
  <w:style w:type="paragraph" w:styleId="15">
    <w:name w:val="Document Map"/>
    <w:basedOn w:val="1"/>
    <w:semiHidden/>
    <w:qFormat/>
    <w:uiPriority w:val="0"/>
    <w:pPr>
      <w:shd w:val="clear" w:color="auto" w:fill="000080"/>
    </w:pPr>
  </w:style>
  <w:style w:type="paragraph" w:styleId="16">
    <w:name w:val="annotation text"/>
    <w:basedOn w:val="1"/>
    <w:link w:val="48"/>
    <w:qFormat/>
    <w:uiPriority w:val="0"/>
    <w:pPr>
      <w:jc w:val="left"/>
    </w:pPr>
  </w:style>
  <w:style w:type="paragraph" w:styleId="17">
    <w:name w:val="Body Text"/>
    <w:basedOn w:val="1"/>
    <w:link w:val="95"/>
    <w:qFormat/>
    <w:uiPriority w:val="0"/>
    <w:pPr>
      <w:spacing w:line="360" w:lineRule="auto"/>
    </w:pPr>
    <w:rPr>
      <w:b/>
      <w:bCs/>
      <w:sz w:val="32"/>
    </w:rPr>
  </w:style>
  <w:style w:type="paragraph" w:styleId="18">
    <w:name w:val="Body Text Indent"/>
    <w:basedOn w:val="1"/>
    <w:link w:val="50"/>
    <w:qFormat/>
    <w:uiPriority w:val="0"/>
    <w:pPr>
      <w:spacing w:line="300" w:lineRule="auto"/>
      <w:ind w:firstLine="454"/>
    </w:pPr>
    <w:rPr>
      <w:sz w:val="24"/>
    </w:rPr>
  </w:style>
  <w:style w:type="paragraph" w:styleId="19">
    <w:name w:val="Plain Text"/>
    <w:basedOn w:val="1"/>
    <w:qFormat/>
    <w:uiPriority w:val="0"/>
    <w:rPr>
      <w:rFonts w:ascii="宋体" w:hAnsi="Courier New"/>
      <w:szCs w:val="20"/>
    </w:rPr>
  </w:style>
  <w:style w:type="paragraph" w:styleId="20">
    <w:name w:val="Date"/>
    <w:basedOn w:val="1"/>
    <w:next w:val="1"/>
    <w:qFormat/>
    <w:uiPriority w:val="0"/>
    <w:rPr>
      <w:sz w:val="24"/>
      <w:szCs w:val="20"/>
    </w:rPr>
  </w:style>
  <w:style w:type="paragraph" w:styleId="21">
    <w:name w:val="Body Text Indent 2"/>
    <w:basedOn w:val="1"/>
    <w:qFormat/>
    <w:uiPriority w:val="0"/>
    <w:pPr>
      <w:widowControl/>
      <w:ind w:firstLine="430"/>
      <w:jc w:val="left"/>
    </w:pPr>
    <w:rPr>
      <w:kern w:val="0"/>
      <w:sz w:val="24"/>
      <w:szCs w:val="20"/>
    </w:rPr>
  </w:style>
  <w:style w:type="paragraph" w:styleId="22">
    <w:name w:val="Balloon Text"/>
    <w:basedOn w:val="1"/>
    <w:semiHidden/>
    <w:qFormat/>
    <w:uiPriority w:val="0"/>
    <w:rPr>
      <w:sz w:val="18"/>
      <w:szCs w:val="18"/>
    </w:rPr>
  </w:style>
  <w:style w:type="paragraph" w:styleId="23">
    <w:name w:val="footer"/>
    <w:basedOn w:val="1"/>
    <w:link w:val="39"/>
    <w:qFormat/>
    <w:uiPriority w:val="99"/>
    <w:pPr>
      <w:widowControl/>
      <w:tabs>
        <w:tab w:val="center" w:pos="4153"/>
        <w:tab w:val="right" w:pos="8306"/>
      </w:tabs>
      <w:snapToGrid w:val="0"/>
      <w:jc w:val="left"/>
    </w:pPr>
    <w:rPr>
      <w:kern w:val="0"/>
      <w:sz w:val="18"/>
      <w:szCs w:val="20"/>
    </w:rPr>
  </w:style>
  <w:style w:type="paragraph" w:styleId="2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5">
    <w:name w:val="List"/>
    <w:basedOn w:val="1"/>
    <w:qFormat/>
    <w:uiPriority w:val="0"/>
    <w:pPr>
      <w:ind w:left="200" w:hanging="200" w:hangingChars="200"/>
      <w:contextualSpacing/>
    </w:pPr>
  </w:style>
  <w:style w:type="paragraph" w:styleId="26">
    <w:name w:val="Body Text Indent 3"/>
    <w:basedOn w:val="1"/>
    <w:qFormat/>
    <w:uiPriority w:val="0"/>
    <w:pPr>
      <w:spacing w:line="288" w:lineRule="auto"/>
      <w:ind w:firstLine="430"/>
    </w:pPr>
    <w:rPr>
      <w:sz w:val="24"/>
    </w:rPr>
  </w:style>
  <w:style w:type="paragraph" w:styleId="27">
    <w:name w:val="Body Text 2"/>
    <w:basedOn w:val="1"/>
    <w:qFormat/>
    <w:uiPriority w:val="0"/>
    <w:pPr>
      <w:jc w:val="center"/>
    </w:pPr>
    <w:rPr>
      <w:szCs w:val="20"/>
    </w:rPr>
  </w:style>
  <w:style w:type="paragraph" w:styleId="28">
    <w:name w:val="Normal (Web)"/>
    <w:basedOn w:val="1"/>
    <w:qFormat/>
    <w:uiPriority w:val="99"/>
    <w:pPr>
      <w:widowControl/>
      <w:spacing w:before="100" w:beforeAutospacing="1" w:after="100" w:afterAutospacing="1"/>
      <w:jc w:val="left"/>
    </w:pPr>
    <w:rPr>
      <w:rFonts w:ascii="宋体" w:hAnsi="宋体" w:cs="宋体"/>
      <w:color w:val="000000"/>
      <w:kern w:val="0"/>
      <w:sz w:val="24"/>
    </w:rPr>
  </w:style>
  <w:style w:type="paragraph" w:styleId="29">
    <w:name w:val="annotation subject"/>
    <w:basedOn w:val="16"/>
    <w:next w:val="16"/>
    <w:semiHidden/>
    <w:qFormat/>
    <w:uiPriority w:val="0"/>
    <w:rPr>
      <w:b/>
      <w:bCs/>
    </w:rPr>
  </w:style>
  <w:style w:type="paragraph" w:styleId="30">
    <w:name w:val="Body Text First Indent"/>
    <w:basedOn w:val="17"/>
    <w:link w:val="96"/>
    <w:qFormat/>
    <w:uiPriority w:val="0"/>
    <w:pPr>
      <w:spacing w:after="120" w:line="240" w:lineRule="auto"/>
      <w:ind w:firstLine="420" w:firstLineChars="100"/>
    </w:pPr>
    <w:rPr>
      <w:b w:val="0"/>
      <w:bCs w:val="0"/>
      <w:sz w:val="21"/>
      <w:szCs w:val="20"/>
    </w:rPr>
  </w:style>
  <w:style w:type="table" w:styleId="32">
    <w:name w:val="Table Grid"/>
    <w:basedOn w:val="3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34">
    <w:name w:val="Strong"/>
    <w:qFormat/>
    <w:uiPriority w:val="0"/>
    <w:rPr>
      <w:b/>
      <w:bCs/>
    </w:rPr>
  </w:style>
  <w:style w:type="character" w:styleId="35">
    <w:name w:val="page number"/>
    <w:basedOn w:val="33"/>
    <w:qFormat/>
    <w:uiPriority w:val="0"/>
  </w:style>
  <w:style w:type="character" w:styleId="36">
    <w:name w:val="Hyperlink"/>
    <w:qFormat/>
    <w:uiPriority w:val="0"/>
    <w:rPr>
      <w:color w:val="136EC2"/>
      <w:u w:val="single"/>
    </w:rPr>
  </w:style>
  <w:style w:type="character" w:styleId="37">
    <w:name w:val="annotation reference"/>
    <w:semiHidden/>
    <w:qFormat/>
    <w:uiPriority w:val="0"/>
    <w:rPr>
      <w:sz w:val="21"/>
      <w:szCs w:val="21"/>
    </w:rPr>
  </w:style>
  <w:style w:type="paragraph" w:customStyle="1" w:styleId="3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39">
    <w:name w:val="页脚 字符"/>
    <w:link w:val="23"/>
    <w:qFormat/>
    <w:uiPriority w:val="99"/>
    <w:rPr>
      <w:rFonts w:eastAsia="宋体"/>
      <w:sz w:val="18"/>
      <w:lang w:bidi="ar-SA"/>
    </w:rPr>
  </w:style>
  <w:style w:type="character" w:customStyle="1" w:styleId="40">
    <w:name w:val="正文 03 Char"/>
    <w:link w:val="41"/>
    <w:qFormat/>
    <w:uiPriority w:val="0"/>
    <w:rPr>
      <w:rFonts w:eastAsia="楷体_GB2312"/>
      <w:sz w:val="24"/>
      <w:lang w:val="en-US" w:eastAsia="zh-CN" w:bidi="ar-SA"/>
    </w:rPr>
  </w:style>
  <w:style w:type="paragraph" w:customStyle="1" w:styleId="41">
    <w:name w:val="正文 03"/>
    <w:basedOn w:val="1"/>
    <w:link w:val="40"/>
    <w:qFormat/>
    <w:uiPriority w:val="0"/>
    <w:pPr>
      <w:autoSpaceDE w:val="0"/>
      <w:autoSpaceDN w:val="0"/>
      <w:adjustRightInd w:val="0"/>
      <w:textAlignment w:val="baseline"/>
    </w:pPr>
    <w:rPr>
      <w:rFonts w:eastAsia="楷体_GB2312"/>
      <w:kern w:val="0"/>
      <w:sz w:val="24"/>
      <w:szCs w:val="20"/>
    </w:rPr>
  </w:style>
  <w:style w:type="character" w:customStyle="1" w:styleId="42">
    <w:name w:val="标题 2 字符1"/>
    <w:link w:val="4"/>
    <w:qFormat/>
    <w:uiPriority w:val="0"/>
    <w:rPr>
      <w:rFonts w:ascii="宋体" w:hAnsi="Arial" w:eastAsia="楷体_GB2312"/>
      <w:b/>
      <w:kern w:val="24"/>
      <w:sz w:val="24"/>
      <w:lang w:val="en-US" w:eastAsia="zh-CN" w:bidi="ar-SA"/>
    </w:rPr>
  </w:style>
  <w:style w:type="character" w:customStyle="1" w:styleId="43">
    <w:name w:val="正文 32 Char"/>
    <w:link w:val="44"/>
    <w:qFormat/>
    <w:uiPriority w:val="0"/>
    <w:rPr>
      <w:rFonts w:eastAsia="楷体_GB2312"/>
      <w:sz w:val="24"/>
      <w:lang w:val="en-US" w:eastAsia="zh-CN" w:bidi="ar-SA"/>
    </w:rPr>
  </w:style>
  <w:style w:type="paragraph" w:customStyle="1" w:styleId="44">
    <w:name w:val="正文 32"/>
    <w:basedOn w:val="1"/>
    <w:link w:val="43"/>
    <w:qFormat/>
    <w:uiPriority w:val="0"/>
    <w:pPr>
      <w:autoSpaceDE w:val="0"/>
      <w:autoSpaceDN w:val="0"/>
      <w:adjustRightInd w:val="0"/>
      <w:spacing w:line="300" w:lineRule="auto"/>
      <w:ind w:firstLine="567"/>
      <w:textAlignment w:val="baseline"/>
    </w:pPr>
    <w:rPr>
      <w:rFonts w:eastAsia="楷体_GB2312"/>
      <w:sz w:val="24"/>
    </w:rPr>
  </w:style>
  <w:style w:type="character" w:customStyle="1" w:styleId="45">
    <w:name w:val="标题 1 字符"/>
    <w:link w:val="3"/>
    <w:qFormat/>
    <w:uiPriority w:val="0"/>
    <w:rPr>
      <w:kern w:val="2"/>
      <w:sz w:val="28"/>
    </w:rPr>
  </w:style>
  <w:style w:type="character" w:customStyle="1" w:styleId="46">
    <w:name w:val="报告表 段 Char"/>
    <w:link w:val="47"/>
    <w:qFormat/>
    <w:uiPriority w:val="0"/>
    <w:rPr>
      <w:rFonts w:ascii="宋体" w:eastAsia="宋体"/>
      <w:bCs/>
      <w:kern w:val="2"/>
      <w:sz w:val="24"/>
      <w:lang w:val="en-US" w:eastAsia="zh-CN" w:bidi="ar-SA"/>
    </w:rPr>
  </w:style>
  <w:style w:type="paragraph" w:customStyle="1" w:styleId="47">
    <w:name w:val="报告表 段"/>
    <w:basedOn w:val="1"/>
    <w:link w:val="46"/>
    <w:qFormat/>
    <w:uiPriority w:val="0"/>
    <w:pPr>
      <w:snapToGrid w:val="0"/>
      <w:spacing w:line="360" w:lineRule="auto"/>
      <w:ind w:firstLine="505"/>
    </w:pPr>
    <w:rPr>
      <w:rFonts w:ascii="宋体"/>
      <w:bCs/>
      <w:sz w:val="24"/>
      <w:szCs w:val="20"/>
    </w:rPr>
  </w:style>
  <w:style w:type="character" w:customStyle="1" w:styleId="48">
    <w:name w:val="批注文字 字符"/>
    <w:link w:val="16"/>
    <w:qFormat/>
    <w:uiPriority w:val="0"/>
    <w:rPr>
      <w:rFonts w:eastAsia="宋体"/>
      <w:kern w:val="2"/>
      <w:sz w:val="21"/>
      <w:szCs w:val="24"/>
      <w:lang w:val="en-US" w:eastAsia="zh-CN" w:bidi="ar-SA"/>
    </w:rPr>
  </w:style>
  <w:style w:type="character" w:customStyle="1" w:styleId="49">
    <w:name w:val="font21"/>
    <w:qFormat/>
    <w:uiPriority w:val="0"/>
    <w:rPr>
      <w:rFonts w:hint="default" w:ascii="ˎ̥" w:hAnsi="ˎ̥"/>
      <w:color w:val="000000"/>
      <w:sz w:val="20"/>
      <w:szCs w:val="20"/>
      <w:u w:val="none"/>
    </w:rPr>
  </w:style>
  <w:style w:type="character" w:customStyle="1" w:styleId="50">
    <w:name w:val="正文文本缩进 字符"/>
    <w:link w:val="18"/>
    <w:qFormat/>
    <w:uiPriority w:val="0"/>
    <w:rPr>
      <w:rFonts w:eastAsia="宋体"/>
      <w:kern w:val="2"/>
      <w:sz w:val="24"/>
      <w:szCs w:val="24"/>
      <w:lang w:val="en-US" w:eastAsia="zh-CN" w:bidi="ar-SA"/>
    </w:rPr>
  </w:style>
  <w:style w:type="character" w:customStyle="1" w:styleId="51">
    <w:name w:val="Char Char3"/>
    <w:qFormat/>
    <w:uiPriority w:val="0"/>
    <w:rPr>
      <w:rFonts w:eastAsia="宋体"/>
      <w:kern w:val="2"/>
      <w:sz w:val="21"/>
      <w:lang w:val="en-US" w:eastAsia="zh-CN" w:bidi="ar-SA"/>
    </w:rPr>
  </w:style>
  <w:style w:type="character" w:customStyle="1" w:styleId="52">
    <w:name w:val="p141"/>
    <w:qFormat/>
    <w:uiPriority w:val="0"/>
    <w:rPr>
      <w:color w:val="333333"/>
      <w:sz w:val="21"/>
      <w:szCs w:val="21"/>
    </w:rPr>
  </w:style>
  <w:style w:type="character" w:customStyle="1" w:styleId="53">
    <w:name w:val="正文 + 小四 Char"/>
    <w:link w:val="54"/>
    <w:qFormat/>
    <w:uiPriority w:val="0"/>
    <w:rPr>
      <w:rFonts w:hAnsi="宋体" w:eastAsia="宋体"/>
      <w:kern w:val="2"/>
      <w:sz w:val="24"/>
      <w:szCs w:val="24"/>
      <w:lang w:val="en-US" w:eastAsia="zh-CN" w:bidi="ar-SA"/>
    </w:rPr>
  </w:style>
  <w:style w:type="paragraph" w:customStyle="1" w:styleId="54">
    <w:name w:val="正文 + 小四"/>
    <w:basedOn w:val="1"/>
    <w:link w:val="53"/>
    <w:qFormat/>
    <w:uiPriority w:val="0"/>
    <w:pPr>
      <w:ind w:firstLine="360" w:firstLineChars="150"/>
    </w:pPr>
    <w:rPr>
      <w:rFonts w:hAnsi="宋体"/>
      <w:sz w:val="24"/>
    </w:rPr>
  </w:style>
  <w:style w:type="character" w:customStyle="1" w:styleId="55">
    <w:name w:val="表格 Char"/>
    <w:link w:val="56"/>
    <w:qFormat/>
    <w:uiPriority w:val="0"/>
    <w:rPr>
      <w:sz w:val="24"/>
      <w:lang w:val="en-US" w:eastAsia="zh-CN" w:bidi="ar-SA"/>
    </w:rPr>
  </w:style>
  <w:style w:type="paragraph" w:customStyle="1" w:styleId="56">
    <w:name w:val="表格"/>
    <w:basedOn w:val="8"/>
    <w:next w:val="1"/>
    <w:link w:val="55"/>
    <w:qFormat/>
    <w:uiPriority w:val="0"/>
    <w:pPr>
      <w:keepNext/>
      <w:widowControl w:val="0"/>
      <w:autoSpaceDE w:val="0"/>
      <w:autoSpaceDN w:val="0"/>
      <w:adjustRightInd w:val="0"/>
      <w:jc w:val="center"/>
      <w:textAlignment w:val="baseline"/>
    </w:pPr>
    <w:rPr>
      <w:rFonts w:ascii="Times New Roman" w:hAnsi="Times New Roman" w:eastAsia="宋体" w:cs="Times New Roman"/>
      <w:sz w:val="24"/>
      <w:lang w:val="en-US" w:eastAsia="zh-CN" w:bidi="ar-SA"/>
    </w:rPr>
  </w:style>
  <w:style w:type="character" w:customStyle="1" w:styleId="57">
    <w:name w:val="正文1 Char"/>
    <w:link w:val="58"/>
    <w:qFormat/>
    <w:uiPriority w:val="0"/>
    <w:rPr>
      <w:rFonts w:eastAsia="楷体_GB2312"/>
      <w:kern w:val="2"/>
      <w:sz w:val="24"/>
      <w:lang w:val="en-US" w:eastAsia="zh-CN" w:bidi="ar-SA"/>
    </w:rPr>
  </w:style>
  <w:style w:type="paragraph" w:customStyle="1" w:styleId="58">
    <w:name w:val="正文1"/>
    <w:basedOn w:val="1"/>
    <w:link w:val="57"/>
    <w:qFormat/>
    <w:uiPriority w:val="0"/>
    <w:pPr>
      <w:adjustRightInd w:val="0"/>
    </w:pPr>
    <w:rPr>
      <w:rFonts w:eastAsia="楷体_GB2312"/>
      <w:sz w:val="24"/>
      <w:szCs w:val="20"/>
    </w:rPr>
  </w:style>
  <w:style w:type="character" w:customStyle="1" w:styleId="59">
    <w:name w:val="正文缩进 字符"/>
    <w:link w:val="8"/>
    <w:qFormat/>
    <w:uiPriority w:val="0"/>
    <w:rPr>
      <w:rFonts w:eastAsia="宋体"/>
      <w:kern w:val="2"/>
      <w:sz w:val="21"/>
      <w:lang w:val="en-US" w:eastAsia="zh-CN" w:bidi="ar-SA"/>
    </w:rPr>
  </w:style>
  <w:style w:type="character" w:customStyle="1" w:styleId="60">
    <w:name w:val="表格 32 Char"/>
    <w:link w:val="61"/>
    <w:qFormat/>
    <w:uiPriority w:val="0"/>
    <w:rPr>
      <w:rFonts w:ascii="宋体" w:hAnsi="Impact" w:eastAsia="宋体"/>
      <w:kern w:val="24"/>
      <w:sz w:val="24"/>
      <w:lang w:val="en-US" w:eastAsia="zh-CN" w:bidi="ar-SA"/>
    </w:rPr>
  </w:style>
  <w:style w:type="paragraph" w:customStyle="1" w:styleId="61">
    <w:name w:val="表格 32"/>
    <w:basedOn w:val="1"/>
    <w:link w:val="60"/>
    <w:qFormat/>
    <w:uiPriority w:val="0"/>
    <w:pPr>
      <w:autoSpaceDE w:val="0"/>
      <w:autoSpaceDN w:val="0"/>
      <w:adjustRightInd w:val="0"/>
      <w:jc w:val="center"/>
      <w:textAlignment w:val="baseline"/>
    </w:pPr>
    <w:rPr>
      <w:rFonts w:ascii="宋体" w:hAnsi="Impact"/>
      <w:kern w:val="24"/>
      <w:sz w:val="24"/>
    </w:rPr>
  </w:style>
  <w:style w:type="character" w:customStyle="1" w:styleId="62">
    <w:name w:val="表格 32 Char Char"/>
    <w:qFormat/>
    <w:uiPriority w:val="0"/>
    <w:rPr>
      <w:rFonts w:ascii="宋体" w:hAnsi="Impact" w:eastAsia="宋体"/>
      <w:kern w:val="24"/>
      <w:sz w:val="24"/>
      <w:lang w:val="en-US" w:eastAsia="zh-CN" w:bidi="ar-SA"/>
    </w:rPr>
  </w:style>
  <w:style w:type="paragraph" w:customStyle="1" w:styleId="63">
    <w:name w:val="样式 方正仿宋_GBK 三号 行距: 固定值 28 磅"/>
    <w:basedOn w:val="1"/>
    <w:qFormat/>
    <w:uiPriority w:val="0"/>
    <w:pPr>
      <w:spacing w:line="360" w:lineRule="auto"/>
      <w:ind w:firstLine="200" w:firstLineChars="200"/>
      <w:jc w:val="left"/>
    </w:pPr>
    <w:rPr>
      <w:rFonts w:ascii="方正仿宋_GBK" w:hAnsi="方正仿宋_GBK" w:cs="宋体"/>
      <w:sz w:val="28"/>
      <w:szCs w:val="20"/>
    </w:rPr>
  </w:style>
  <w:style w:type="paragraph" w:customStyle="1" w:styleId="64">
    <w:name w:val="Char Char Char Char"/>
    <w:basedOn w:val="1"/>
    <w:qFormat/>
    <w:uiPriority w:val="0"/>
    <w:pPr>
      <w:snapToGrid w:val="0"/>
      <w:spacing w:line="360" w:lineRule="auto"/>
      <w:ind w:firstLine="529" w:firstLineChars="200"/>
    </w:pPr>
    <w:rPr>
      <w:rFonts w:ascii="宋体" w:hAnsi="宋体"/>
      <w:b/>
    </w:rPr>
  </w:style>
  <w:style w:type="paragraph" w:customStyle="1" w:styleId="65">
    <w:name w:val="表格1"/>
    <w:basedOn w:val="1"/>
    <w:next w:val="1"/>
    <w:qFormat/>
    <w:uiPriority w:val="0"/>
    <w:pPr>
      <w:topLinePunct/>
      <w:autoSpaceDE w:val="0"/>
      <w:autoSpaceDN w:val="0"/>
      <w:adjustRightInd w:val="0"/>
      <w:jc w:val="center"/>
      <w:textAlignment w:val="baseline"/>
    </w:pPr>
    <w:rPr>
      <w:rFonts w:ascii="宋体" w:hAnsi="Impact"/>
      <w:kern w:val="24"/>
      <w:sz w:val="28"/>
      <w:szCs w:val="20"/>
    </w:rPr>
  </w:style>
  <w:style w:type="paragraph" w:customStyle="1" w:styleId="66">
    <w:name w:val="表格2"/>
    <w:basedOn w:val="65"/>
    <w:next w:val="1"/>
    <w:qFormat/>
    <w:uiPriority w:val="0"/>
    <w:rPr>
      <w:position w:val="-28"/>
      <w:sz w:val="21"/>
    </w:rPr>
  </w:style>
  <w:style w:type="paragraph" w:customStyle="1" w:styleId="67">
    <w:name w:val="表格 21"/>
    <w:qFormat/>
    <w:uiPriority w:val="0"/>
    <w:pPr>
      <w:widowControl w:val="0"/>
      <w:autoSpaceDE w:val="0"/>
      <w:autoSpaceDN w:val="0"/>
      <w:adjustRightInd w:val="0"/>
      <w:jc w:val="center"/>
      <w:textAlignment w:val="baseline"/>
    </w:pPr>
    <w:rPr>
      <w:rFonts w:ascii="Times New Roman" w:hAnsi="Times New Roman" w:eastAsia="仿宋体" w:cs="Times New Roman"/>
      <w:sz w:val="28"/>
      <w:lang w:val="en-US" w:eastAsia="zh-CN" w:bidi="ar-SA"/>
    </w:rPr>
  </w:style>
  <w:style w:type="paragraph" w:customStyle="1" w:styleId="68">
    <w:name w:val="Char Char Char Char Char Char Char Char Char1"/>
    <w:basedOn w:val="1"/>
    <w:qFormat/>
    <w:uiPriority w:val="0"/>
    <w:pPr>
      <w:snapToGrid w:val="0"/>
      <w:spacing w:line="360" w:lineRule="auto"/>
      <w:ind w:firstLine="529" w:firstLineChars="200"/>
    </w:pPr>
    <w:rPr>
      <w:rFonts w:ascii="宋体" w:hAnsi="宋体"/>
      <w:b/>
    </w:rPr>
  </w:style>
  <w:style w:type="paragraph" w:customStyle="1" w:styleId="69">
    <w:name w:val="表头"/>
    <w:basedOn w:val="13"/>
    <w:next w:val="56"/>
    <w:qFormat/>
    <w:uiPriority w:val="0"/>
    <w:pPr>
      <w:keepNext/>
      <w:autoSpaceDE w:val="0"/>
      <w:autoSpaceDN w:val="0"/>
      <w:adjustRightInd w:val="0"/>
      <w:spacing w:before="240" w:line="360" w:lineRule="auto"/>
      <w:ind w:left="0" w:leftChars="0" w:firstLine="0" w:firstLineChars="0"/>
      <w:jc w:val="center"/>
      <w:textAlignment w:val="baseline"/>
    </w:pPr>
    <w:rPr>
      <w:rFonts w:eastAsia="楷体_GB2312"/>
      <w:kern w:val="0"/>
      <w:sz w:val="28"/>
      <w:szCs w:val="20"/>
    </w:rPr>
  </w:style>
  <w:style w:type="paragraph" w:customStyle="1" w:styleId="70">
    <w:name w:val="缩进"/>
    <w:basedOn w:val="1"/>
    <w:qFormat/>
    <w:uiPriority w:val="0"/>
    <w:pPr>
      <w:autoSpaceDE w:val="0"/>
      <w:autoSpaceDN w:val="0"/>
      <w:adjustRightInd w:val="0"/>
      <w:spacing w:line="400" w:lineRule="atLeast"/>
      <w:ind w:firstLine="480" w:firstLineChars="200"/>
      <w:textAlignment w:val="baseline"/>
    </w:pPr>
    <w:rPr>
      <w:sz w:val="24"/>
      <w:szCs w:val="20"/>
    </w:rPr>
  </w:style>
  <w:style w:type="paragraph" w:customStyle="1" w:styleId="71">
    <w:name w:val="Char Char Char Char Char Char"/>
    <w:basedOn w:val="1"/>
    <w:qFormat/>
    <w:uiPriority w:val="0"/>
    <w:pPr>
      <w:snapToGrid w:val="0"/>
      <w:spacing w:line="360" w:lineRule="auto"/>
      <w:ind w:firstLine="529" w:firstLineChars="200"/>
    </w:pPr>
    <w:rPr>
      <w:rFonts w:ascii="宋体" w:hAnsi="宋体"/>
      <w:b/>
    </w:rPr>
  </w:style>
  <w:style w:type="paragraph" w:customStyle="1" w:styleId="72">
    <w:name w:val="4 Char"/>
    <w:basedOn w:val="1"/>
    <w:qFormat/>
    <w:uiPriority w:val="0"/>
  </w:style>
  <w:style w:type="paragraph" w:customStyle="1" w:styleId="73">
    <w:name w:val="表格 23"/>
    <w:basedOn w:val="1"/>
    <w:qFormat/>
    <w:uiPriority w:val="0"/>
    <w:pPr>
      <w:jc w:val="center"/>
    </w:pPr>
    <w:rPr>
      <w:rFonts w:eastAsia="仿宋_GB2312"/>
      <w:sz w:val="24"/>
    </w:rPr>
  </w:style>
  <w:style w:type="paragraph" w:customStyle="1" w:styleId="74">
    <w:name w:val="默认段落字体 Para Char Char Char Char Char Char Char Char Char Char Char Char Char1 Char"/>
    <w:basedOn w:val="15"/>
    <w:qFormat/>
    <w:uiPriority w:val="0"/>
    <w:rPr>
      <w:bCs/>
      <w:sz w:val="24"/>
    </w:rPr>
  </w:style>
  <w:style w:type="paragraph" w:customStyle="1" w:styleId="75">
    <w:name w:val="页面 7"/>
    <w:basedOn w:val="1"/>
    <w:qFormat/>
    <w:uiPriority w:val="0"/>
    <w:pPr>
      <w:autoSpaceDE w:val="0"/>
      <w:autoSpaceDN w:val="0"/>
      <w:adjustRightInd w:val="0"/>
      <w:spacing w:before="120" w:after="120"/>
      <w:jc w:val="center"/>
      <w:textAlignment w:val="baseline"/>
    </w:pPr>
    <w:rPr>
      <w:rFonts w:ascii="宋体" w:hAnsi="Impact"/>
      <w:kern w:val="24"/>
      <w:sz w:val="32"/>
      <w:szCs w:val="20"/>
    </w:rPr>
  </w:style>
  <w:style w:type="paragraph" w:customStyle="1" w:styleId="76">
    <w:name w:val="表1表2"/>
    <w:basedOn w:val="1"/>
    <w:qFormat/>
    <w:uiPriority w:val="0"/>
    <w:pPr>
      <w:autoSpaceDE w:val="0"/>
      <w:autoSpaceDN w:val="0"/>
      <w:adjustRightInd w:val="0"/>
      <w:jc w:val="center"/>
      <w:textAlignment w:val="center"/>
    </w:pPr>
    <w:rPr>
      <w:rFonts w:eastAsia="仿宋体"/>
      <w:kern w:val="0"/>
      <w:sz w:val="24"/>
      <w:szCs w:val="20"/>
    </w:rPr>
  </w:style>
  <w:style w:type="paragraph" w:customStyle="1" w:styleId="77">
    <w:name w:val="字元 字元"/>
    <w:basedOn w:val="1"/>
    <w:qFormat/>
    <w:uiPriority w:val="0"/>
    <w:rPr>
      <w:szCs w:val="21"/>
    </w:rPr>
  </w:style>
  <w:style w:type="paragraph" w:customStyle="1" w:styleId="78">
    <w:name w:val="Char Char Char Char Char Char Char"/>
    <w:basedOn w:val="6"/>
    <w:qFormat/>
    <w:uiPriority w:val="0"/>
    <w:pPr>
      <w:keepNext/>
      <w:keepLines/>
      <w:numPr>
        <w:ilvl w:val="0"/>
        <w:numId w:val="0"/>
      </w:numPr>
      <w:autoSpaceDE/>
      <w:autoSpaceDN/>
      <w:adjustRightInd/>
      <w:spacing w:before="280" w:after="290" w:line="374" w:lineRule="auto"/>
      <w:textAlignment w:val="auto"/>
    </w:pPr>
    <w:rPr>
      <w:rFonts w:ascii="Arial" w:eastAsia="仿宋_GB2312"/>
      <w:b w:val="0"/>
      <w:bCs/>
      <w:kern w:val="2"/>
      <w:szCs w:val="28"/>
    </w:rPr>
  </w:style>
  <w:style w:type="paragraph" w:customStyle="1" w:styleId="79">
    <w:name w:val="Char Char Char"/>
    <w:basedOn w:val="1"/>
    <w:qFormat/>
    <w:uiPriority w:val="0"/>
  </w:style>
  <w:style w:type="paragraph" w:customStyle="1" w:styleId="80">
    <w:name w:val="Char2"/>
    <w:basedOn w:val="1"/>
    <w:qFormat/>
    <w:uiPriority w:val="0"/>
  </w:style>
  <w:style w:type="paragraph" w:customStyle="1" w:styleId="81">
    <w:name w:val="流程图"/>
    <w:basedOn w:val="1"/>
    <w:qFormat/>
    <w:uiPriority w:val="0"/>
    <w:pPr>
      <w:widowControl/>
      <w:spacing w:line="360" w:lineRule="auto"/>
      <w:jc w:val="center"/>
    </w:pPr>
    <w:rPr>
      <w:sz w:val="24"/>
    </w:rPr>
  </w:style>
  <w:style w:type="paragraph" w:customStyle="1" w:styleId="82">
    <w:name w:val="表格填充1"/>
    <w:basedOn w:val="1"/>
    <w:qFormat/>
    <w:uiPriority w:val="0"/>
    <w:pPr>
      <w:adjustRightInd w:val="0"/>
      <w:snapToGrid w:val="0"/>
      <w:spacing w:line="400" w:lineRule="exact"/>
      <w:jc w:val="center"/>
    </w:pPr>
    <w:rPr>
      <w:snapToGrid w:val="0"/>
      <w:kern w:val="0"/>
      <w:szCs w:val="18"/>
    </w:rPr>
  </w:style>
  <w:style w:type="paragraph" w:customStyle="1" w:styleId="83">
    <w:name w:val="Char Char"/>
    <w:basedOn w:val="1"/>
    <w:qFormat/>
    <w:uiPriority w:val="0"/>
    <w:pPr>
      <w:snapToGrid w:val="0"/>
      <w:spacing w:line="360" w:lineRule="auto"/>
      <w:ind w:firstLine="529" w:firstLineChars="200"/>
    </w:pPr>
    <w:rPr>
      <w:rFonts w:ascii="宋体" w:hAnsi="宋体"/>
      <w:b/>
    </w:rPr>
  </w:style>
  <w:style w:type="paragraph" w:customStyle="1" w:styleId="84">
    <w:name w:val="报告表正文"/>
    <w:basedOn w:val="1"/>
    <w:qFormat/>
    <w:uiPriority w:val="0"/>
    <w:pPr>
      <w:adjustRightInd w:val="0"/>
      <w:spacing w:line="312" w:lineRule="auto"/>
      <w:ind w:left="113" w:right="113" w:firstLine="482"/>
      <w:jc w:val="left"/>
      <w:textAlignment w:val="baseline"/>
    </w:pPr>
    <w:rPr>
      <w:kern w:val="0"/>
      <w:sz w:val="24"/>
      <w:szCs w:val="20"/>
    </w:rPr>
  </w:style>
  <w:style w:type="paragraph" w:customStyle="1" w:styleId="85">
    <w:name w:val="Char Char Char Char Char Char Char Char Char11"/>
    <w:basedOn w:val="1"/>
    <w:qFormat/>
    <w:uiPriority w:val="0"/>
    <w:pPr>
      <w:snapToGrid w:val="0"/>
      <w:spacing w:line="360" w:lineRule="auto"/>
      <w:ind w:firstLine="529" w:firstLineChars="200"/>
    </w:pPr>
    <w:rPr>
      <w:rFonts w:ascii="宋体" w:hAnsi="宋体"/>
      <w:b/>
    </w:rPr>
  </w:style>
  <w:style w:type="paragraph" w:customStyle="1" w:styleId="86">
    <w:name w:val="Char Char3 Char Char"/>
    <w:basedOn w:val="1"/>
    <w:qFormat/>
    <w:uiPriority w:val="0"/>
  </w:style>
  <w:style w:type="paragraph" w:customStyle="1" w:styleId="87">
    <w:name w:val="Table Paragraph"/>
    <w:basedOn w:val="1"/>
    <w:qFormat/>
    <w:uiPriority w:val="1"/>
  </w:style>
  <w:style w:type="paragraph" w:customStyle="1" w:styleId="88">
    <w:name w:val="Char"/>
    <w:basedOn w:val="1"/>
    <w:qFormat/>
    <w:uiPriority w:val="0"/>
    <w:pPr>
      <w:snapToGrid w:val="0"/>
      <w:spacing w:line="360" w:lineRule="auto"/>
      <w:ind w:firstLine="529" w:firstLineChars="200"/>
    </w:pPr>
    <w:rPr>
      <w:rFonts w:ascii="宋体" w:hAnsi="宋体"/>
      <w:b/>
    </w:rPr>
  </w:style>
  <w:style w:type="paragraph" w:customStyle="1" w:styleId="89">
    <w:name w:val="Char Char Char Char Char Char Char1"/>
    <w:basedOn w:val="1"/>
    <w:qFormat/>
    <w:uiPriority w:val="0"/>
    <w:pPr>
      <w:snapToGrid w:val="0"/>
      <w:spacing w:line="360" w:lineRule="auto"/>
      <w:ind w:firstLine="529" w:firstLineChars="200"/>
    </w:pPr>
    <w:rPr>
      <w:rFonts w:ascii="宋体" w:hAnsi="宋体"/>
      <w:b/>
    </w:rPr>
  </w:style>
  <w:style w:type="paragraph" w:customStyle="1" w:styleId="90">
    <w:name w:val="样式 正 文 中山"/>
    <w:basedOn w:val="1"/>
    <w:qFormat/>
    <w:uiPriority w:val="0"/>
    <w:pPr>
      <w:spacing w:line="480" w:lineRule="exact"/>
      <w:ind w:firstLine="471"/>
    </w:pPr>
    <w:rPr>
      <w:rFonts w:ascii="宋体" w:hAnsi="宋体" w:cs="Arial"/>
      <w:kern w:val="0"/>
      <w:sz w:val="28"/>
      <w:szCs w:val="28"/>
    </w:rPr>
  </w:style>
  <w:style w:type="paragraph" w:customStyle="1" w:styleId="91">
    <w:name w:val="页面 2"/>
    <w:basedOn w:val="1"/>
    <w:qFormat/>
    <w:uiPriority w:val="0"/>
    <w:pPr>
      <w:adjustRightInd w:val="0"/>
      <w:jc w:val="center"/>
    </w:pPr>
    <w:rPr>
      <w:kern w:val="0"/>
      <w:sz w:val="72"/>
      <w:szCs w:val="20"/>
    </w:rPr>
  </w:style>
  <w:style w:type="table" w:customStyle="1" w:styleId="92">
    <w:name w:val="Table Normal"/>
    <w:unhideWhenUsed/>
    <w:qFormat/>
    <w:uiPriority w:val="2"/>
    <w:tblPr>
      <w:tblLayout w:type="fixed"/>
      <w:tblCellMar>
        <w:top w:w="0" w:type="dxa"/>
        <w:left w:w="0" w:type="dxa"/>
        <w:bottom w:w="0" w:type="dxa"/>
        <w:right w:w="0" w:type="dxa"/>
      </w:tblCellMar>
    </w:tblPr>
  </w:style>
  <w:style w:type="character" w:customStyle="1" w:styleId="93">
    <w:name w:val="正文文本首行缩进 字符"/>
    <w:qFormat/>
    <w:uiPriority w:val="0"/>
    <w:rPr>
      <w:kern w:val="2"/>
      <w:sz w:val="21"/>
    </w:rPr>
  </w:style>
  <w:style w:type="paragraph" w:customStyle="1" w:styleId="94">
    <w:name w:val="1"/>
    <w:basedOn w:val="17"/>
    <w:next w:val="30"/>
    <w:qFormat/>
    <w:uiPriority w:val="0"/>
    <w:pPr>
      <w:spacing w:after="120" w:line="240" w:lineRule="auto"/>
      <w:ind w:firstLine="420" w:firstLineChars="100"/>
    </w:pPr>
    <w:rPr>
      <w:b w:val="0"/>
      <w:bCs w:val="0"/>
      <w:sz w:val="21"/>
      <w:szCs w:val="20"/>
      <w:lang w:val="zh-CN"/>
    </w:rPr>
  </w:style>
  <w:style w:type="character" w:customStyle="1" w:styleId="95">
    <w:name w:val="正文文本 字符"/>
    <w:link w:val="17"/>
    <w:qFormat/>
    <w:uiPriority w:val="0"/>
    <w:rPr>
      <w:b/>
      <w:bCs/>
      <w:kern w:val="2"/>
      <w:sz w:val="32"/>
      <w:szCs w:val="24"/>
    </w:rPr>
  </w:style>
  <w:style w:type="character" w:customStyle="1" w:styleId="96">
    <w:name w:val="正文文本首行缩进 字符1"/>
    <w:link w:val="30"/>
    <w:qFormat/>
    <w:uiPriority w:val="0"/>
    <w:rPr>
      <w:kern w:val="2"/>
      <w:sz w:val="21"/>
      <w:szCs w:val="24"/>
    </w:rPr>
  </w:style>
  <w:style w:type="paragraph" w:customStyle="1" w:styleId="97">
    <w:name w:val="lux正文"/>
    <w:basedOn w:val="1"/>
    <w:qFormat/>
    <w:uiPriority w:val="0"/>
    <w:pPr>
      <w:spacing w:beforeLines="50" w:afterLines="50" w:line="360" w:lineRule="auto"/>
    </w:pPr>
    <w:rPr>
      <w:sz w:val="24"/>
      <w:szCs w:val="20"/>
    </w:rPr>
  </w:style>
  <w:style w:type="paragraph" w:customStyle="1" w:styleId="98">
    <w:name w:val="列表段落1"/>
    <w:basedOn w:val="1"/>
    <w:qFormat/>
    <w:uiPriority w:val="34"/>
    <w:pPr>
      <w:ind w:firstLine="420" w:firstLineChars="200"/>
    </w:pPr>
    <w:rPr>
      <w:rFonts w:ascii="等线" w:hAnsi="等线" w:eastAsia="等线"/>
      <w:szCs w:val="22"/>
    </w:rPr>
  </w:style>
  <w:style w:type="character" w:customStyle="1" w:styleId="99">
    <w:name w:val="TT正文 Char"/>
    <w:link w:val="100"/>
    <w:qFormat/>
    <w:uiPriority w:val="0"/>
    <w:rPr>
      <w:sz w:val="24"/>
    </w:rPr>
  </w:style>
  <w:style w:type="paragraph" w:customStyle="1" w:styleId="100">
    <w:name w:val="TT正文"/>
    <w:basedOn w:val="1"/>
    <w:link w:val="99"/>
    <w:qFormat/>
    <w:uiPriority w:val="0"/>
    <w:pPr>
      <w:spacing w:line="360" w:lineRule="auto"/>
      <w:ind w:firstLine="200" w:firstLineChars="200"/>
    </w:pPr>
    <w:rPr>
      <w:kern w:val="0"/>
      <w:sz w:val="24"/>
      <w:szCs w:val="20"/>
    </w:rPr>
  </w:style>
  <w:style w:type="paragraph" w:customStyle="1" w:styleId="101">
    <w:name w:val="Char Char Char Char Char Char Char Char Char Char Char Char Char Char Char Char Char Char Char Char Char"/>
    <w:basedOn w:val="1"/>
    <w:qFormat/>
    <w:uiPriority w:val="0"/>
    <w:pPr>
      <w:adjustRightInd w:val="0"/>
      <w:snapToGrid w:val="0"/>
      <w:ind w:firstLine="200" w:firstLineChars="200"/>
    </w:pPr>
    <w:rPr>
      <w:sz w:val="24"/>
    </w:rPr>
  </w:style>
  <w:style w:type="character" w:customStyle="1" w:styleId="102">
    <w:name w:val="表格标题 Char"/>
    <w:link w:val="103"/>
    <w:qFormat/>
    <w:locked/>
    <w:uiPriority w:val="0"/>
    <w:rPr>
      <w:rFonts w:eastAsia="黑体"/>
      <w:sz w:val="24"/>
    </w:rPr>
  </w:style>
  <w:style w:type="paragraph" w:customStyle="1" w:styleId="103">
    <w:name w:val="表格标题"/>
    <w:basedOn w:val="1"/>
    <w:link w:val="102"/>
    <w:qFormat/>
    <w:uiPriority w:val="0"/>
    <w:pPr>
      <w:spacing w:line="360" w:lineRule="auto"/>
      <w:jc w:val="center"/>
    </w:pPr>
    <w:rPr>
      <w:rFonts w:eastAsia="黑体"/>
      <w:kern w:val="0"/>
      <w:sz w:val="24"/>
      <w:szCs w:val="20"/>
    </w:rPr>
  </w:style>
  <w:style w:type="character" w:customStyle="1" w:styleId="104">
    <w:name w:val="表格文字 Char Char"/>
    <w:link w:val="105"/>
    <w:qFormat/>
    <w:uiPriority w:val="0"/>
    <w:rPr>
      <w:kern w:val="2"/>
      <w:sz w:val="21"/>
      <w:szCs w:val="24"/>
    </w:rPr>
  </w:style>
  <w:style w:type="paragraph" w:customStyle="1" w:styleId="105">
    <w:name w:val="表格文字"/>
    <w:basedOn w:val="19"/>
    <w:next w:val="1"/>
    <w:link w:val="104"/>
    <w:qFormat/>
    <w:uiPriority w:val="0"/>
    <w:pPr>
      <w:adjustRightInd w:val="0"/>
      <w:snapToGrid w:val="0"/>
      <w:spacing w:line="288" w:lineRule="auto"/>
      <w:jc w:val="center"/>
    </w:pPr>
  </w:style>
  <w:style w:type="character" w:customStyle="1" w:styleId="106">
    <w:name w:val="标题 2 字符"/>
    <w:qFormat/>
    <w:uiPriority w:val="0"/>
    <w:rPr>
      <w:rFonts w:ascii="Times New Roman" w:hAnsi="Times New Roman" w:eastAsia="宋体"/>
      <w:b/>
      <w:bCs/>
      <w:kern w:val="2"/>
      <w:sz w:val="30"/>
      <w:szCs w:val="32"/>
    </w:rPr>
  </w:style>
  <w:style w:type="character" w:customStyle="1" w:styleId="107">
    <w:name w:val="表格标题 Char Char"/>
    <w:qFormat/>
    <w:uiPriority w:val="0"/>
    <w:rPr>
      <w:rFonts w:ascii="Times New Roman" w:hAnsi="Times New Roman" w:eastAsia="宋体"/>
      <w:b/>
      <w:sz w:val="21"/>
    </w:rPr>
  </w:style>
  <w:style w:type="paragraph" w:customStyle="1" w:styleId="108">
    <w:name w:val="3 Char"/>
    <w:basedOn w:val="1"/>
    <w:next w:val="1"/>
    <w:qFormat/>
    <w:uiPriority w:val="0"/>
    <w:pPr>
      <w:spacing w:line="360" w:lineRule="auto"/>
      <w:ind w:firstLine="200" w:firstLineChars="200"/>
    </w:pPr>
    <w:rPr>
      <w:szCs w:val="20"/>
    </w:rPr>
  </w:style>
  <w:style w:type="character" w:customStyle="1" w:styleId="109">
    <w:name w:val="未处理的提及1"/>
    <w:basedOn w:val="33"/>
    <w:unhideWhenUsed/>
    <w:qFormat/>
    <w:uiPriority w:val="99"/>
    <w:rPr>
      <w:color w:val="605E5C"/>
      <w:shd w:val="clear" w:color="auto" w:fill="E1DFDD"/>
    </w:rPr>
  </w:style>
  <w:style w:type="paragraph" w:customStyle="1" w:styleId="110">
    <w:name w:val="Char Char Char Char Char Char Char Char Char Char Char Char Char Char Char Char Char Char Char Char Char1"/>
    <w:basedOn w:val="1"/>
    <w:qFormat/>
    <w:uiPriority w:val="0"/>
    <w:pPr>
      <w:adjustRightInd w:val="0"/>
      <w:snapToGrid w:val="0"/>
      <w:ind w:firstLine="200" w:firstLineChars="200"/>
    </w:pPr>
    <w:rPr>
      <w:sz w:val="24"/>
    </w:rPr>
  </w:style>
  <w:style w:type="paragraph" w:customStyle="1" w:styleId="111">
    <w:name w:val="Char Char Char Char Char Char Char Char Char Char Char Char Char Char Char Char Char Char Char Char Char2"/>
    <w:basedOn w:val="1"/>
    <w:qFormat/>
    <w:uiPriority w:val="0"/>
    <w:pPr>
      <w:adjustRightInd w:val="0"/>
      <w:snapToGrid w:val="0"/>
      <w:ind w:firstLine="200" w:firstLineChars="200"/>
    </w:pPr>
    <w:rPr>
      <w:sz w:val="24"/>
    </w:rPr>
  </w:style>
  <w:style w:type="paragraph" w:customStyle="1" w:styleId="112">
    <w:name w:val="编号"/>
    <w:basedOn w:val="1"/>
    <w:qFormat/>
    <w:uiPriority w:val="0"/>
    <w:pPr>
      <w:adjustRightInd w:val="0"/>
      <w:snapToGrid w:val="0"/>
      <w:jc w:val="left"/>
    </w:pPr>
    <w:rPr>
      <w:b/>
      <w:sz w:val="32"/>
    </w:rPr>
  </w:style>
  <w:style w:type="paragraph" w:customStyle="1" w:styleId="113">
    <w:name w:val="编制说明"/>
    <w:basedOn w:val="1"/>
    <w:qFormat/>
    <w:uiPriority w:val="0"/>
    <w:pPr>
      <w:adjustRightInd w:val="0"/>
      <w:snapToGrid w:val="0"/>
      <w:spacing w:line="360" w:lineRule="auto"/>
      <w:ind w:firstLine="640" w:firstLineChars="200"/>
      <w:jc w:val="left"/>
    </w:pPr>
    <w:rPr>
      <w:sz w:val="28"/>
    </w:rPr>
  </w:style>
  <w:style w:type="character" w:customStyle="1" w:styleId="114">
    <w:name w:val="font01"/>
    <w:basedOn w:val="33"/>
    <w:qFormat/>
    <w:uiPriority w:val="0"/>
    <w:rPr>
      <w:rFonts w:hint="eastAsia" w:ascii="宋体" w:hAnsi="宋体" w:eastAsia="宋体" w:cs="宋体"/>
      <w:color w:val="000000"/>
      <w:sz w:val="24"/>
      <w:szCs w:val="24"/>
      <w:u w:val="none"/>
    </w:rPr>
  </w:style>
  <w:style w:type="character" w:customStyle="1" w:styleId="115">
    <w:name w:val="未处理的提及2"/>
    <w:basedOn w:val="33"/>
    <w:unhideWhenUsed/>
    <w:qFormat/>
    <w:uiPriority w:val="99"/>
    <w:rPr>
      <w:color w:val="605E5C"/>
      <w:shd w:val="clear" w:color="auto" w:fill="E1DFDD"/>
    </w:rPr>
  </w:style>
  <w:style w:type="paragraph" w:customStyle="1" w:styleId="116">
    <w:name w:val="报告正文"/>
    <w:qFormat/>
    <w:uiPriority w:val="1"/>
    <w:pPr>
      <w:widowControl w:val="0"/>
      <w:spacing w:line="360" w:lineRule="auto"/>
      <w:ind w:firstLine="200" w:firstLineChars="200"/>
      <w:jc w:val="both"/>
    </w:pPr>
    <w:rPr>
      <w:rFonts w:ascii="Calibri" w:hAnsi="Calibri" w:eastAsia="宋体" w:cstheme="minorBidi"/>
      <w:kern w:val="2"/>
      <w:sz w:val="24"/>
      <w:szCs w:val="22"/>
      <w:lang w:val="en-US" w:eastAsia="zh-CN" w:bidi="ar-SA"/>
    </w:rPr>
  </w:style>
  <w:style w:type="paragraph" w:customStyle="1" w:styleId="117">
    <w:name w:val="图表名称"/>
    <w:next w:val="84"/>
    <w:qFormat/>
    <w:uiPriority w:val="0"/>
    <w:pPr>
      <w:spacing w:line="360" w:lineRule="auto"/>
      <w:jc w:val="center"/>
    </w:pPr>
    <w:rPr>
      <w:rFonts w:ascii="Times New Roman" w:hAnsi="Times New Roman" w:eastAsia="宋体" w:cstheme="minorBidi"/>
      <w:b/>
      <w:bCs/>
      <w:kern w:val="2"/>
      <w:sz w:val="21"/>
      <w:szCs w:val="28"/>
      <w:lang w:val="en-US" w:eastAsia="zh-CN" w:bidi="ar-SA"/>
    </w:rPr>
  </w:style>
  <w:style w:type="paragraph" w:customStyle="1" w:styleId="118">
    <w:name w:val="表格内容"/>
    <w:qFormat/>
    <w:uiPriority w:val="0"/>
    <w:pPr>
      <w:jc w:val="center"/>
    </w:pPr>
    <w:rPr>
      <w:rFonts w:ascii="Times New Roman" w:hAnsi="Times New Roman" w:eastAsia="宋体" w:cstheme="minorBidi"/>
      <w:kern w:val="2"/>
      <w:sz w:val="21"/>
      <w:szCs w:val="21"/>
      <w:lang w:val="en-US" w:eastAsia="zh-CN" w:bidi="ar-SA"/>
    </w:rPr>
  </w:style>
  <w:style w:type="paragraph" w:customStyle="1" w:styleId="119">
    <w:name w:val="表格内文字"/>
    <w:basedOn w:val="1"/>
    <w:qFormat/>
    <w:uiPriority w:val="0"/>
    <w:pPr>
      <w:tabs>
        <w:tab w:val="left" w:pos="0"/>
      </w:tabs>
      <w:adjustRightInd w:val="0"/>
      <w:snapToGrid w:val="0"/>
      <w:jc w:val="center"/>
    </w:pPr>
    <w:rPr>
      <w:rFonts w:ascii="仿宋_GB2312" w:eastAsia="仿宋_GB2312"/>
      <w:spacing w:val="4"/>
      <w:kern w:val="18"/>
      <w:sz w:val="24"/>
      <w:szCs w:val="24"/>
    </w:rPr>
  </w:style>
  <w:style w:type="paragraph" w:customStyle="1" w:styleId="120">
    <w:name w:val="MAP/TAB"/>
    <w:basedOn w:val="1"/>
    <w:next w:val="121"/>
    <w:qFormat/>
    <w:uiPriority w:val="0"/>
    <w:pPr>
      <w:widowControl w:val="0"/>
      <w:spacing w:line="240" w:lineRule="auto"/>
      <w:ind w:firstLine="0"/>
      <w:jc w:val="center"/>
    </w:pPr>
    <w:rPr>
      <w:kern w:val="2"/>
      <w:sz w:val="21"/>
      <w:lang w:bidi="ar-SA"/>
    </w:rPr>
  </w:style>
  <w:style w:type="paragraph" w:customStyle="1" w:styleId="121">
    <w:name w:val="【正文】"/>
    <w:basedOn w:val="1"/>
    <w:qFormat/>
    <w:uiPriority w:val="0"/>
    <w:pPr>
      <w:widowControl w:val="0"/>
      <w:spacing w:line="440" w:lineRule="exact"/>
      <w:ind w:firstLine="544" w:firstLineChars="200"/>
    </w:pPr>
    <w:rPr>
      <w:kern w:val="2"/>
      <w:szCs w:val="24"/>
      <w:lang w:bidi="ar-SA"/>
    </w:rPr>
  </w:style>
  <w:style w:type="paragraph" w:styleId="122">
    <w:name w:val="List Paragraph"/>
    <w:basedOn w:val="1"/>
    <w:qFormat/>
    <w:uiPriority w:val="1"/>
    <w:pPr>
      <w:spacing w:before="160"/>
      <w:ind w:left="1405" w:hanging="601"/>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8" Type="http://schemas.openxmlformats.org/officeDocument/2006/relationships/fontTable" Target="fontTable.xml"/><Relationship Id="rId37" Type="http://schemas.openxmlformats.org/officeDocument/2006/relationships/customXml" Target="../customXml/item2.xml"/><Relationship Id="rId36" Type="http://schemas.openxmlformats.org/officeDocument/2006/relationships/numbering" Target="numbering.xml"/><Relationship Id="rId35" Type="http://schemas.openxmlformats.org/officeDocument/2006/relationships/customXml" Target="../customXml/item1.xml"/><Relationship Id="rId34" Type="http://schemas.openxmlformats.org/officeDocument/2006/relationships/image" Target="media/image17.png"/><Relationship Id="rId33" Type="http://schemas.openxmlformats.org/officeDocument/2006/relationships/image" Target="media/image16.png"/><Relationship Id="rId32" Type="http://schemas.openxmlformats.org/officeDocument/2006/relationships/image" Target="media/image15.png"/><Relationship Id="rId31" Type="http://schemas.openxmlformats.org/officeDocument/2006/relationships/image" Target="media/image14.png"/><Relationship Id="rId30" Type="http://schemas.openxmlformats.org/officeDocument/2006/relationships/image" Target="media/image13.png"/><Relationship Id="rId3" Type="http://schemas.openxmlformats.org/officeDocument/2006/relationships/header" Target="header1.xml"/><Relationship Id="rId29" Type="http://schemas.openxmlformats.org/officeDocument/2006/relationships/image" Target="media/image12.wmf"/><Relationship Id="rId28" Type="http://schemas.openxmlformats.org/officeDocument/2006/relationships/image" Target="media/image11.wmf"/><Relationship Id="rId27" Type="http://schemas.openxmlformats.org/officeDocument/2006/relationships/image" Target="media/image10.wmf"/><Relationship Id="rId26" Type="http://schemas.openxmlformats.org/officeDocument/2006/relationships/image" Target="media/image9.wmf"/><Relationship Id="rId25" Type="http://schemas.openxmlformats.org/officeDocument/2006/relationships/image" Target="media/image8.wmf"/><Relationship Id="rId24" Type="http://schemas.openxmlformats.org/officeDocument/2006/relationships/image" Target="media/image7.wmf"/><Relationship Id="rId23" Type="http://schemas.openxmlformats.org/officeDocument/2006/relationships/image" Target="media/image6.wmf"/><Relationship Id="rId22" Type="http://schemas.openxmlformats.org/officeDocument/2006/relationships/image" Target="media/image5.wmf"/><Relationship Id="rId21" Type="http://schemas.openxmlformats.org/officeDocument/2006/relationships/image" Target="media/image4.wmf"/><Relationship Id="rId20" Type="http://schemas.openxmlformats.org/officeDocument/2006/relationships/oleObject" Target="embeddings/oleObject3.bin"/><Relationship Id="rId2" Type="http://schemas.openxmlformats.org/officeDocument/2006/relationships/settings" Target="settings.xml"/><Relationship Id="rId19" Type="http://schemas.openxmlformats.org/officeDocument/2006/relationships/image" Target="media/image3.png"/><Relationship Id="rId18" Type="http://schemas.openxmlformats.org/officeDocument/2006/relationships/image" Target="media/image2.wmf"/><Relationship Id="rId17" Type="http://schemas.openxmlformats.org/officeDocument/2006/relationships/oleObject" Target="embeddings/oleObject2.bin"/><Relationship Id="rId16" Type="http://schemas.openxmlformats.org/officeDocument/2006/relationships/image" Target="media/image1.emf"/><Relationship Id="rId15" Type="http://schemas.openxmlformats.org/officeDocument/2006/relationships/oleObject" Target="embeddings/oleObject1.bin"/><Relationship Id="rId14" Type="http://schemas.openxmlformats.org/officeDocument/2006/relationships/theme" Target="theme/theme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429889-6E9D-4AD8-9104-D7A8E9998542}">
  <ds:schemaRefs/>
</ds:datastoreItem>
</file>

<file path=docProps/app.xml><?xml version="1.0" encoding="utf-8"?>
<Properties xmlns="http://schemas.openxmlformats.org/officeDocument/2006/extended-properties" xmlns:vt="http://schemas.openxmlformats.org/officeDocument/2006/docPropsVTypes">
  <Template>Normal</Template>
  <Company>zhen</Company>
  <Pages>68</Pages>
  <Words>6553</Words>
  <Characters>37354</Characters>
  <Lines>311</Lines>
  <Paragraphs>87</Paragraphs>
  <TotalTime>11</TotalTime>
  <ScaleCrop>false</ScaleCrop>
  <LinksUpToDate>false</LinksUpToDate>
  <CharactersWithSpaces>43820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2018-12-26T09:16:00Z</dcterms:created>
  <dc:creator>wen</dc:creator>
  <cp:lastModifiedBy>Administrator</cp:lastModifiedBy>
  <cp:lastPrinted>2019-03-15T09:04:00Z</cp:lastPrinted>
  <dcterms:modified xsi:type="dcterms:W3CDTF">2019-08-09T02:49:19Z</dcterms:modified>
  <cp:revision>175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